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04E4" w:rsidRDefault="003C794E" w:rsidP="003C794E">
      <w:pPr>
        <w:spacing w:line="240" w:lineRule="auto"/>
        <w:jc w:val="both"/>
        <w:rPr>
          <w:rFonts w:ascii="Times New Roman" w:hAnsi="Times New Roman" w:cs="Times New Roman"/>
          <w:b/>
          <w:sz w:val="24"/>
          <w:szCs w:val="24"/>
        </w:rPr>
      </w:pPr>
      <w:bookmarkStart w:id="0" w:name="_GoBack"/>
      <w:bookmarkEnd w:id="0"/>
      <w:r w:rsidRPr="003C794E">
        <w:rPr>
          <w:rFonts w:ascii="Times New Roman" w:hAnsi="Times New Roman" w:cs="Times New Roman"/>
          <w:b/>
          <w:sz w:val="24"/>
          <w:szCs w:val="24"/>
        </w:rPr>
        <w:t>Paper - Europa pierde la III Guerra</w:t>
      </w:r>
      <w:r>
        <w:rPr>
          <w:rFonts w:ascii="Times New Roman" w:hAnsi="Times New Roman" w:cs="Times New Roman"/>
          <w:b/>
          <w:sz w:val="24"/>
          <w:szCs w:val="24"/>
        </w:rPr>
        <w:t xml:space="preserve"> Mu</w:t>
      </w:r>
      <w:r w:rsidR="000F770B">
        <w:rPr>
          <w:rFonts w:ascii="Times New Roman" w:hAnsi="Times New Roman" w:cs="Times New Roman"/>
          <w:b/>
          <w:sz w:val="24"/>
          <w:szCs w:val="24"/>
        </w:rPr>
        <w:t>ndial (una batalla</w:t>
      </w:r>
      <w:r w:rsidR="005B6C88">
        <w:rPr>
          <w:rFonts w:ascii="Times New Roman" w:hAnsi="Times New Roman" w:cs="Times New Roman"/>
          <w:b/>
          <w:sz w:val="24"/>
          <w:szCs w:val="24"/>
        </w:rPr>
        <w:t xml:space="preserve"> </w:t>
      </w:r>
      <w:r w:rsidR="000F770B">
        <w:rPr>
          <w:rFonts w:ascii="Times New Roman" w:hAnsi="Times New Roman" w:cs="Times New Roman"/>
          <w:b/>
          <w:sz w:val="24"/>
          <w:szCs w:val="24"/>
        </w:rPr>
        <w:t>económico-financiera</w:t>
      </w:r>
      <w:r w:rsidRPr="003C794E">
        <w:rPr>
          <w:rFonts w:ascii="Times New Roman" w:hAnsi="Times New Roman" w:cs="Times New Roman"/>
          <w:b/>
          <w:sz w:val="24"/>
          <w:szCs w:val="24"/>
        </w:rPr>
        <w:t>)</w:t>
      </w:r>
    </w:p>
    <w:p w:rsidR="004462CD" w:rsidRDefault="00F83104" w:rsidP="004462CD">
      <w:pPr>
        <w:spacing w:line="240" w:lineRule="auto"/>
        <w:jc w:val="both"/>
        <w:rPr>
          <w:sz w:val="20"/>
          <w:szCs w:val="20"/>
        </w:rPr>
      </w:pPr>
      <w:r>
        <w:rPr>
          <w:sz w:val="20"/>
          <w:szCs w:val="20"/>
        </w:rPr>
        <w:t xml:space="preserve">    </w:t>
      </w:r>
      <w:r w:rsidR="003C794E">
        <w:rPr>
          <w:rFonts w:ascii="Verdana" w:hAnsi="Verdana"/>
          <w:noProof/>
          <w:sz w:val="19"/>
          <w:szCs w:val="19"/>
          <w:lang w:eastAsia="es-ES"/>
        </w:rPr>
        <w:drawing>
          <wp:inline distT="0" distB="0" distL="0" distR="0" wp14:anchorId="27DD477E" wp14:editId="6F0C6B56">
            <wp:extent cx="5099050" cy="2393950"/>
            <wp:effectExtent l="0" t="0" r="6350" b="6350"/>
            <wp:docPr id="40" name="Imagen 40" descr="Si Francia  estuviera en condiciones de cumplir con su potencial actual de producciÃ³n, su Producto Interno Bruto (PIB) serÃ­a 2.7 por ciento superior  al actual. No obstante, seguirÃ­a siendo 7.5 por ciento inferior a lo previsto si no fuera por los efectos de la crisis de 2008, de acuerdo con el anÃ¡lisis. Foto: Espe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i Francia  estuviera en condiciones de cumplir con su potencial actual de producciÃ³n, su Producto Interno Bruto (PIB) serÃ­a 2.7 por ciento superior  al actual. No obstante, seguirÃ­a siendo 7.5 por ciento inferior a lo previsto si no fuera por los efectos de la crisis de 2008, de acuerdo con el anÃ¡lisis. Foto: Especia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01451" cy="2395077"/>
                    </a:xfrm>
                    <a:prstGeom prst="rect">
                      <a:avLst/>
                    </a:prstGeom>
                    <a:noFill/>
                    <a:ln>
                      <a:noFill/>
                    </a:ln>
                  </pic:spPr>
                </pic:pic>
              </a:graphicData>
            </a:graphic>
          </wp:inline>
        </w:drawing>
      </w:r>
    </w:p>
    <w:p w:rsidR="003C794E" w:rsidRPr="004462CD" w:rsidRDefault="003C794E" w:rsidP="004462CD">
      <w:pPr>
        <w:spacing w:line="240" w:lineRule="auto"/>
        <w:jc w:val="both"/>
        <w:rPr>
          <w:rFonts w:ascii="Times New Roman" w:hAnsi="Times New Roman" w:cs="Times New Roman"/>
          <w:sz w:val="20"/>
          <w:szCs w:val="20"/>
        </w:rPr>
      </w:pPr>
      <w:r w:rsidRPr="004462CD">
        <w:rPr>
          <w:rFonts w:ascii="Times New Roman" w:hAnsi="Times New Roman" w:cs="Times New Roman"/>
          <w:sz w:val="20"/>
          <w:szCs w:val="20"/>
        </w:rPr>
        <w:t>Si Francia estuviera en condiciones de cumplir con su potencial actual de producción, su Producto Interno Bruto (PIB) sería 2.7 por ciento superior al actual. No obstante, seguiría siendo 7.5 por ciento inferior a lo previsto si no fuera por los efectos de la crisis de 2008, de acuerdo</w:t>
      </w:r>
      <w:r w:rsidR="004462CD">
        <w:rPr>
          <w:rFonts w:ascii="Times New Roman" w:hAnsi="Times New Roman" w:cs="Times New Roman"/>
          <w:sz w:val="20"/>
          <w:szCs w:val="20"/>
        </w:rPr>
        <w:t xml:space="preserve"> con el análisis… (</w:t>
      </w:r>
      <w:r w:rsidR="004462CD" w:rsidRPr="004462CD">
        <w:rPr>
          <w:rFonts w:ascii="Times New Roman" w:hAnsi="Times New Roman" w:cs="Times New Roman"/>
          <w:sz w:val="20"/>
          <w:szCs w:val="20"/>
        </w:rPr>
        <w:t xml:space="preserve">The Economist </w:t>
      </w:r>
      <w:r w:rsidR="004462CD">
        <w:rPr>
          <w:rFonts w:ascii="Times New Roman" w:hAnsi="Times New Roman" w:cs="Times New Roman"/>
          <w:sz w:val="20"/>
          <w:szCs w:val="20"/>
        </w:rPr>
        <w:t>-</w:t>
      </w:r>
      <w:r w:rsidR="004462CD" w:rsidRPr="004462CD">
        <w:rPr>
          <w:rFonts w:ascii="Times New Roman" w:hAnsi="Times New Roman" w:cs="Times New Roman"/>
          <w:sz w:val="20"/>
          <w:szCs w:val="20"/>
        </w:rPr>
        <w:t xml:space="preserve"> </w:t>
      </w:r>
      <w:r w:rsidR="004462CD" w:rsidRPr="004462CD">
        <w:rPr>
          <w:rFonts w:ascii="Times New Roman" w:hAnsi="Times New Roman" w:cs="Times New Roman"/>
          <w:b/>
          <w:sz w:val="20"/>
          <w:szCs w:val="20"/>
        </w:rPr>
        <w:t>16/6/14</w:t>
      </w:r>
      <w:r w:rsidR="004462CD">
        <w:rPr>
          <w:rFonts w:ascii="Times New Roman" w:hAnsi="Times New Roman" w:cs="Times New Roman"/>
          <w:sz w:val="20"/>
          <w:szCs w:val="20"/>
        </w:rPr>
        <w:t xml:space="preserve">) </w:t>
      </w:r>
    </w:p>
    <w:p w:rsidR="003C794E" w:rsidRDefault="00F83104" w:rsidP="003C794E">
      <w:pPr>
        <w:pStyle w:val="NormalWeb"/>
        <w:jc w:val="both"/>
        <w:rPr>
          <w:sz w:val="20"/>
          <w:szCs w:val="20"/>
        </w:rPr>
      </w:pPr>
      <w:r>
        <w:rPr>
          <w:sz w:val="20"/>
          <w:szCs w:val="20"/>
        </w:rPr>
        <w:t xml:space="preserve">    </w:t>
      </w:r>
      <w:r w:rsidR="004462CD">
        <w:rPr>
          <w:rFonts w:ascii="Arial" w:hAnsi="Arial" w:cs="Arial"/>
          <w:noProof/>
          <w:color w:val="333333"/>
          <w:sz w:val="15"/>
          <w:szCs w:val="15"/>
        </w:rPr>
        <w:drawing>
          <wp:inline distT="0" distB="0" distL="0" distR="0" wp14:anchorId="6FB1E15B" wp14:editId="161F4F2E">
            <wp:extent cx="5099050" cy="4191000"/>
            <wp:effectExtent l="0" t="0" r="6350" b="0"/>
            <wp:docPr id="24" name="Imagen 24" descr="http://si.wsj.net/public/resources/images/OA-BC328_wsjamd_NS_20141014193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wsj.net/public/resources/images/OA-BC328_wsjamd_NS_2014101419321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01450" cy="4192973"/>
                    </a:xfrm>
                    <a:prstGeom prst="rect">
                      <a:avLst/>
                    </a:prstGeom>
                    <a:noFill/>
                    <a:ln>
                      <a:noFill/>
                    </a:ln>
                  </pic:spPr>
                </pic:pic>
              </a:graphicData>
            </a:graphic>
          </wp:inline>
        </w:drawing>
      </w:r>
    </w:p>
    <w:p w:rsidR="004462CD" w:rsidRPr="004462CD" w:rsidRDefault="004462CD" w:rsidP="004462CD">
      <w:pPr>
        <w:spacing w:before="100" w:beforeAutospacing="1" w:after="100" w:afterAutospacing="1" w:line="240" w:lineRule="auto"/>
        <w:jc w:val="both"/>
        <w:rPr>
          <w:rFonts w:ascii="Times New Roman" w:hAnsi="Times New Roman"/>
          <w:sz w:val="20"/>
          <w:szCs w:val="20"/>
        </w:rPr>
      </w:pPr>
      <w:r w:rsidRPr="004462CD">
        <w:rPr>
          <w:rFonts w:ascii="Times New Roman" w:hAnsi="Times New Roman"/>
          <w:sz w:val="20"/>
          <w:szCs w:val="20"/>
        </w:rPr>
        <w:t>“Mi temor, compartido por muchos, es que si no adaptamos (las políticas económicas de la zona euro) terminaremos en un período prolongado de… crecimiento muy bajo e inflació</w:t>
      </w:r>
      <w:r>
        <w:rPr>
          <w:rFonts w:ascii="Times New Roman" w:hAnsi="Times New Roman"/>
          <w:sz w:val="20"/>
          <w:szCs w:val="20"/>
        </w:rPr>
        <w:t xml:space="preserve">n muy baja”, manifestó el </w:t>
      </w:r>
      <w:r w:rsidRPr="004462CD">
        <w:rPr>
          <w:rFonts w:ascii="Times New Roman" w:hAnsi="Times New Roman"/>
          <w:sz w:val="20"/>
          <w:szCs w:val="20"/>
        </w:rPr>
        <w:t xml:space="preserve"> ministro francés de Finanzas, Michel Sapin, en una reunión de ministros de Hacienda en Luxemburgo. “Corremos el riesgo de ingresar en un período a lo Japón que causaría mucho daño a nuestras economías… y nuestros presupuestos”, agregó Sapin, en alusión a los largos años que Japón ha combatido la def</w:t>
      </w:r>
      <w:r>
        <w:rPr>
          <w:rFonts w:ascii="Times New Roman" w:hAnsi="Times New Roman"/>
          <w:sz w:val="20"/>
          <w:szCs w:val="20"/>
        </w:rPr>
        <w:t xml:space="preserve">lación y un crecimiento anémico… </w:t>
      </w:r>
      <w:r w:rsidRPr="004462CD">
        <w:rPr>
          <w:rFonts w:ascii="Times New Roman" w:hAnsi="Times New Roman"/>
          <w:sz w:val="20"/>
          <w:szCs w:val="20"/>
        </w:rPr>
        <w:t xml:space="preserve">(The Wall Street Journal - </w:t>
      </w:r>
      <w:r w:rsidRPr="004462CD">
        <w:rPr>
          <w:rFonts w:ascii="Times New Roman" w:hAnsi="Times New Roman"/>
          <w:b/>
          <w:sz w:val="20"/>
          <w:szCs w:val="20"/>
        </w:rPr>
        <w:t>15/10/14</w:t>
      </w:r>
      <w:r w:rsidRPr="004462CD">
        <w:rPr>
          <w:rFonts w:ascii="Times New Roman" w:hAnsi="Times New Roman"/>
          <w:sz w:val="20"/>
          <w:szCs w:val="20"/>
        </w:rPr>
        <w:t>)</w:t>
      </w:r>
    </w:p>
    <w:p w:rsidR="004462CD" w:rsidRDefault="00D356D5" w:rsidP="00D356D5">
      <w:pPr>
        <w:pStyle w:val="NormalWeb"/>
        <w:jc w:val="both"/>
        <w:rPr>
          <w:b/>
        </w:rPr>
      </w:pPr>
      <w:r w:rsidRPr="00D356D5">
        <w:rPr>
          <w:b/>
        </w:rPr>
        <w:lastRenderedPageBreak/>
        <w:t>- Recuento de daños</w:t>
      </w:r>
      <w:r w:rsidR="00190DE7">
        <w:rPr>
          <w:b/>
        </w:rPr>
        <w:t xml:space="preserve"> (lo que la crisis se llevó)</w:t>
      </w:r>
    </w:p>
    <w:p w:rsidR="00D356D5" w:rsidRDefault="00D356D5" w:rsidP="00D356D5">
      <w:pPr>
        <w:pStyle w:val="NormalWeb"/>
        <w:jc w:val="both"/>
      </w:pPr>
      <w:r>
        <w:t>Cada año, la OCDE da a conocer una perspectiva económica que incluye estimaciones de la producción económica potencial de sus miembros, el nivel de producción más alto que cada economía factiblemente sostendría sin encender la inflación.</w:t>
      </w:r>
    </w:p>
    <w:p w:rsidR="00D356D5" w:rsidRDefault="00D356D5" w:rsidP="00D356D5">
      <w:pPr>
        <w:pStyle w:val="NormalWeb"/>
        <w:jc w:val="both"/>
      </w:pPr>
      <w:r>
        <w:t>Esto se calcula con base en las tendencias a largo plazo en la inversión, el crecimiento de la fuerza laboral y la productividad de trabajadores y capital, y más de cada uno significa que una economía posee una mayor capacidad económica.</w:t>
      </w:r>
    </w:p>
    <w:p w:rsidR="00D356D5" w:rsidRDefault="00D356D5" w:rsidP="00D356D5">
      <w:pPr>
        <w:pStyle w:val="NormalWeb"/>
        <w:jc w:val="both"/>
      </w:pPr>
      <w:r>
        <w:t>Un nuevo informe elaborado por Laurence Ball, de la Universidad Johns Hopkins en Baltimore, suma sus costos al comparar las estimaciones del potencial económico</w:t>
      </w:r>
      <w:r w:rsidR="00067334">
        <w:t>,</w:t>
      </w:r>
      <w:r>
        <w:t xml:space="preserve"> antes y des</w:t>
      </w:r>
      <w:r w:rsidR="000F770B">
        <w:t>pués de la crisis, publicada</w:t>
      </w:r>
      <w:r w:rsidR="00C70D04">
        <w:t>s</w:t>
      </w:r>
      <w:r>
        <w:t xml:space="preserve"> por la Organización para la Cooper</w:t>
      </w:r>
      <w:r w:rsidR="000F770B">
        <w:t>ación y el Desarrollo Económico</w:t>
      </w:r>
      <w:r>
        <w:t xml:space="preserve"> (OCDE).</w:t>
      </w:r>
    </w:p>
    <w:p w:rsidR="00D356D5" w:rsidRDefault="00D356D5" w:rsidP="00D356D5">
      <w:pPr>
        <w:pStyle w:val="NormalWeb"/>
        <w:jc w:val="both"/>
      </w:pPr>
      <w:r>
        <w:t>Ball extrapola la tendencia en el potencial de 2000 a 2009 y se adelanta a 2015, luego compara esa línea de tendencia con las cifras más recientemente publicadas por la OCDE, dadas a conocer en mayo.</w:t>
      </w:r>
    </w:p>
    <w:p w:rsidR="00D356D5" w:rsidRDefault="00D356D5" w:rsidP="00D356D5">
      <w:pPr>
        <w:pStyle w:val="NormalWeb"/>
        <w:jc w:val="both"/>
      </w:pPr>
      <w:r>
        <w:t>Antes de la crisis, algunas economías estaban operando un poco por encima de su verdadero potencial, gracias al crecimiento insostenible del crédito. En el alboroto que siguió, el mundo rico perdió ese terreno y mucho más.</w:t>
      </w:r>
    </w:p>
    <w:p w:rsidR="00D356D5" w:rsidRDefault="00D356D5" w:rsidP="00D356D5">
      <w:pPr>
        <w:pStyle w:val="NormalWeb"/>
        <w:jc w:val="both"/>
      </w:pPr>
      <w:r>
        <w:t>Unos cuantos países ricos, como Australia y Suiza, pasaron los últimos siete años en gran medida ilesos, pero la mayoría pagó el equivalente macroeconómico de un brazo o una pierna. El año 2013, la producción potencial estuvo 4.7 por ciento por debajo de la tendencia previa a la crisis en Estados Unidos y 11 por ciento por debajo de la tendencia en Gran Bretaña.</w:t>
      </w:r>
    </w:p>
    <w:p w:rsidR="00D356D5" w:rsidRDefault="00D356D5" w:rsidP="00D356D5">
      <w:pPr>
        <w:pStyle w:val="NormalWeb"/>
        <w:jc w:val="both"/>
      </w:pPr>
      <w:r>
        <w:t>La periferia europea ha obtenido resultados aún peores, con la producción potencial en Grecia aproximadamente 30 por ciento por debajo de la tendencia. Para 2015, se proyecta que la pérdida promedio ponderada entre los países ricos en general alcanzará un 8.4 por ciento, como si toda la economía alemana se hubiera evaporado.</w:t>
      </w:r>
    </w:p>
    <w:p w:rsidR="00D356D5" w:rsidRDefault="00D356D5" w:rsidP="00D356D5">
      <w:pPr>
        <w:pStyle w:val="NormalWeb"/>
        <w:jc w:val="both"/>
      </w:pPr>
      <w:r>
        <w:t>En muchas economías ricas, el descenso en la producción potencial es casi tan grande como la caída en la producción real. Si Francia cumpliera su potencial actual, el PIB sería 2.7 por ciento más alto que en la actualidad, pero seguiría 7.5 por ciento por debajo de lo que habría sido posible si no fuera por la crisis.</w:t>
      </w:r>
    </w:p>
    <w:p w:rsidR="00D356D5" w:rsidRDefault="00D356D5" w:rsidP="00D356D5">
      <w:pPr>
        <w:pStyle w:val="NormalWeb"/>
        <w:jc w:val="both"/>
      </w:pPr>
      <w:r>
        <w:t>Las cifras sugieren que muchas economías, en Europa especialmente, han sufrido un daño estructural que solo puede corregirse a través de una reforma ambiciosa y una inversión en auge, y ninguna de las dos cosas parece estar en el horizonte.</w:t>
      </w:r>
    </w:p>
    <w:p w:rsidR="00D356D5" w:rsidRDefault="00D356D5" w:rsidP="00D356D5">
      <w:pPr>
        <w:pStyle w:val="NormalWeb"/>
        <w:jc w:val="both"/>
      </w:pPr>
      <w:r>
        <w:t>En forma más bien desagradable, la crisis debilitó el crecimiento a través de múltiples canales. En otro informe nuevo, Robert Hall, de la Universidad de Stanford en Palo Alto, California, disecciona el “desastre macroeconómico” de Estados Unidos para comprender mejor sus elementos.</w:t>
      </w:r>
    </w:p>
    <w:p w:rsidR="00D356D5" w:rsidRDefault="00D356D5" w:rsidP="00D356D5">
      <w:pPr>
        <w:pStyle w:val="NormalWeb"/>
        <w:jc w:val="both"/>
      </w:pPr>
      <w:r>
        <w:t xml:space="preserve">Desde fines de 2007 hasta 2013, escribe, la producción estadunidense cayó en un acumulativo 13.3 por ciento por debajo de la tendencia previa a la crisis, y la mayor </w:t>
      </w:r>
      <w:r>
        <w:lastRenderedPageBreak/>
        <w:t>parte de ese déficit -con valor de 12.4 puntos porcentuales- ocurrió para fines de 2010. Sin embargo, las causas del subdesempeño han cambiado con el tiempo, reflejando un padecimiento que pasó de lo grave a lo crónico.</w:t>
      </w:r>
    </w:p>
    <w:p w:rsidR="00D356D5" w:rsidRDefault="00D356D5" w:rsidP="00D356D5">
      <w:pPr>
        <w:pStyle w:val="NormalWeb"/>
        <w:jc w:val="both"/>
      </w:pPr>
      <w:r>
        <w:t>Hall identifica cuatro factores principales que contribuyeron al desalentador crecimiento: desempleo, participación de la fuerza laboral, inversión de capital y productividad.</w:t>
      </w:r>
    </w:p>
    <w:p w:rsidR="00D356D5" w:rsidRDefault="00D356D5" w:rsidP="00D356D5">
      <w:pPr>
        <w:pStyle w:val="NormalWeb"/>
        <w:jc w:val="both"/>
      </w:pPr>
      <w:r>
        <w:t>El desempleo importó más entre 2007 y 2010, cuando los efectos graves de la recesión fueron más severos. El empleo tambaleante y las reducidas horas laborales representan aproximadamente 41 por ciento de la declinación en el PIB en relación con la tendencia en ese periodo. Estos factores se han vuelto menos importantes con el tiempo, sin embargo, y durante 2013 fueron responsables de solo 22 por ciento del déficit.</w:t>
      </w:r>
    </w:p>
    <w:p w:rsidR="00D356D5" w:rsidRDefault="00D356D5" w:rsidP="00D356D5">
      <w:pPr>
        <w:pStyle w:val="NormalWeb"/>
        <w:jc w:val="both"/>
      </w:pPr>
      <w:r>
        <w:t>A la inversa, las bajas tasas de participación en la fuerza laboral contribuyeron con ligeramente menos del 10 por ciento al déficit en el PIB actual hasta 2010, pero se han vuelto un lastre más grave desde entonces.</w:t>
      </w:r>
    </w:p>
    <w:p w:rsidR="00D356D5" w:rsidRDefault="00D356D5" w:rsidP="00D356D5">
      <w:pPr>
        <w:pStyle w:val="NormalWeb"/>
        <w:jc w:val="both"/>
      </w:pPr>
      <w:r>
        <w:t>Alrededor de un tercio de la declinación en la participación se debe al envejecimiento, estima Hall. Aunque parte del resto pudiera revertirse con una demanda más fuerte de mano de obra, algunas formas de histéresis, como personas que abandonan la fuerza laboral para reclamar beneficios de discapacidad, serán permanentes en ausencia de una reforma vigorosa.</w:t>
      </w:r>
    </w:p>
    <w:p w:rsidR="00D356D5" w:rsidRDefault="00D356D5" w:rsidP="00D356D5">
      <w:pPr>
        <w:pStyle w:val="NormalWeb"/>
        <w:jc w:val="both"/>
      </w:pPr>
      <w:r>
        <w:t>La inversión tiene un lugar mayor en la decepcionante recuperación de Estados Unidos. El capital social de Estados Unidos está un asombroso 13 por ciento por debajo de su tendencia previa a la crisis. La vivienda representa gran parte de eso, y Hall estima que se debe culpar a la inversión excesiva antes de la crisis.</w:t>
      </w:r>
    </w:p>
    <w:p w:rsidR="00D356D5" w:rsidRDefault="00D356D5" w:rsidP="00D356D5">
      <w:pPr>
        <w:pStyle w:val="NormalWeb"/>
        <w:jc w:val="both"/>
      </w:pPr>
      <w:r>
        <w:t>Sin embargo, la inversión en plantas, equipo y propiedad intelectual también se ha quedado corta en relación con la tendencia anterior. Eso es gracias en gran medida a la renuencia de las empresas a correr riesgos a mediano plazo haciendo inversiones diseñadas para redituar en el curso de una década.</w:t>
      </w:r>
    </w:p>
    <w:p w:rsidR="00D356D5" w:rsidRDefault="00D356D5" w:rsidP="00D356D5">
      <w:pPr>
        <w:pStyle w:val="NormalWeb"/>
        <w:jc w:val="both"/>
      </w:pPr>
      <w:r>
        <w:t>El déficit de inversión podría estar contribuyendo al débil crecimiento de la productividad, el cuarto culpable detrás del desaparecido PIB de Estados Unidos. Hall advierte que los datos son demasiado escasos para trazar un nexo directo entre la recesión y el decepcionante crecimiento de la productividad, pero estima que hay poca razón para esperar que se recupere parte del terreno perdido en los últimos años, dada la ausencia de una inesperada bonanza tecnológica.</w:t>
      </w:r>
    </w:p>
    <w:p w:rsidR="002F0ED3" w:rsidRDefault="00D356D5" w:rsidP="002F0ED3">
      <w:pPr>
        <w:pStyle w:val="NormalWeb"/>
        <w:jc w:val="both"/>
      </w:pPr>
      <w:r>
        <w:t>Aun así, Estados Unidos es afortunado. Se espera que su tasa de crecimiento potencial se recupere a apenas un poco menos que la tendencia previa a la crisis, según el análisis de Ball. Donde la demografía y la productividad lucen peor, el panorama es mucho más sombrío. El mundo rico sobrevivió a sus crisis, pero quedará marcado por mucho tiempo.</w:t>
      </w:r>
    </w:p>
    <w:p w:rsidR="00190DE7" w:rsidRDefault="00190DE7" w:rsidP="002F0ED3">
      <w:pPr>
        <w:pStyle w:val="NormalWeb"/>
        <w:jc w:val="both"/>
      </w:pPr>
    </w:p>
    <w:p w:rsidR="00190DE7" w:rsidRDefault="00190DE7" w:rsidP="002F0ED3">
      <w:pPr>
        <w:pStyle w:val="NormalWeb"/>
        <w:jc w:val="both"/>
      </w:pPr>
    </w:p>
    <w:p w:rsidR="00190DE7" w:rsidRPr="00190DE7" w:rsidRDefault="00190DE7" w:rsidP="002F0ED3">
      <w:pPr>
        <w:pStyle w:val="NormalWeb"/>
        <w:jc w:val="both"/>
        <w:rPr>
          <w:b/>
        </w:rPr>
      </w:pPr>
      <w:r w:rsidRPr="00190DE7">
        <w:rPr>
          <w:b/>
          <w:color w:val="000000"/>
        </w:rPr>
        <w:lastRenderedPageBreak/>
        <w:t xml:space="preserve">- </w:t>
      </w:r>
      <w:r>
        <w:rPr>
          <w:b/>
          <w:color w:val="000000"/>
        </w:rPr>
        <w:t>¿D</w:t>
      </w:r>
      <w:r w:rsidRPr="00190DE7">
        <w:rPr>
          <w:b/>
          <w:color w:val="000000"/>
        </w:rPr>
        <w:t>ónde e</w:t>
      </w:r>
      <w:r>
        <w:rPr>
          <w:b/>
          <w:color w:val="000000"/>
        </w:rPr>
        <w:t>starían los países ricos si la crisis</w:t>
      </w:r>
      <w:r w:rsidRPr="00190DE7">
        <w:rPr>
          <w:b/>
          <w:color w:val="000000"/>
        </w:rPr>
        <w:t xml:space="preserve"> no hubiese existido?</w:t>
      </w:r>
    </w:p>
    <w:p w:rsidR="002F0ED3" w:rsidRPr="00190DE7" w:rsidRDefault="002F0ED3" w:rsidP="002F0ED3">
      <w:pPr>
        <w:pStyle w:val="NormalWeb"/>
        <w:jc w:val="both"/>
        <w:rPr>
          <w:b/>
          <w:i/>
        </w:rPr>
      </w:pPr>
      <w:r>
        <w:rPr>
          <w:rStyle w:val="Textoennegrita"/>
          <w:b w:val="0"/>
          <w:i/>
        </w:rPr>
        <w:t>“</w:t>
      </w:r>
      <w:r w:rsidRPr="002F0ED3">
        <w:rPr>
          <w:rStyle w:val="Textoennegrita"/>
          <w:b w:val="0"/>
          <w:i/>
        </w:rPr>
        <w:t>Desde el inicio de la crisis a finales de 2007 el mundo ha perdido al menos el equivalente al peso económico de Alemania. Así lo asegura el análisis del economista Laurence Ball, profesor de la Universidad Johns Hopkins, titulado “</w:t>
      </w:r>
      <w:hyperlink r:id="rId9" w:tgtFrame="_blank" w:history="1">
        <w:r w:rsidRPr="002F0ED3">
          <w:rPr>
            <w:rStyle w:val="Textoennegrita"/>
            <w:b w:val="0"/>
            <w:i/>
            <w:u w:val="single"/>
          </w:rPr>
          <w:t>Daños a largo plazo de la gran recesión en países de la OCDE</w:t>
        </w:r>
      </w:hyperlink>
      <w:r w:rsidRPr="002F0ED3">
        <w:rPr>
          <w:rStyle w:val="Textoennegrita"/>
          <w:b w:val="0"/>
          <w:i/>
        </w:rPr>
        <w:t>”. Sus estimaciones se basan en la extrapolación de los datos del PIB de la OCDE (Organización para la Cooperación y el Desarrollo Económico) desde diciembre de 2007 (lo que llama pre-crisis) hasta el año 2015</w:t>
      </w:r>
      <w:r>
        <w:rPr>
          <w:rStyle w:val="Textoennegrita"/>
          <w:b w:val="0"/>
          <w:i/>
        </w:rPr>
        <w:t>”..</w:t>
      </w:r>
      <w:r w:rsidRPr="002F0ED3">
        <w:rPr>
          <w:b/>
          <w:i/>
        </w:rPr>
        <w:t xml:space="preserve">. </w:t>
      </w:r>
      <w:r>
        <w:rPr>
          <w:color w:val="000000"/>
        </w:rPr>
        <w:t xml:space="preserve">(El Confidencial - </w:t>
      </w:r>
      <w:r w:rsidRPr="00346162">
        <w:rPr>
          <w:b/>
          <w:color w:val="000000"/>
        </w:rPr>
        <w:t>15/10/14</w:t>
      </w:r>
      <w:r>
        <w:rPr>
          <w:color w:val="000000"/>
        </w:rPr>
        <w:t>)</w:t>
      </w:r>
    </w:p>
    <w:p w:rsidR="00D356D5" w:rsidRDefault="00D356D5" w:rsidP="00D356D5">
      <w:pPr>
        <w:pStyle w:val="NormalWeb"/>
        <w:shd w:val="clear" w:color="auto" w:fill="FFFFFF"/>
        <w:spacing w:line="288" w:lineRule="atLeast"/>
        <w:jc w:val="both"/>
        <w:rPr>
          <w:rStyle w:val="Textoennegrita"/>
          <w:color w:val="333333"/>
        </w:rPr>
      </w:pPr>
      <w:r w:rsidRPr="008052DB">
        <w:rPr>
          <w:b/>
          <w:bCs/>
          <w:i/>
          <w:iCs/>
          <w:noProof/>
          <w:color w:val="506050"/>
        </w:rPr>
        <w:drawing>
          <wp:inline distT="0" distB="0" distL="0" distR="0" wp14:anchorId="5230C474" wp14:editId="33ED6963">
            <wp:extent cx="5359400" cy="3708400"/>
            <wp:effectExtent l="0" t="0" r="0" b="6350"/>
            <wp:docPr id="39" name="Imagen 39" descr="España tendría un 22,3 por ciento más de PIB si no hubiera existido la crisis">
              <a:hlinkClick xmlns:a="http://schemas.openxmlformats.org/drawingml/2006/main" r:id="rId10" tooltip="&quot;España tendría un 22,3 por ciento más de PIB si no hubiera existido la crisi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spaña tendría un 22,3 por ciento más de PIB si no hubiera existido la crisis">
                      <a:hlinkClick r:id="rId10" tooltip="&quot;España tendría un 22,3 por ciento más de PIB si no hubiera existido la crisis&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9400" cy="3708400"/>
                    </a:xfrm>
                    <a:prstGeom prst="rect">
                      <a:avLst/>
                    </a:prstGeom>
                    <a:noFill/>
                    <a:ln>
                      <a:noFill/>
                    </a:ln>
                  </pic:spPr>
                </pic:pic>
              </a:graphicData>
            </a:graphic>
          </wp:inline>
        </w:drawing>
      </w:r>
    </w:p>
    <w:p w:rsidR="00D356D5" w:rsidRPr="002F0ED3" w:rsidRDefault="00D356D5" w:rsidP="002F0ED3">
      <w:pPr>
        <w:pStyle w:val="NormalWeb"/>
        <w:shd w:val="clear" w:color="auto" w:fill="FFFFFF"/>
        <w:jc w:val="both"/>
      </w:pPr>
      <w:r w:rsidRPr="002F0ED3">
        <w:t xml:space="preserve">Entender los enclaves macroeconómicos nunca fue fácil, por lo que recurrir a símiles y ejemplos ayuda </w:t>
      </w:r>
      <w:r w:rsidR="002F0ED3">
        <w:t>bastante. Quizá por ello Ball</w:t>
      </w:r>
      <w:r w:rsidRPr="002F0ED3">
        <w:t xml:space="preserve"> se ha preguntado cómo estaría el Producto Interior Bruto de los 23 países analizados si no hubiera habido crisis, es decir, si se hubiera mantenido la tendencia de crecimiento. Según sus cálculos, la pérdida de producción po</w:t>
      </w:r>
      <w:r w:rsidR="002F0ED3">
        <w:t xml:space="preserve">tencial prevista para el </w:t>
      </w:r>
      <w:r w:rsidRPr="002F0ED3">
        <w:t>año</w:t>
      </w:r>
      <w:r w:rsidR="002F0ED3">
        <w:t xml:space="preserve"> 2015</w:t>
      </w:r>
      <w:r w:rsidRPr="002F0ED3">
        <w:t xml:space="preserve"> es de un 8,4 por ciento, en relación a la situación anterior; un porcentaje equiparable al peso de la economía alemana en la economía global (8,2 por ciento). Por tanto, la pérdida en tan sólo 23 países es similar o incluso superior a si hubiera desaparecido la economía alemana. </w:t>
      </w:r>
    </w:p>
    <w:p w:rsidR="00D356D5" w:rsidRPr="002F0ED3" w:rsidRDefault="00D356D5" w:rsidP="002F0ED3">
      <w:pPr>
        <w:pStyle w:val="NormalWeb"/>
        <w:shd w:val="clear" w:color="auto" w:fill="FFFFFF"/>
        <w:jc w:val="both"/>
      </w:pPr>
      <w:r w:rsidRPr="002F0ED3">
        <w:t xml:space="preserve">Los datos son más clarificadores divididos por países. Así, Grecia es de los Estados analizados que sale peor parado: su pérdida en el PIB es de un 35,4 por ciento, seguido de Irlanda (-34,2) y Hungría (-30,5). España ocupa el quinto lugar con una pérdida potencial del 22,3 por ciento, muy por encima por ejemplo del registro del vecino Portugal, cuyo Producto Interior Bruto cayó un 13,7 por ciento tras haber sufrido tres años de intervención de la troika. Además de los conocidos como PIIGS (Portugal, Italia, Irlanda, Grecia y España), el Reino Unido y Finlandia ocupan posiciones elevadas en esta clasificación negativa: el octavo y el sexto puesto, respectivamente. </w:t>
      </w:r>
    </w:p>
    <w:p w:rsidR="00D356D5" w:rsidRPr="002F0ED3" w:rsidRDefault="00D356D5" w:rsidP="002F0ED3">
      <w:pPr>
        <w:pStyle w:val="NormalWeb"/>
        <w:shd w:val="clear" w:color="auto" w:fill="FFFFFF"/>
        <w:jc w:val="both"/>
      </w:pPr>
      <w:r w:rsidRPr="002F0ED3">
        <w:lastRenderedPageBreak/>
        <w:t>Sólo Suiza ha mejorado las previsiones (0,9 por ciento) entre los 23 países analizados. Y las pérdidas no han sido demasiado elevadas en Australia (-1,8), Alemania (-3,4) y Estados Unidos (-5,3). El PIB de estos países se mantiene bastante similar a lo que hubiera ocurrido en un escenario sin crisis económica y financiera, pues apenas les ha golpead</w:t>
      </w:r>
      <w:r w:rsidR="002F0ED3">
        <w:t>o en términos macroeconómicos. “</w:t>
      </w:r>
      <w:r w:rsidRPr="002F0ED3">
        <w:t>Las economías más afectadas son las de la periferia de la zona del euro, que experimentaron severas deudas bancarias. En el otro extremo, Australia está casi ilesa debido a factores como el estímulo fiscal y l</w:t>
      </w:r>
      <w:r w:rsidR="002F0ED3">
        <w:t>as fuertes exportaciones a Asia”</w:t>
      </w:r>
      <w:r w:rsidRPr="002F0ED3">
        <w:t xml:space="preserve">, explica Ball. </w:t>
      </w:r>
    </w:p>
    <w:p w:rsidR="00D356D5" w:rsidRPr="002F0ED3" w:rsidRDefault="00D356D5" w:rsidP="002F0ED3">
      <w:pPr>
        <w:pStyle w:val="NormalWeb"/>
        <w:shd w:val="clear" w:color="auto" w:fill="FFFFFF"/>
        <w:jc w:val="both"/>
      </w:pPr>
      <w:r w:rsidRPr="002F0ED3">
        <w:t>El profesor de la Universidad Johns Hopkins concluye que las recesiones recientes han tenido graves efectos sobre la capacidad productiva de las economías, como indican las estimaciones de la OCDE y del Fondo Monetario Internacional sobre la producción pot</w:t>
      </w:r>
      <w:r w:rsidR="002F0ED3">
        <w:t>encial. “</w:t>
      </w:r>
      <w:r w:rsidRPr="002F0ED3">
        <w:t xml:space="preserve">En la mayoría de los países, la caída con respecto a su tendencia anterior a la crisis ha sido casi tan grande como la caída de la producción real. En consecuencia, los países con las más profundas recesiones también han experimentado los daños a </w:t>
      </w:r>
      <w:r w:rsidR="002F0ED3">
        <w:t>mayor largo plazo”</w:t>
      </w:r>
      <w:r w:rsidRPr="002F0ED3">
        <w:t xml:space="preserve">, añade. </w:t>
      </w:r>
    </w:p>
    <w:p w:rsidR="00D356D5" w:rsidRDefault="00D356D5" w:rsidP="002F0ED3">
      <w:pPr>
        <w:pStyle w:val="NormalWeb"/>
        <w:shd w:val="clear" w:color="auto" w:fill="FFFFFF"/>
        <w:jc w:val="both"/>
      </w:pPr>
      <w:r w:rsidRPr="002F0ED3">
        <w:t>La medición de este PIB potencial está asocia</w:t>
      </w:r>
      <w:r w:rsidR="002F0ED3">
        <w:t>da a la definición del llamado “desempleo estructural”</w:t>
      </w:r>
      <w:r w:rsidRPr="002F0ED3">
        <w:t xml:space="preserve">, la tasa de desempleo que no acelera la inflación. Una de las consecuencias de la pérdida de producto potencial acaba, de ese modo, por implicar un mayor nivel de desempleo estructural. </w:t>
      </w:r>
    </w:p>
    <w:p w:rsidR="00E56E14" w:rsidRDefault="00E56E14" w:rsidP="00E56E14">
      <w:pPr>
        <w:pStyle w:val="NormalWeb"/>
        <w:jc w:val="both"/>
        <w:rPr>
          <w:b/>
        </w:rPr>
      </w:pPr>
      <w:r>
        <w:t xml:space="preserve">Según explica </w:t>
      </w:r>
      <w:r w:rsidRPr="00346162">
        <w:t xml:space="preserve">este investigador y profesor de la universidad estadounidense Johns Hopkins, </w:t>
      </w:r>
      <w:r>
        <w:t>“</w:t>
      </w:r>
      <w:r w:rsidRPr="00E56E14">
        <w:rPr>
          <w:rStyle w:val="Textoennegrita"/>
          <w:b w:val="0"/>
        </w:rPr>
        <w:t>no hay ganadores” pero sí países que apenas se han visto afectados</w:t>
      </w:r>
      <w:r w:rsidRPr="00E56E14">
        <w:rPr>
          <w:b/>
        </w:rPr>
        <w:t>.</w:t>
      </w:r>
    </w:p>
    <w:p w:rsidR="00E56E14" w:rsidRPr="00190DE7" w:rsidRDefault="00E56E14" w:rsidP="00E56E14">
      <w:pPr>
        <w:pStyle w:val="NormalWeb"/>
        <w:jc w:val="both"/>
      </w:pPr>
      <w:r w:rsidRPr="00190DE7">
        <w:t xml:space="preserve">“La mayoría de los grandes perdedores </w:t>
      </w:r>
      <w:r w:rsidRPr="00190DE7">
        <w:rPr>
          <w:rStyle w:val="Textoennegrita"/>
          <w:b w:val="0"/>
        </w:rPr>
        <w:t>están en la periferia de Europa</w:t>
      </w:r>
      <w:r w:rsidRPr="00190DE7">
        <w:t>”, resalta Ball, en referencia a los llamados PIIGS (Portugal, Italia, Irlanda, Grecia y España). No es mera coincidencia, sino que, según explica, se debe a que estos países “tienen problemas de competitividad y sufren la pérdida de confianza”, lo que acarrea fugas de capital. El economista va más allá: “</w:t>
      </w:r>
      <w:r w:rsidRPr="00190DE7">
        <w:rPr>
          <w:rStyle w:val="Textoennegrita"/>
          <w:b w:val="0"/>
        </w:rPr>
        <w:t>Si hubieran tenido su propia moneda, habrían podido restaurar el crecimiento</w:t>
      </w:r>
      <w:r w:rsidRPr="00190DE7">
        <w:rPr>
          <w:rStyle w:val="Textoennegrita"/>
        </w:rPr>
        <w:t xml:space="preserve"> </w:t>
      </w:r>
      <w:r w:rsidRPr="00190DE7">
        <w:t xml:space="preserve">permitiendo la depreciación”. Y es que, según Ball, “la existencia del euro es, en cierto nivel, lo que mantiene a los países periféricos sumidos en una depresión”. La unión monetaria también es puesta encima de la mesa por la profesora del ISCTE-IUL (Instituto Universitario de Lisboa) Alexandra Ferreira, que alerta de la “inconsistencia de una moneda única junto a </w:t>
      </w:r>
      <w:r w:rsidRPr="00190DE7">
        <w:rPr>
          <w:rStyle w:val="Textoennegrita"/>
          <w:b w:val="0"/>
        </w:rPr>
        <w:t>18 Estados soberanos que elaboran su propia política presupuestaria</w:t>
      </w:r>
      <w:r w:rsidR="00C70D04">
        <w:t>”</w:t>
      </w:r>
      <w:r w:rsidRPr="00190DE7">
        <w:rPr>
          <w:b/>
        </w:rPr>
        <w:t>.</w:t>
      </w:r>
    </w:p>
    <w:p w:rsidR="00E56E14" w:rsidRPr="00190DE7" w:rsidRDefault="00E56E14" w:rsidP="00E56E14">
      <w:pPr>
        <w:pStyle w:val="NormalWeb"/>
        <w:jc w:val="both"/>
      </w:pPr>
      <w:r w:rsidRPr="00190DE7">
        <w:t xml:space="preserve">No es, sin embargo, el único factor como corrobora el paradigma del Reino Unido que, agarrado a la libra esterlina, también ha sufrido severas consecuencias. En este sentido, Ball argumenta que </w:t>
      </w:r>
      <w:r w:rsidRPr="00190DE7">
        <w:rPr>
          <w:rStyle w:val="Textoennegrita"/>
          <w:b w:val="0"/>
        </w:rPr>
        <w:t>la austeridad fiscal guarda una correlación directa</w:t>
      </w:r>
      <w:r w:rsidRPr="00190DE7">
        <w:t xml:space="preserve"> con la agudización de una crisis que, al menos en esa Europa exterior, </w:t>
      </w:r>
      <w:r w:rsidRPr="00190DE7">
        <w:rPr>
          <w:rStyle w:val="Textoennegrita"/>
          <w:b w:val="0"/>
        </w:rPr>
        <w:t>ha llegado para quedarse “una generación o más</w:t>
      </w:r>
      <w:r w:rsidRPr="00190DE7">
        <w:rPr>
          <w:b/>
        </w:rPr>
        <w:t>.</w:t>
      </w:r>
      <w:r w:rsidRPr="00190DE7">
        <w:t xml:space="preserve"> Hubiera predicho que el nivel de sufrimiento económico iba a conducir a un cambio político hacia la ruptura con el euro. Quizá incluso todavía suceda, pero la gente parece dispuesta a aceptar grandes dosis de dolor con tal de permanecer en la moneda común”, indica Ball.</w:t>
      </w:r>
    </w:p>
    <w:p w:rsidR="00E56E14" w:rsidRPr="00190DE7" w:rsidRDefault="00E56E14" w:rsidP="00E56E14">
      <w:pPr>
        <w:pStyle w:val="NormalWeb"/>
        <w:jc w:val="both"/>
      </w:pPr>
      <w:r w:rsidRPr="00190DE7">
        <w:t xml:space="preserve">Su estudio ha sido respaldado por el nobel de economía Paul </w:t>
      </w:r>
      <w:r w:rsidRPr="00190DE7">
        <w:rPr>
          <w:rStyle w:val="Textoennegrita"/>
          <w:b w:val="0"/>
        </w:rPr>
        <w:t>Krugman</w:t>
      </w:r>
      <w:r w:rsidRPr="00190DE7">
        <w:t xml:space="preserve"> en un artículo de opinión para </w:t>
      </w:r>
      <w:r w:rsidRPr="00190DE7">
        <w:rPr>
          <w:rStyle w:val="nfasis"/>
        </w:rPr>
        <w:t>The New York Times</w:t>
      </w:r>
      <w:r w:rsidRPr="00190DE7">
        <w:t xml:space="preserve">: “La gran recesión y sus secuelas han provocado un daño increíble, no sólo para la producción y el empleo a corto plazo, sino para las perspectivas de largo alcance. Los números parecen dar a entender que la crisis ha </w:t>
      </w:r>
      <w:r w:rsidRPr="00190DE7">
        <w:lastRenderedPageBreak/>
        <w:t>provocado un golpe económico cercano al 8% en el mundo avanzado, lo que es enorme. Las políticas económicas han sido mucho más destructivas de lo que pensamos”, escribe.</w:t>
      </w:r>
    </w:p>
    <w:p w:rsidR="00E56E14" w:rsidRPr="00190DE7" w:rsidRDefault="00E56E14" w:rsidP="00E56E14">
      <w:pPr>
        <w:pStyle w:val="NormalWeb"/>
        <w:jc w:val="both"/>
      </w:pPr>
      <w:r w:rsidRPr="00190DE7">
        <w:t xml:space="preserve">Al contrario de lo que podría pensarse en un principio, con la crisis no salen bien parados ni los alemanes (-3,4%). Así lo entiende también Francisco Javier Braña, catedrático de Economía aplicada de la Universidad de Salamanca: “En Europa parecía que Alemania era la ganadora, pero ya no. Puede que vuelva a entrar en recesión, </w:t>
      </w:r>
      <w:r w:rsidRPr="00190DE7">
        <w:rPr>
          <w:rStyle w:val="Textoennegrita"/>
          <w:b w:val="0"/>
        </w:rPr>
        <w:t>con un mercado de trabajo con empleos y salarios basura</w:t>
      </w:r>
      <w:r w:rsidRPr="00190DE7">
        <w:t xml:space="preserve">, junto a la sordidez y la avaricia de los grupos financieros y políticos que los apoyan”. Según este experto, más que hablar de países ganadores y perdedores </w:t>
      </w:r>
      <w:r w:rsidRPr="00190DE7">
        <w:rPr>
          <w:rStyle w:val="Textoennegrita"/>
          <w:b w:val="0"/>
        </w:rPr>
        <w:t>habría que “fijarse en quiénes son los grupos o las clases sociales que están ganando</w:t>
      </w:r>
      <w:r w:rsidRPr="00190DE7">
        <w:t xml:space="preserve"> y en los que están perdiendo”.</w:t>
      </w:r>
    </w:p>
    <w:p w:rsidR="00E56E14" w:rsidRPr="00190DE7" w:rsidRDefault="00E56E14" w:rsidP="00E56E14">
      <w:pPr>
        <w:pStyle w:val="NormalWeb"/>
        <w:jc w:val="both"/>
      </w:pPr>
      <w:r w:rsidRPr="00190DE7">
        <w:rPr>
          <w:rStyle w:val="Textoennegrita"/>
          <w:b w:val="0"/>
        </w:rPr>
        <w:t>Únicamente Suiza</w:t>
      </w:r>
      <w:r w:rsidRPr="00190DE7">
        <w:t xml:space="preserve">, de los 23 casos analizados por Ball, </w:t>
      </w:r>
      <w:r w:rsidRPr="00190DE7">
        <w:rPr>
          <w:rStyle w:val="Textoennegrita"/>
          <w:b w:val="0"/>
        </w:rPr>
        <w:t>mejora las previsiones</w:t>
      </w:r>
      <w:r w:rsidRPr="00190DE7">
        <w:t xml:space="preserve">, aunque recurriendo a la </w:t>
      </w:r>
      <w:r w:rsidR="00190DE7">
        <w:t>“</w:t>
      </w:r>
      <w:r w:rsidRPr="00190DE7">
        <w:rPr>
          <w:rStyle w:val="nfasis"/>
          <w:i w:val="0"/>
        </w:rPr>
        <w:t>foto finish</w:t>
      </w:r>
      <w:r w:rsidR="00190DE7">
        <w:rPr>
          <w:rStyle w:val="nfasis"/>
          <w:i w:val="0"/>
        </w:rPr>
        <w:t>”</w:t>
      </w:r>
      <w:r w:rsidRPr="00190DE7">
        <w:t xml:space="preserve"> (+0,9). Las pérdidas tampoco han sido elevadas en </w:t>
      </w:r>
      <w:r w:rsidRPr="00190DE7">
        <w:rPr>
          <w:rStyle w:val="Textoennegrita"/>
          <w:b w:val="0"/>
        </w:rPr>
        <w:t>Australia</w:t>
      </w:r>
      <w:r w:rsidRPr="00190DE7">
        <w:t xml:space="preserve"> (-1,8, gracias al “estímulo fiscal y a las fuertes exportaciones a Asia”, especifica el informe) ni en </w:t>
      </w:r>
      <w:r w:rsidRPr="00190DE7">
        <w:rPr>
          <w:rStyle w:val="Textoennegrita"/>
          <w:b w:val="0"/>
        </w:rPr>
        <w:t>Estados Unidos</w:t>
      </w:r>
      <w:r w:rsidRPr="00190DE7">
        <w:t xml:space="preserve"> (-5,3). El PIB de estos países se mantiene muy similar a lo que hubiera sucedido en un hipotético escenario sin crisis económica y financiera. Son, en definitiva, las economías menos afectadas en términos macroeconómicos. Quedan fuera del muestreo ejemplos como el de la </w:t>
      </w:r>
      <w:r w:rsidRPr="00190DE7">
        <w:rPr>
          <w:rStyle w:val="Textoennegrita"/>
          <w:b w:val="0"/>
        </w:rPr>
        <w:t>República Popular China, a la que algunas voces apuntan como la auténtica beneficiada</w:t>
      </w:r>
      <w:r w:rsidRPr="00190DE7">
        <w:t xml:space="preserve"> de la crisis. No lo entiende así Ball, quien recuerda que el gigante asiático “se beneficia de sus exportaciones, que caen cuando el reto del mundo está en recesión”.</w:t>
      </w:r>
    </w:p>
    <w:p w:rsidR="00E56E14" w:rsidRPr="002F0ED3" w:rsidRDefault="00E56E14" w:rsidP="00190DE7">
      <w:pPr>
        <w:pStyle w:val="NormalWeb"/>
        <w:jc w:val="both"/>
      </w:pPr>
      <w:r w:rsidRPr="00190DE7">
        <w:t xml:space="preserve">La dialéctica de vencedores y vencidos ha dado en todo caso mucho que hablar, con posturas encontradas dependiendo de si el debate se encara desde el Norte o desde el Sur. </w:t>
      </w:r>
      <w:hyperlink r:id="rId12" w:history="1">
        <w:r w:rsidRPr="00190DE7">
          <w:rPr>
            <w:rStyle w:val="Hipervnculo"/>
            <w:color w:val="auto"/>
            <w:u w:val="none"/>
          </w:rPr>
          <w:t>En Portugal</w:t>
        </w:r>
      </w:hyperlink>
      <w:r w:rsidRPr="00190DE7">
        <w:t>, tres años de intervención de la troika después, el docente del ISEG (Instituto Superior de Economía y Gestión) João Duque sí considera que “algunas economías, en términos relativos, han ganado a costa de otras. Son las que más preparadas estaban, bien como productoras y exportadoras de materias primas y de productos energéticos, bien como productoras de bienes y servicios esenciales destinados a mercados en expansión”. Piensa en este sentido en las del centro de Europa e incluso en países emergentes como Rusia. Lo corrobora Ferreira: “</w:t>
      </w:r>
      <w:r w:rsidRPr="00190DE7">
        <w:rPr>
          <w:rStyle w:val="Textoennegrita"/>
          <w:b w:val="0"/>
        </w:rPr>
        <w:t>Los vencedores de la crisis fueron las economías emergentes</w:t>
      </w:r>
      <w:r w:rsidRPr="00190DE7">
        <w:t>, mientras que las desarrolladas fueron las que más sufrieron. Aun así, la recesión ha sido casi global”.</w:t>
      </w:r>
    </w:p>
    <w:p w:rsidR="002F0ED3" w:rsidRPr="002F0ED3" w:rsidRDefault="00D356D5" w:rsidP="002F0ED3">
      <w:pPr>
        <w:spacing w:before="100" w:beforeAutospacing="1" w:after="100" w:afterAutospacing="1" w:line="240" w:lineRule="auto"/>
        <w:jc w:val="both"/>
        <w:rPr>
          <w:rFonts w:ascii="Times New Roman" w:hAnsi="Times New Roman"/>
          <w:b/>
          <w:sz w:val="24"/>
          <w:szCs w:val="24"/>
        </w:rPr>
      </w:pPr>
      <w:r w:rsidRPr="002F0ED3">
        <w:rPr>
          <w:rFonts w:ascii="Times New Roman" w:hAnsi="Times New Roman"/>
          <w:b/>
          <w:sz w:val="24"/>
          <w:szCs w:val="24"/>
        </w:rPr>
        <w:t>- La economía europea empeora</w:t>
      </w:r>
      <w:r w:rsidR="00F83104">
        <w:rPr>
          <w:rFonts w:ascii="Times New Roman" w:hAnsi="Times New Roman"/>
          <w:b/>
          <w:sz w:val="24"/>
          <w:szCs w:val="24"/>
        </w:rPr>
        <w:t>,</w:t>
      </w:r>
      <w:r w:rsidRPr="002F0ED3">
        <w:rPr>
          <w:rFonts w:ascii="Times New Roman" w:hAnsi="Times New Roman"/>
          <w:b/>
          <w:sz w:val="24"/>
          <w:szCs w:val="24"/>
        </w:rPr>
        <w:t xml:space="preserve"> pero sus líderes no se ponen de acuerdo </w:t>
      </w:r>
    </w:p>
    <w:p w:rsidR="00D356D5" w:rsidRPr="002F0ED3" w:rsidRDefault="002F0ED3"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i/>
          <w:sz w:val="24"/>
          <w:szCs w:val="24"/>
        </w:rPr>
        <w:t>“</w:t>
      </w:r>
      <w:r w:rsidR="00D356D5" w:rsidRPr="002F0ED3">
        <w:rPr>
          <w:rFonts w:ascii="Times New Roman" w:hAnsi="Times New Roman"/>
          <w:i/>
          <w:sz w:val="24"/>
          <w:szCs w:val="24"/>
        </w:rPr>
        <w:t>La confrontación entre el Banco Central Europeo, Alemania y otros gobiernos de la zona euro entorpece los intentos de Europa por reactivar su economía</w:t>
      </w:r>
      <w:r w:rsidRPr="002F0ED3">
        <w:rPr>
          <w:rFonts w:ascii="Times New Roman" w:hAnsi="Times New Roman"/>
          <w:i/>
          <w:sz w:val="24"/>
          <w:szCs w:val="24"/>
        </w:rPr>
        <w:t>”..</w:t>
      </w:r>
      <w:r w:rsidR="00D356D5" w:rsidRPr="002F0ED3">
        <w:rPr>
          <w:rFonts w:ascii="Times New Roman" w:hAnsi="Times New Roman"/>
          <w:i/>
          <w:sz w:val="24"/>
          <w:szCs w:val="24"/>
        </w:rPr>
        <w:t>.</w:t>
      </w:r>
      <w:r>
        <w:rPr>
          <w:rFonts w:ascii="Times New Roman" w:hAnsi="Times New Roman"/>
          <w:sz w:val="24"/>
          <w:szCs w:val="24"/>
        </w:rPr>
        <w:t xml:space="preserve"> </w:t>
      </w:r>
      <w:r w:rsidR="00D356D5" w:rsidRPr="002F0ED3">
        <w:rPr>
          <w:rFonts w:ascii="Times New Roman" w:hAnsi="Times New Roman"/>
          <w:sz w:val="24"/>
          <w:szCs w:val="24"/>
        </w:rPr>
        <w:t xml:space="preserve"> </w:t>
      </w:r>
      <w:r w:rsidRPr="002F0ED3">
        <w:rPr>
          <w:rFonts w:ascii="Times New Roman" w:hAnsi="Times New Roman"/>
          <w:sz w:val="24"/>
          <w:szCs w:val="24"/>
        </w:rPr>
        <w:t xml:space="preserve">(The Wall Street Journal - </w:t>
      </w:r>
      <w:r w:rsidRPr="002F0ED3">
        <w:rPr>
          <w:rFonts w:ascii="Times New Roman" w:hAnsi="Times New Roman"/>
          <w:b/>
          <w:sz w:val="24"/>
          <w:szCs w:val="24"/>
        </w:rPr>
        <w:t>15/10/14</w:t>
      </w:r>
      <w:r w:rsidRPr="002F0ED3">
        <w:rPr>
          <w:rFonts w:ascii="Times New Roman" w:hAnsi="Times New Roman"/>
          <w:sz w:val="24"/>
          <w:szCs w:val="24"/>
        </w:rPr>
        <w:t>)</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Las tensiones, que se han estado gestando durante meses</w:t>
      </w:r>
      <w:r w:rsidR="00190DE7">
        <w:rPr>
          <w:rFonts w:ascii="Times New Roman" w:hAnsi="Times New Roman"/>
          <w:sz w:val="24"/>
          <w:szCs w:val="24"/>
        </w:rPr>
        <w:t>, se agudizaron en el mes de octubre (2014), momento</w:t>
      </w:r>
      <w:r w:rsidRPr="002F0ED3">
        <w:rPr>
          <w:rFonts w:ascii="Times New Roman" w:hAnsi="Times New Roman"/>
          <w:sz w:val="24"/>
          <w:szCs w:val="24"/>
        </w:rPr>
        <w:t xml:space="preserve"> en que las cifras muestran un deterioro de la zona euro y amenazan con bloquear una respuesta coherente cuando Europa se encamina a su tercera recesión en seis años. </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 xml:space="preserve">Un número creciente de estrategas y asesores sostienen que es el momento de realizar una ofensiva coordinada que abarque medidas enérgicas del BCE, un aumento de la </w:t>
      </w:r>
      <w:r w:rsidRPr="002F0ED3">
        <w:rPr>
          <w:rFonts w:ascii="Times New Roman" w:hAnsi="Times New Roman"/>
          <w:sz w:val="24"/>
          <w:szCs w:val="24"/>
        </w:rPr>
        <w:lastRenderedPageBreak/>
        <w:t xml:space="preserve">inversión de Alemania e instituciones de la Unión Europea y reformas más audaces en Francia e Italia. </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“Necesitamos un gran acuerdo en el que los gobiernos nacionales entiendan que la política monetaria sólo podrá dar frutos si es acompañada de reformas estructurales y una política fiscal responsable”, incluyendo una menor austeridad en Alemania, señala Marcel Fratzscher, director del Instituto Alemán de Investigación Económica, un centro de estudios de Berlín sin afiliación partidista.</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 xml:space="preserve">No obstante, funcionarios y economistas advierten que incluso una ofensiva coordinada de esta naturaleza podría no ser suficiente para acelerar el crecimiento de la zona, tomando en cuenta los arraigados problemas del bloque. Mientras tanto, los riesgos de una recesión en el corto plazo y un declive de más largo plazo aumentan, según muchos. </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Una caída de 1,8% en la producción fabril en agosto</w:t>
      </w:r>
      <w:r w:rsidR="00190DE7">
        <w:rPr>
          <w:rFonts w:ascii="Times New Roman" w:hAnsi="Times New Roman"/>
          <w:sz w:val="24"/>
          <w:szCs w:val="24"/>
        </w:rPr>
        <w:t xml:space="preserve"> (2014), reportada el 14/10</w:t>
      </w:r>
      <w:r w:rsidRPr="002F0ED3">
        <w:rPr>
          <w:rFonts w:ascii="Times New Roman" w:hAnsi="Times New Roman"/>
          <w:sz w:val="24"/>
          <w:szCs w:val="24"/>
        </w:rPr>
        <w:t>, fue el indicio más reciente de que el bloque de 18 países podría haberse contraído en el tercer trimestre, luego de un declive en el segundo trimestre.</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 xml:space="preserve">No es lo único. El gobierno alemán redujo sus proyecciones de crecimiento mientras que las cifras de inflación fueron más débiles de lo previsto en Francia y Reino Unido, que no utiliza el euro pero está expuesto a las dificultades del bloque. </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 xml:space="preserve">El BCE, que siente presión para comprar activos financieros a gran escala para reanimar tanto el crecimiento como la inflación, no está seguro de que tal medida surta efecto si se realiza en forma aislada y teme una reacción negativa en Alemania. La entidad preferiría acompañar la compra de activos con otras iniciativas que acarrean riesgos si los gobiernos realizan políticas complementarias para estimular sus economías, dicen fuentes cercanas. Los líderes nacionales, sin embargo, no se ponen de acuerdo sobre qué medidas implementar. </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 xml:space="preserve">El gobierno de la canciller alemana, </w:t>
      </w:r>
      <w:r w:rsidR="00190DE7">
        <w:rPr>
          <w:rFonts w:ascii="Times New Roman" w:hAnsi="Times New Roman"/>
          <w:sz w:val="24"/>
          <w:szCs w:val="24"/>
        </w:rPr>
        <w:t>Angela Merkel, rechazó el mismo 14/10</w:t>
      </w:r>
      <w:r w:rsidRPr="002F0ED3">
        <w:rPr>
          <w:rFonts w:ascii="Times New Roman" w:hAnsi="Times New Roman"/>
          <w:sz w:val="24"/>
          <w:szCs w:val="24"/>
        </w:rPr>
        <w:t xml:space="preserve"> los llamados para aumentar el gasto y aplazar la meta de equili</w:t>
      </w:r>
      <w:r w:rsidR="00190DE7">
        <w:rPr>
          <w:rFonts w:ascii="Times New Roman" w:hAnsi="Times New Roman"/>
          <w:sz w:val="24"/>
          <w:szCs w:val="24"/>
        </w:rPr>
        <w:t xml:space="preserve">brar el presupuesto del </w:t>
      </w:r>
      <w:r w:rsidRPr="002F0ED3">
        <w:rPr>
          <w:rFonts w:ascii="Times New Roman" w:hAnsi="Times New Roman"/>
          <w:sz w:val="24"/>
          <w:szCs w:val="24"/>
        </w:rPr>
        <w:t>año</w:t>
      </w:r>
      <w:r w:rsidR="00190DE7">
        <w:rPr>
          <w:rFonts w:ascii="Times New Roman" w:hAnsi="Times New Roman"/>
          <w:sz w:val="24"/>
          <w:szCs w:val="24"/>
        </w:rPr>
        <w:t xml:space="preserve"> 2015,</w:t>
      </w:r>
      <w:r w:rsidRPr="002F0ED3">
        <w:rPr>
          <w:rFonts w:ascii="Times New Roman" w:hAnsi="Times New Roman"/>
          <w:sz w:val="24"/>
          <w:szCs w:val="24"/>
        </w:rPr>
        <w:t xml:space="preserve"> en medio de la creciente evidencia de una desaceleración en la mayor economía europea. Alemania también ha dejado en claro que no cree que haya necesidad de que el BCE emprenda medidas nuevas y experimentales. </w:t>
      </w:r>
    </w:p>
    <w:p w:rsidR="00190DE7"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Mientras tanto, Francia e Italia se están demorando mucho más de lo que le gustaría al BCE y a Alemania</w:t>
      </w:r>
      <w:r w:rsidR="00190DE7">
        <w:rPr>
          <w:rFonts w:ascii="Times New Roman" w:hAnsi="Times New Roman"/>
          <w:sz w:val="24"/>
          <w:szCs w:val="24"/>
        </w:rPr>
        <w:t>,</w:t>
      </w:r>
      <w:r w:rsidRPr="002F0ED3">
        <w:rPr>
          <w:rFonts w:ascii="Times New Roman" w:hAnsi="Times New Roman"/>
          <w:sz w:val="24"/>
          <w:szCs w:val="24"/>
        </w:rPr>
        <w:t xml:space="preserve"> en poner en marcha iniciativas como una reforma del mercado laboral y una reducción de los trámites burocráticos. Sin embargo, están presionando al banco central y a Alemania para que hagan más para impulsar la demanda en Europa. </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El ministro alemán de Finanzas, Wolfgang Schäuble, criticó duramente lo</w:t>
      </w:r>
      <w:r w:rsidR="00AE4218">
        <w:rPr>
          <w:rFonts w:ascii="Times New Roman" w:hAnsi="Times New Roman"/>
          <w:sz w:val="24"/>
          <w:szCs w:val="24"/>
        </w:rPr>
        <w:t>s llamados para que Berlín elevara</w:t>
      </w:r>
      <w:r w:rsidRPr="002F0ED3">
        <w:rPr>
          <w:rFonts w:ascii="Times New Roman" w:hAnsi="Times New Roman"/>
          <w:sz w:val="24"/>
          <w:szCs w:val="24"/>
        </w:rPr>
        <w:t xml:space="preserve"> el endeudamiento y la inver</w:t>
      </w:r>
      <w:r w:rsidR="00AE4218">
        <w:rPr>
          <w:rFonts w:ascii="Times New Roman" w:hAnsi="Times New Roman"/>
          <w:sz w:val="24"/>
          <w:szCs w:val="24"/>
        </w:rPr>
        <w:t>sión pública que escuchó en la segunda semana de octubre (2014) durante</w:t>
      </w:r>
      <w:r w:rsidRPr="002F0ED3">
        <w:rPr>
          <w:rFonts w:ascii="Times New Roman" w:hAnsi="Times New Roman"/>
          <w:sz w:val="24"/>
          <w:szCs w:val="24"/>
        </w:rPr>
        <w:t xml:space="preserve"> las reuniones del Fondo Monetario Internacional y el Banco Mund</w:t>
      </w:r>
      <w:r w:rsidR="00AE4218">
        <w:rPr>
          <w:rFonts w:ascii="Times New Roman" w:hAnsi="Times New Roman"/>
          <w:sz w:val="24"/>
          <w:szCs w:val="24"/>
        </w:rPr>
        <w:t xml:space="preserve">ial realizadas </w:t>
      </w:r>
      <w:r w:rsidRPr="002F0ED3">
        <w:rPr>
          <w:rFonts w:ascii="Times New Roman" w:hAnsi="Times New Roman"/>
          <w:sz w:val="24"/>
          <w:szCs w:val="24"/>
        </w:rPr>
        <w:t>en Washington. “Lo peor que podríamos hacer es repetir los errores del pasado” de depender de la deuda pública para propulsar e</w:t>
      </w:r>
      <w:r w:rsidR="00AE4218">
        <w:rPr>
          <w:rFonts w:ascii="Times New Roman" w:hAnsi="Times New Roman"/>
          <w:sz w:val="24"/>
          <w:szCs w:val="24"/>
        </w:rPr>
        <w:t>l crecimiento, aseveró</w:t>
      </w:r>
      <w:r w:rsidRPr="002F0ED3">
        <w:rPr>
          <w:rFonts w:ascii="Times New Roman" w:hAnsi="Times New Roman"/>
          <w:sz w:val="24"/>
          <w:szCs w:val="24"/>
        </w:rPr>
        <w:t>. El gobierno alemán p</w:t>
      </w:r>
      <w:r w:rsidR="00AE4218">
        <w:rPr>
          <w:rFonts w:ascii="Times New Roman" w:hAnsi="Times New Roman"/>
          <w:sz w:val="24"/>
          <w:szCs w:val="24"/>
        </w:rPr>
        <w:t xml:space="preserve">revé una expansión de 1,2% en el </w:t>
      </w:r>
      <w:r w:rsidRPr="002F0ED3">
        <w:rPr>
          <w:rFonts w:ascii="Times New Roman" w:hAnsi="Times New Roman"/>
          <w:sz w:val="24"/>
          <w:szCs w:val="24"/>
        </w:rPr>
        <w:t>año</w:t>
      </w:r>
      <w:r w:rsidR="00AE4218">
        <w:rPr>
          <w:rFonts w:ascii="Times New Roman" w:hAnsi="Times New Roman"/>
          <w:sz w:val="24"/>
          <w:szCs w:val="24"/>
        </w:rPr>
        <w:t xml:space="preserve"> 2014</w:t>
      </w:r>
      <w:r w:rsidRPr="002F0ED3">
        <w:rPr>
          <w:rFonts w:ascii="Times New Roman" w:hAnsi="Times New Roman"/>
          <w:sz w:val="24"/>
          <w:szCs w:val="24"/>
        </w:rPr>
        <w:t xml:space="preserve"> y de 1,3% en 2015, un descenso frente a proyecciones anteriores cercanas a 2%. La desaceleración “no es agradable… pero no es razón para hablar de una crisis”, dijo Schäuble.</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lastRenderedPageBreak/>
        <w:t xml:space="preserve">Fratzscher, por su parte, reconoció ser “relativamente pesimista” respecto de un cambio de curso de Alemania o de que Francia o Italia emprendan reformas económicas con mayor determinación. La voluntad política para el cambio “sólo aparece cuando estás entre la espada y la pared”, señaló. </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 xml:space="preserve">La tranquilidad que ha imperado en los mercados de renta fija en los últimos dos años ha eliminado la sensación de urgencia en los debates europeos sobre las reformas, luego de que las alzas en las tasas de interés de largo plazo entre 2010 y 2012 amenazaran con hacer añicos la zona euro. Aunque tal peligro quedó atrás, la economía europea aún no se recupera del todo de la crisis financiera de 2008 y la posterior recesión. </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Un crecimiento prácticamente nulo, una tasa de desempleo de dos dígitos y una inflación que en septiembre</w:t>
      </w:r>
      <w:r w:rsidR="00AE4218">
        <w:rPr>
          <w:rFonts w:ascii="Times New Roman" w:hAnsi="Times New Roman"/>
          <w:sz w:val="24"/>
          <w:szCs w:val="24"/>
        </w:rPr>
        <w:t xml:space="preserve"> (2014)</w:t>
      </w:r>
      <w:r w:rsidRPr="002F0ED3">
        <w:rPr>
          <w:rFonts w:ascii="Times New Roman" w:hAnsi="Times New Roman"/>
          <w:sz w:val="24"/>
          <w:szCs w:val="24"/>
        </w:rPr>
        <w:t xml:space="preserve"> llegó a 0,3% en 12 meses muestran que la zona euro sufre de una falta de demanda, además de numerosos problemas estructurales en ámbitos como la regulación, la tributación y el sistema bancario. </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 xml:space="preserve">La inflación se ubica muy por debajo de la meta del BCE, de poco menos de 2% en 12 meses, y los inversionistas creen que el organismo no tendrá más remedio que empezar a comprar valores a gran escala, incluyendo bonos soberanos, una política conocida como relajamiento cuantitativo. </w:t>
      </w:r>
    </w:p>
    <w:p w:rsidR="00D356D5" w:rsidRPr="002F0ED3"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Algunos funcionarios del banco central temen que esta intervención será menos efectiva en la zona euro que en Estados Unidos o Gran Bretaña debido a un sistema financiero más fragmentado, una dependencia en el crédito bancario más que en los mercados de capitales y el hecho de que los rendimientos de la deuda soberana de la zona euro ya alcanzaron niveles muy bajos. De todos modos, el B</w:t>
      </w:r>
      <w:r w:rsidR="00AE4218">
        <w:rPr>
          <w:rFonts w:ascii="Times New Roman" w:hAnsi="Times New Roman"/>
          <w:sz w:val="24"/>
          <w:szCs w:val="24"/>
        </w:rPr>
        <w:t>CE probablemente no tendrá</w:t>
      </w:r>
      <w:r w:rsidRPr="002F0ED3">
        <w:rPr>
          <w:rFonts w:ascii="Times New Roman" w:hAnsi="Times New Roman"/>
          <w:sz w:val="24"/>
          <w:szCs w:val="24"/>
        </w:rPr>
        <w:t xml:space="preserve"> más alternativa que comprar activos si aumenta el riesgo de deflación. </w:t>
      </w:r>
    </w:p>
    <w:p w:rsidR="00D356D5" w:rsidRDefault="00D356D5" w:rsidP="002F0ED3">
      <w:pPr>
        <w:spacing w:before="100" w:beforeAutospacing="1" w:after="100" w:afterAutospacing="1" w:line="240" w:lineRule="auto"/>
        <w:jc w:val="both"/>
        <w:rPr>
          <w:rFonts w:ascii="Times New Roman" w:hAnsi="Times New Roman"/>
          <w:sz w:val="24"/>
          <w:szCs w:val="24"/>
        </w:rPr>
      </w:pPr>
      <w:r w:rsidRPr="002F0ED3">
        <w:rPr>
          <w:rFonts w:ascii="Times New Roman" w:hAnsi="Times New Roman"/>
          <w:sz w:val="24"/>
          <w:szCs w:val="24"/>
        </w:rPr>
        <w:t xml:space="preserve">Mario Draghi, presidente del BCE, ha insinuado que la postura fiscal de la zona euro es demasiado austera tomando en cuenta la debilidad de la economía y ha advertido que la política monetaria no puede hacer todo el trabajo pesado por su cuenta. </w:t>
      </w:r>
    </w:p>
    <w:p w:rsidR="00AE4218" w:rsidRDefault="00AE4218" w:rsidP="00AE4218">
      <w:pPr>
        <w:spacing w:before="100" w:beforeAutospacing="1" w:after="100" w:afterAutospacing="1" w:line="240" w:lineRule="auto"/>
        <w:jc w:val="both"/>
        <w:rPr>
          <w:rFonts w:ascii="Times New Roman" w:hAnsi="Times New Roman"/>
          <w:b/>
          <w:sz w:val="24"/>
          <w:szCs w:val="24"/>
        </w:rPr>
      </w:pPr>
      <w:r w:rsidRPr="00AE4218">
        <w:rPr>
          <w:rFonts w:ascii="Times New Roman" w:hAnsi="Times New Roman"/>
          <w:b/>
          <w:sz w:val="24"/>
          <w:szCs w:val="24"/>
        </w:rPr>
        <w:t xml:space="preserve">- Igualito que ahora, </w:t>
      </w:r>
      <w:r w:rsidR="005B6C88">
        <w:rPr>
          <w:rFonts w:ascii="Times New Roman" w:hAnsi="Times New Roman"/>
          <w:b/>
          <w:sz w:val="24"/>
          <w:szCs w:val="24"/>
        </w:rPr>
        <w:t xml:space="preserve">pero </w:t>
      </w:r>
      <w:r w:rsidRPr="00AE4218">
        <w:rPr>
          <w:rFonts w:ascii="Times New Roman" w:hAnsi="Times New Roman"/>
          <w:b/>
          <w:sz w:val="24"/>
          <w:szCs w:val="24"/>
        </w:rPr>
        <w:t>un siglo antes</w:t>
      </w:r>
    </w:p>
    <w:p w:rsidR="00AE4218" w:rsidRDefault="00AE4218" w:rsidP="00AE4218">
      <w:pPr>
        <w:pStyle w:val="NormalWeb"/>
        <w:jc w:val="both"/>
      </w:pPr>
      <w:r>
        <w:t xml:space="preserve">- </w:t>
      </w:r>
      <w:r w:rsidRPr="007768E9">
        <w:rPr>
          <w:u w:val="single"/>
        </w:rPr>
        <w:t>Los negadores</w:t>
      </w:r>
      <w:r>
        <w:t xml:space="preserve"> (El Confidencial - </w:t>
      </w:r>
      <w:r w:rsidRPr="007768E9">
        <w:rPr>
          <w:b/>
        </w:rPr>
        <w:t>14/10/14</w:t>
      </w:r>
      <w:r>
        <w:t>)                                  Lectura recomendada</w:t>
      </w:r>
    </w:p>
    <w:p w:rsidR="00AE4218" w:rsidRDefault="00AE4218" w:rsidP="00AE4218">
      <w:pPr>
        <w:pStyle w:val="NormalWeb"/>
        <w:jc w:val="both"/>
      </w:pPr>
      <w:r>
        <w:t>(Por J. M. de la Viña)</w:t>
      </w:r>
    </w:p>
    <w:p w:rsidR="00AE4218" w:rsidRPr="004470A7" w:rsidRDefault="00AE4218" w:rsidP="00AE4218">
      <w:pPr>
        <w:spacing w:before="100" w:beforeAutospacing="1" w:after="100" w:afterAutospacing="1" w:line="240" w:lineRule="auto"/>
        <w:jc w:val="both"/>
        <w:rPr>
          <w:rFonts w:ascii="Times New Roman" w:hAnsi="Times New Roman"/>
          <w:sz w:val="24"/>
          <w:szCs w:val="24"/>
        </w:rPr>
      </w:pPr>
      <w:r w:rsidRPr="004470A7">
        <w:rPr>
          <w:rFonts w:ascii="Times New Roman" w:hAnsi="Times New Roman"/>
          <w:sz w:val="24"/>
          <w:szCs w:val="24"/>
        </w:rPr>
        <w:t xml:space="preserve">Narra </w:t>
      </w:r>
      <w:r w:rsidRPr="004470A7">
        <w:rPr>
          <w:rFonts w:ascii="Times New Roman" w:hAnsi="Times New Roman"/>
          <w:b/>
          <w:bCs/>
          <w:sz w:val="24"/>
          <w:szCs w:val="24"/>
        </w:rPr>
        <w:t>Max Hastings</w:t>
      </w:r>
      <w:r w:rsidRPr="004470A7">
        <w:rPr>
          <w:rFonts w:ascii="Times New Roman" w:hAnsi="Times New Roman"/>
          <w:sz w:val="24"/>
          <w:szCs w:val="24"/>
        </w:rPr>
        <w:t xml:space="preserve"> en su libro </w:t>
      </w:r>
      <w:r w:rsidRPr="004470A7">
        <w:rPr>
          <w:rFonts w:ascii="Times New Roman" w:hAnsi="Times New Roman"/>
          <w:b/>
          <w:bCs/>
          <w:i/>
          <w:iCs/>
          <w:sz w:val="24"/>
          <w:szCs w:val="24"/>
        </w:rPr>
        <w:t>1914. El año de la catástrofe</w:t>
      </w:r>
      <w:r w:rsidRPr="004470A7">
        <w:rPr>
          <w:rFonts w:ascii="Times New Roman" w:hAnsi="Times New Roman"/>
          <w:i/>
          <w:iCs/>
          <w:sz w:val="24"/>
          <w:szCs w:val="24"/>
        </w:rPr>
        <w:t xml:space="preserve"> </w:t>
      </w:r>
      <w:r w:rsidRPr="004470A7">
        <w:rPr>
          <w:rFonts w:ascii="Times New Roman" w:hAnsi="Times New Roman"/>
          <w:sz w:val="24"/>
          <w:szCs w:val="24"/>
        </w:rPr>
        <w:t>los acontecimientos iniciales de la I Guerra Mundial desde que estalló en agosto hasta final de aquel año fatídico. Su interés radica en ayudar a entender, que no a comprender, la mentalidad de la época. Cómo actitudes, políticas y comportamientos que hoy parecen absurdos eran obvios entonces a causa de una manera de pensar diferente y la inercia de un mundo que se desmoronaba.</w:t>
      </w:r>
    </w:p>
    <w:p w:rsidR="00AE4218" w:rsidRPr="002F45BE" w:rsidRDefault="00AE4218" w:rsidP="00AE4218">
      <w:pPr>
        <w:spacing w:before="100" w:beforeAutospacing="1" w:after="100" w:afterAutospacing="1" w:line="240" w:lineRule="auto"/>
        <w:jc w:val="both"/>
        <w:rPr>
          <w:rFonts w:ascii="Times New Roman" w:hAnsi="Times New Roman"/>
          <w:sz w:val="24"/>
          <w:szCs w:val="24"/>
          <w:u w:val="single"/>
        </w:rPr>
      </w:pPr>
      <w:r w:rsidRPr="002F45BE">
        <w:rPr>
          <w:rFonts w:ascii="Times New Roman" w:hAnsi="Times New Roman"/>
          <w:b/>
          <w:bCs/>
          <w:sz w:val="24"/>
          <w:szCs w:val="24"/>
          <w:u w:val="single"/>
        </w:rPr>
        <w:t>Es fácil ser juez de acontecimientos pasados aplicando la mentalidad actual</w:t>
      </w:r>
      <w:r w:rsidRPr="002F45BE">
        <w:rPr>
          <w:rFonts w:ascii="Times New Roman" w:hAnsi="Times New Roman"/>
          <w:sz w:val="24"/>
          <w:szCs w:val="24"/>
          <w:u w:val="single"/>
        </w:rPr>
        <w:t xml:space="preserve">. Escandalizarnos porque no fuesen capaces sus élites de ver más allá de sus privilegiadas narices acerca de las maldades de la guerra y las penurias que produciría. Tales clases dirigentes, los negadores de entonces, </w:t>
      </w:r>
      <w:r w:rsidRPr="002F45BE">
        <w:rPr>
          <w:rFonts w:ascii="Times New Roman" w:hAnsi="Times New Roman"/>
          <w:b/>
          <w:bCs/>
          <w:sz w:val="24"/>
          <w:szCs w:val="24"/>
          <w:u w:val="single"/>
        </w:rPr>
        <w:t>cayeron</w:t>
      </w:r>
      <w:r w:rsidRPr="002F45BE">
        <w:rPr>
          <w:rFonts w:ascii="Times New Roman" w:hAnsi="Times New Roman"/>
          <w:sz w:val="24"/>
          <w:szCs w:val="24"/>
          <w:u w:val="single"/>
        </w:rPr>
        <w:t xml:space="preserve">. Con ellas desaparecieron cuatro </w:t>
      </w:r>
      <w:r w:rsidRPr="002F45BE">
        <w:rPr>
          <w:rFonts w:ascii="Times New Roman" w:hAnsi="Times New Roman"/>
          <w:sz w:val="24"/>
          <w:szCs w:val="24"/>
          <w:u w:val="single"/>
        </w:rPr>
        <w:lastRenderedPageBreak/>
        <w:t>imperios. Aparecieron otras, supuestamente democráticas, que han devenido en la casta actual con el intermedio de muchos totalitarismos.</w:t>
      </w:r>
    </w:p>
    <w:p w:rsidR="00AE4218" w:rsidRPr="002F45BE" w:rsidRDefault="00AE4218" w:rsidP="00AE4218">
      <w:pPr>
        <w:spacing w:before="100" w:beforeAutospacing="1" w:after="100" w:afterAutospacing="1" w:line="240" w:lineRule="auto"/>
        <w:jc w:val="both"/>
        <w:rPr>
          <w:rFonts w:ascii="Times New Roman" w:hAnsi="Times New Roman"/>
          <w:color w:val="FF0000"/>
          <w:sz w:val="24"/>
          <w:szCs w:val="24"/>
          <w:u w:val="single"/>
        </w:rPr>
      </w:pPr>
      <w:r w:rsidRPr="002F45BE">
        <w:rPr>
          <w:rFonts w:ascii="Times New Roman" w:hAnsi="Times New Roman"/>
          <w:color w:val="FF0000"/>
          <w:sz w:val="24"/>
          <w:szCs w:val="24"/>
          <w:u w:val="single"/>
        </w:rPr>
        <w:t xml:space="preserve">Igualmente, </w:t>
      </w:r>
      <w:r w:rsidRPr="002F45BE">
        <w:rPr>
          <w:rFonts w:ascii="Times New Roman" w:hAnsi="Times New Roman"/>
          <w:b/>
          <w:bCs/>
          <w:color w:val="FF0000"/>
          <w:sz w:val="24"/>
          <w:szCs w:val="24"/>
          <w:u w:val="single"/>
        </w:rPr>
        <w:t>nuestros nietos se escandalizarán de la estupidez de los negadores de hoy</w:t>
      </w:r>
      <w:r w:rsidRPr="002F45BE">
        <w:rPr>
          <w:rFonts w:ascii="Times New Roman" w:hAnsi="Times New Roman"/>
          <w:color w:val="FF0000"/>
          <w:sz w:val="24"/>
          <w:szCs w:val="24"/>
          <w:u w:val="single"/>
        </w:rPr>
        <w:t xml:space="preserve">. Sus abuelos, nosotros, no fuimos capaces de impedirlo. No intentamos parar el acelerado deterioro social y medioambiental provocado por </w:t>
      </w:r>
      <w:r w:rsidRPr="002F45BE">
        <w:rPr>
          <w:rFonts w:ascii="Times New Roman" w:hAnsi="Times New Roman"/>
          <w:b/>
          <w:bCs/>
          <w:color w:val="FF0000"/>
          <w:sz w:val="24"/>
          <w:szCs w:val="24"/>
          <w:u w:val="single"/>
        </w:rPr>
        <w:t>un sistema económico imposible e inestable</w:t>
      </w:r>
      <w:r w:rsidRPr="002F45BE">
        <w:rPr>
          <w:rFonts w:ascii="Times New Roman" w:hAnsi="Times New Roman"/>
          <w:color w:val="FF0000"/>
          <w:sz w:val="24"/>
          <w:szCs w:val="24"/>
          <w:u w:val="single"/>
        </w:rPr>
        <w:t>. Por la codicia de unos pocos y la comodidad de muchos. Lo sufrirán amargamente.</w:t>
      </w:r>
    </w:p>
    <w:p w:rsidR="00AE4218" w:rsidRPr="002F45BE" w:rsidRDefault="00AE4218" w:rsidP="00AE4218">
      <w:pPr>
        <w:spacing w:before="100" w:beforeAutospacing="1" w:after="100" w:afterAutospacing="1" w:line="240" w:lineRule="auto"/>
        <w:jc w:val="both"/>
        <w:rPr>
          <w:rFonts w:ascii="Times New Roman" w:hAnsi="Times New Roman"/>
          <w:color w:val="FF0000"/>
          <w:sz w:val="24"/>
          <w:szCs w:val="24"/>
          <w:u w:val="single"/>
        </w:rPr>
      </w:pPr>
      <w:r w:rsidRPr="002F45BE">
        <w:rPr>
          <w:rFonts w:ascii="Times New Roman" w:hAnsi="Times New Roman"/>
          <w:color w:val="FF0000"/>
          <w:sz w:val="24"/>
          <w:szCs w:val="24"/>
          <w:u w:val="single"/>
        </w:rPr>
        <w:t xml:space="preserve">La diferencia entre la I Guerra Mundial y la tercera, </w:t>
      </w:r>
      <w:r w:rsidRPr="002F45BE">
        <w:rPr>
          <w:rFonts w:ascii="Times New Roman" w:hAnsi="Times New Roman"/>
          <w:b/>
          <w:bCs/>
          <w:color w:val="FF0000"/>
          <w:sz w:val="24"/>
          <w:szCs w:val="24"/>
          <w:u w:val="single"/>
        </w:rPr>
        <w:t>que ya ha comenzado,</w:t>
      </w:r>
      <w:r w:rsidRPr="002F45BE">
        <w:rPr>
          <w:rFonts w:ascii="Times New Roman" w:hAnsi="Times New Roman"/>
          <w:color w:val="FF0000"/>
          <w:sz w:val="24"/>
          <w:szCs w:val="24"/>
          <w:u w:val="single"/>
        </w:rPr>
        <w:t xml:space="preserve"> es que en aquel conflicto los propios protagonistas morían anegados en barro y lodo envueltos en alambres de espino. </w:t>
      </w:r>
      <w:r w:rsidRPr="002F45BE">
        <w:rPr>
          <w:rFonts w:ascii="Times New Roman" w:hAnsi="Times New Roman"/>
          <w:b/>
          <w:bCs/>
          <w:color w:val="FF0000"/>
          <w:sz w:val="24"/>
          <w:szCs w:val="24"/>
          <w:u w:val="single"/>
        </w:rPr>
        <w:t>La III Guerra Mundial será de efecto retardado</w:t>
      </w:r>
      <w:r w:rsidRPr="002F45BE">
        <w:rPr>
          <w:rFonts w:ascii="Times New Roman" w:hAnsi="Times New Roman"/>
          <w:color w:val="FF0000"/>
          <w:sz w:val="24"/>
          <w:szCs w:val="24"/>
          <w:u w:val="single"/>
        </w:rPr>
        <w:t>. A pesar de la velocidad a la que se mueven los desquiciados habitantes de los países mal llamados desarrollados, su pasividad a la hora de reaccionar les pasará cumplida factura a sus descendientes.</w:t>
      </w:r>
    </w:p>
    <w:p w:rsidR="00AE4218" w:rsidRPr="002F45BE" w:rsidRDefault="00AE4218" w:rsidP="00AE4218">
      <w:pPr>
        <w:spacing w:before="100" w:beforeAutospacing="1" w:after="100" w:afterAutospacing="1" w:line="240" w:lineRule="auto"/>
        <w:jc w:val="both"/>
        <w:rPr>
          <w:rFonts w:ascii="Times New Roman" w:hAnsi="Times New Roman"/>
          <w:color w:val="FF0000"/>
          <w:sz w:val="24"/>
          <w:szCs w:val="24"/>
          <w:u w:val="single"/>
        </w:rPr>
      </w:pPr>
      <w:r w:rsidRPr="002F45BE">
        <w:rPr>
          <w:rFonts w:ascii="Times New Roman" w:hAnsi="Times New Roman"/>
          <w:color w:val="FF0000"/>
          <w:sz w:val="24"/>
          <w:szCs w:val="24"/>
          <w:u w:val="single"/>
        </w:rPr>
        <w:t xml:space="preserve">Los negadores actuales se obstinan en no querer comprender la realidad social, biológica y natural de este planeta. La falta de ganas de elaborar una estrategia integral de supervivencia </w:t>
      </w:r>
      <w:r w:rsidRPr="002F45BE">
        <w:rPr>
          <w:rFonts w:ascii="Times New Roman" w:hAnsi="Times New Roman"/>
          <w:b/>
          <w:bCs/>
          <w:color w:val="FF0000"/>
          <w:sz w:val="24"/>
          <w:szCs w:val="24"/>
          <w:u w:val="single"/>
        </w:rPr>
        <w:t>será nuestro fin, y el suyo</w:t>
      </w:r>
      <w:r w:rsidRPr="002F45BE">
        <w:rPr>
          <w:rFonts w:ascii="Times New Roman" w:hAnsi="Times New Roman"/>
          <w:color w:val="FF0000"/>
          <w:sz w:val="24"/>
          <w:szCs w:val="24"/>
          <w:u w:val="single"/>
        </w:rPr>
        <w:t>. Su pereza en tomar medidas que protejan la naturaleza, el desinterés en cargarse los privilegios de la casta, acabará con todos.</w:t>
      </w:r>
    </w:p>
    <w:p w:rsidR="00AE4218" w:rsidRPr="002F45BE" w:rsidRDefault="00AE4218" w:rsidP="00AE4218">
      <w:pPr>
        <w:spacing w:before="100" w:beforeAutospacing="1" w:after="100" w:afterAutospacing="1" w:line="240" w:lineRule="auto"/>
        <w:jc w:val="both"/>
        <w:rPr>
          <w:rFonts w:ascii="Times New Roman" w:hAnsi="Times New Roman"/>
          <w:color w:val="FF0000"/>
          <w:sz w:val="24"/>
          <w:szCs w:val="24"/>
          <w:u w:val="single"/>
        </w:rPr>
      </w:pPr>
      <w:r w:rsidRPr="002F45BE">
        <w:rPr>
          <w:rFonts w:ascii="Times New Roman" w:hAnsi="Times New Roman"/>
          <w:color w:val="FF0000"/>
          <w:sz w:val="24"/>
          <w:szCs w:val="24"/>
          <w:u w:val="single"/>
        </w:rPr>
        <w:t xml:space="preserve">El </w:t>
      </w:r>
      <w:r w:rsidRPr="002F45BE">
        <w:rPr>
          <w:rFonts w:ascii="Times New Roman" w:hAnsi="Times New Roman"/>
          <w:b/>
          <w:bCs/>
          <w:color w:val="FF0000"/>
          <w:sz w:val="24"/>
          <w:szCs w:val="24"/>
          <w:u w:val="single"/>
        </w:rPr>
        <w:t>consumo</w:t>
      </w:r>
      <w:r w:rsidRPr="002F45BE">
        <w:rPr>
          <w:rFonts w:ascii="Times New Roman" w:hAnsi="Times New Roman"/>
          <w:color w:val="FF0000"/>
          <w:sz w:val="24"/>
          <w:szCs w:val="24"/>
          <w:u w:val="single"/>
        </w:rPr>
        <w:t xml:space="preserve"> desmedido que amansa a los ciudadanos y putrefacta sus cerebros provocará daño mayor. El deterioro cívico está ya siendo letal para la buena marcha de la sociedad. Son picatostes que se unen al caldo de cultivo que una economía </w:t>
      </w:r>
      <w:r w:rsidRPr="002F45BE">
        <w:rPr>
          <w:rFonts w:ascii="Times New Roman" w:hAnsi="Times New Roman"/>
          <w:i/>
          <w:iCs/>
          <w:color w:val="FF0000"/>
          <w:sz w:val="24"/>
          <w:szCs w:val="24"/>
          <w:u w:val="single"/>
        </w:rPr>
        <w:t>acienciada</w:t>
      </w:r>
      <w:r w:rsidRPr="002F45BE">
        <w:rPr>
          <w:rFonts w:ascii="Times New Roman" w:hAnsi="Times New Roman"/>
          <w:color w:val="FF0000"/>
          <w:sz w:val="24"/>
          <w:szCs w:val="24"/>
          <w:u w:val="single"/>
        </w:rPr>
        <w:t xml:space="preserve"> y una corrupción acelerada siguen espoleando:</w:t>
      </w:r>
      <w:r w:rsidRPr="002F45BE">
        <w:rPr>
          <w:rFonts w:ascii="Times New Roman" w:hAnsi="Times New Roman"/>
          <w:b/>
          <w:bCs/>
          <w:color w:val="FF0000"/>
          <w:sz w:val="24"/>
          <w:szCs w:val="24"/>
          <w:u w:val="single"/>
        </w:rPr>
        <w:t xml:space="preserve"> el crecimiento basado en un consumo indiscriminado es inviable</w:t>
      </w:r>
      <w:r w:rsidRPr="002F45BE">
        <w:rPr>
          <w:rFonts w:ascii="Times New Roman" w:hAnsi="Times New Roman"/>
          <w:color w:val="FF0000"/>
          <w:sz w:val="24"/>
          <w:szCs w:val="24"/>
          <w:u w:val="single"/>
        </w:rPr>
        <w:t>.</w:t>
      </w:r>
    </w:p>
    <w:p w:rsidR="00AE4218" w:rsidRPr="002F45BE" w:rsidRDefault="00AE4218" w:rsidP="00AE4218">
      <w:pPr>
        <w:spacing w:before="100" w:beforeAutospacing="1" w:after="100" w:afterAutospacing="1" w:line="240" w:lineRule="auto"/>
        <w:jc w:val="both"/>
        <w:rPr>
          <w:rFonts w:ascii="Times New Roman" w:hAnsi="Times New Roman"/>
          <w:sz w:val="24"/>
          <w:szCs w:val="24"/>
          <w:u w:val="single"/>
        </w:rPr>
      </w:pPr>
      <w:r w:rsidRPr="002F45BE">
        <w:rPr>
          <w:rFonts w:ascii="Times New Roman" w:hAnsi="Times New Roman"/>
          <w:sz w:val="24"/>
          <w:szCs w:val="24"/>
          <w:u w:val="single"/>
        </w:rPr>
        <w:t>Influyó en el estallido de la guerra europea la</w:t>
      </w:r>
      <w:r w:rsidRPr="002F45BE">
        <w:rPr>
          <w:rFonts w:ascii="Times New Roman" w:hAnsi="Times New Roman"/>
          <w:b/>
          <w:bCs/>
          <w:sz w:val="24"/>
          <w:szCs w:val="24"/>
          <w:u w:val="single"/>
        </w:rPr>
        <w:t xml:space="preserve"> ceguera absoluta</w:t>
      </w:r>
      <w:r w:rsidRPr="002F45BE">
        <w:rPr>
          <w:rFonts w:ascii="Times New Roman" w:hAnsi="Times New Roman"/>
          <w:sz w:val="24"/>
          <w:szCs w:val="24"/>
          <w:u w:val="single"/>
        </w:rPr>
        <w:t xml:space="preserve"> de sus dirigentes, tanto civiles como militares. La mediocridad de los generales y políticos de entonces, nada que ver los la profesionalidad de los militares de hoy. No se quisieron enterar de que el mundo cambiaba a velocidad de vértigo. Los avances tecnológicos harían que nada a partir del día siguiente al estallido de la guerra fuese igual que antes.</w:t>
      </w:r>
    </w:p>
    <w:p w:rsidR="00AE4218" w:rsidRPr="002F45BE" w:rsidRDefault="00AE4218" w:rsidP="00AE4218">
      <w:pPr>
        <w:spacing w:before="100" w:beforeAutospacing="1" w:after="100" w:afterAutospacing="1" w:line="240" w:lineRule="auto"/>
        <w:jc w:val="both"/>
        <w:rPr>
          <w:rFonts w:ascii="Times New Roman" w:hAnsi="Times New Roman"/>
          <w:sz w:val="24"/>
          <w:szCs w:val="24"/>
          <w:u w:val="single"/>
        </w:rPr>
      </w:pPr>
      <w:r w:rsidRPr="002F45BE">
        <w:rPr>
          <w:rFonts w:ascii="Times New Roman" w:hAnsi="Times New Roman"/>
          <w:sz w:val="24"/>
          <w:szCs w:val="24"/>
          <w:u w:val="single"/>
        </w:rPr>
        <w:t xml:space="preserve">Las guerras de gabinete se habían acabado. </w:t>
      </w:r>
      <w:r w:rsidRPr="002F45BE">
        <w:rPr>
          <w:rFonts w:ascii="Times New Roman" w:hAnsi="Times New Roman"/>
          <w:b/>
          <w:bCs/>
          <w:sz w:val="24"/>
          <w:szCs w:val="24"/>
          <w:u w:val="single"/>
        </w:rPr>
        <w:t xml:space="preserve">En agosto de 1914 se inauguró el siglo XX </w:t>
      </w:r>
      <w:r w:rsidRPr="002F45BE">
        <w:rPr>
          <w:rFonts w:ascii="Times New Roman" w:hAnsi="Times New Roman"/>
          <w:sz w:val="24"/>
          <w:szCs w:val="24"/>
          <w:u w:val="single"/>
        </w:rPr>
        <w:t>con sus luces científicas y culturales y sus macabras sombras ideológicas y totalitarias. Los generales creían, en su ceguera y su ineptitud, que sería una guerra más de salón que acabaría en unas pocas semanas. Las batallas, pensaban, se desarrollarían como había sido habitual hasta entonces. Durarían un día o como mucho dos, como siempre. Duró cuatro largos años. Centroeuropa quedó abonada con cadáveres.</w:t>
      </w:r>
    </w:p>
    <w:p w:rsidR="00AE4218" w:rsidRPr="004470A7" w:rsidRDefault="00AE4218" w:rsidP="00AE4218">
      <w:pPr>
        <w:spacing w:before="100" w:beforeAutospacing="1" w:after="100" w:afterAutospacing="1" w:line="240" w:lineRule="auto"/>
        <w:jc w:val="both"/>
        <w:rPr>
          <w:rFonts w:ascii="Times New Roman" w:hAnsi="Times New Roman"/>
          <w:sz w:val="24"/>
          <w:szCs w:val="24"/>
        </w:rPr>
      </w:pPr>
      <w:r w:rsidRPr="002F45BE">
        <w:rPr>
          <w:rFonts w:ascii="Times New Roman" w:hAnsi="Times New Roman"/>
          <w:sz w:val="24"/>
          <w:szCs w:val="24"/>
          <w:u w:val="single"/>
        </w:rPr>
        <w:t>A pesar de que los generales y sus Estados Mayores eran los supuestos expertos, como lo son hoy los economistas y sus académicas teorías, no se dieron cuenta de que los avances tecnológicos</w:t>
      </w:r>
      <w:r w:rsidRPr="004470A7">
        <w:rPr>
          <w:rFonts w:ascii="Times New Roman" w:hAnsi="Times New Roman"/>
          <w:sz w:val="24"/>
          <w:szCs w:val="24"/>
        </w:rPr>
        <w:t xml:space="preserve"> en armamento, transportes y telecomunicaciones, por muy en mantillas que estuvieran, impondrían una guerra de una crueldad y una intensidad mortuoria jamás vista hasta entonces.</w:t>
      </w:r>
    </w:p>
    <w:p w:rsidR="00AE4218" w:rsidRPr="004470A7" w:rsidRDefault="00AE4218" w:rsidP="00AE4218">
      <w:pPr>
        <w:spacing w:before="100" w:beforeAutospacing="1" w:after="100" w:afterAutospacing="1" w:line="240" w:lineRule="auto"/>
        <w:jc w:val="both"/>
        <w:rPr>
          <w:rFonts w:ascii="Times New Roman" w:hAnsi="Times New Roman"/>
          <w:sz w:val="24"/>
          <w:szCs w:val="24"/>
        </w:rPr>
      </w:pPr>
      <w:r w:rsidRPr="002F45BE">
        <w:rPr>
          <w:rFonts w:ascii="Times New Roman" w:hAnsi="Times New Roman"/>
          <w:sz w:val="24"/>
          <w:szCs w:val="24"/>
          <w:u w:val="single"/>
        </w:rPr>
        <w:t xml:space="preserve">Los políticos fueron igual de torpes al no querer asimilar el </w:t>
      </w:r>
      <w:r w:rsidRPr="002F45BE">
        <w:rPr>
          <w:rFonts w:ascii="Times New Roman" w:hAnsi="Times New Roman"/>
          <w:i/>
          <w:iCs/>
          <w:sz w:val="24"/>
          <w:szCs w:val="24"/>
          <w:u w:val="single"/>
        </w:rPr>
        <w:t>tsunami</w:t>
      </w:r>
      <w:r w:rsidRPr="002F45BE">
        <w:rPr>
          <w:rFonts w:ascii="Times New Roman" w:hAnsi="Times New Roman"/>
          <w:sz w:val="24"/>
          <w:szCs w:val="24"/>
          <w:u w:val="single"/>
        </w:rPr>
        <w:t xml:space="preserve"> que estaban provocando</w:t>
      </w:r>
      <w:r w:rsidRPr="004470A7">
        <w:rPr>
          <w:rFonts w:ascii="Times New Roman" w:hAnsi="Times New Roman"/>
          <w:sz w:val="24"/>
          <w:szCs w:val="24"/>
        </w:rPr>
        <w:t>. Les encantaba cambiar fronteras a su antojo y jugar a ver quién la tenía más grande.</w:t>
      </w:r>
    </w:p>
    <w:p w:rsidR="00AE4218" w:rsidRPr="002F45BE" w:rsidRDefault="00AE4218" w:rsidP="00AE4218">
      <w:pPr>
        <w:spacing w:before="100" w:beforeAutospacing="1" w:after="100" w:afterAutospacing="1" w:line="240" w:lineRule="auto"/>
        <w:jc w:val="both"/>
        <w:rPr>
          <w:rFonts w:ascii="Times New Roman" w:hAnsi="Times New Roman"/>
          <w:color w:val="FF0000"/>
          <w:sz w:val="24"/>
          <w:szCs w:val="24"/>
          <w:u w:val="single"/>
        </w:rPr>
      </w:pPr>
      <w:r w:rsidRPr="002F45BE">
        <w:rPr>
          <w:rFonts w:ascii="Times New Roman" w:hAnsi="Times New Roman"/>
          <w:color w:val="FF0000"/>
          <w:sz w:val="24"/>
          <w:szCs w:val="24"/>
          <w:u w:val="single"/>
        </w:rPr>
        <w:lastRenderedPageBreak/>
        <w:t xml:space="preserve">Su ineptitud actual pugna por hacer revivir tales calamidades. </w:t>
      </w:r>
      <w:r w:rsidRPr="002F45BE">
        <w:rPr>
          <w:rFonts w:ascii="Times New Roman" w:hAnsi="Times New Roman"/>
          <w:b/>
          <w:bCs/>
          <w:color w:val="FF0000"/>
          <w:sz w:val="24"/>
          <w:szCs w:val="24"/>
          <w:u w:val="single"/>
        </w:rPr>
        <w:t>Se niegan a comprender que el mundo ha vuelto a cambiar radicalmente</w:t>
      </w:r>
      <w:r w:rsidRPr="002F45BE">
        <w:rPr>
          <w:rFonts w:ascii="Times New Roman" w:hAnsi="Times New Roman"/>
          <w:color w:val="FF0000"/>
          <w:sz w:val="24"/>
          <w:szCs w:val="24"/>
          <w:u w:val="single"/>
        </w:rPr>
        <w:t>, una vez más, un siglo después. La causa esta vez es la mala utilización de la tecnología existente y el deterioro del medioambiente. La insistencia en perseverar con políticas económicas fracasadas e inviables.</w:t>
      </w:r>
    </w:p>
    <w:p w:rsidR="00AE4218" w:rsidRPr="002F45BE" w:rsidRDefault="00AE4218" w:rsidP="00AE4218">
      <w:pPr>
        <w:spacing w:before="100" w:beforeAutospacing="1" w:after="100" w:afterAutospacing="1" w:line="240" w:lineRule="auto"/>
        <w:jc w:val="both"/>
        <w:rPr>
          <w:rFonts w:ascii="Times New Roman" w:hAnsi="Times New Roman"/>
          <w:color w:val="FF0000"/>
          <w:sz w:val="24"/>
          <w:szCs w:val="24"/>
          <w:u w:val="single"/>
        </w:rPr>
      </w:pPr>
      <w:r w:rsidRPr="002F45BE">
        <w:rPr>
          <w:rFonts w:ascii="Times New Roman" w:hAnsi="Times New Roman"/>
          <w:color w:val="FF0000"/>
          <w:sz w:val="24"/>
          <w:szCs w:val="24"/>
          <w:u w:val="single"/>
        </w:rPr>
        <w:t>Nada de lo que conocen y aplican sirve para nada, igual que las tácticas militares de entonces se han quedado obsoletas, si acaso alguna vez sirvieron para algo. Hace un siglo se empeñaron en aplicarlas hasta el final. Seguimos igual.</w:t>
      </w:r>
    </w:p>
    <w:p w:rsidR="00AE4218" w:rsidRPr="004470A7" w:rsidRDefault="00AE4218" w:rsidP="00AE4218">
      <w:pPr>
        <w:spacing w:before="100" w:beforeAutospacing="1" w:after="100" w:afterAutospacing="1" w:line="240" w:lineRule="auto"/>
        <w:jc w:val="both"/>
        <w:rPr>
          <w:rFonts w:ascii="Times New Roman" w:hAnsi="Times New Roman"/>
          <w:sz w:val="24"/>
          <w:szCs w:val="24"/>
        </w:rPr>
      </w:pPr>
      <w:r w:rsidRPr="004470A7">
        <w:rPr>
          <w:rFonts w:ascii="Times New Roman" w:hAnsi="Times New Roman"/>
          <w:sz w:val="24"/>
          <w:szCs w:val="24"/>
        </w:rPr>
        <w:t xml:space="preserve">Pretendieron aplicar entonces estrategias militares obsoletas basadas todas ellas en la </w:t>
      </w:r>
      <w:r w:rsidRPr="004470A7">
        <w:rPr>
          <w:rFonts w:ascii="Times New Roman" w:hAnsi="Times New Roman"/>
          <w:b/>
          <w:bCs/>
          <w:sz w:val="24"/>
          <w:szCs w:val="24"/>
        </w:rPr>
        <w:t>batalla de Cannas</w:t>
      </w:r>
      <w:r w:rsidRPr="004470A7">
        <w:rPr>
          <w:rFonts w:ascii="Times New Roman" w:hAnsi="Times New Roman"/>
          <w:sz w:val="24"/>
          <w:szCs w:val="24"/>
        </w:rPr>
        <w:t xml:space="preserve">, donde </w:t>
      </w:r>
      <w:r w:rsidRPr="004470A7">
        <w:rPr>
          <w:rFonts w:ascii="Times New Roman" w:hAnsi="Times New Roman"/>
          <w:b/>
          <w:bCs/>
          <w:sz w:val="24"/>
          <w:szCs w:val="24"/>
        </w:rPr>
        <w:t>Aníbal</w:t>
      </w:r>
      <w:r w:rsidRPr="004470A7">
        <w:rPr>
          <w:rFonts w:ascii="Times New Roman" w:hAnsi="Times New Roman"/>
          <w:sz w:val="24"/>
          <w:szCs w:val="24"/>
        </w:rPr>
        <w:t xml:space="preserve"> machacó a los romanos en el año 216 a.C. Provocaron millonaria mortandad. Al principio de la guerra, los soldados todavía se lanzaban de frente al toque de corneta o entonando marcha militar contra ametralladoras Maxim, con sus oficiales a menudo empuñando el sable o incluso a caballo. Los muy burros eran los primeros en caer.</w:t>
      </w:r>
    </w:p>
    <w:p w:rsidR="00AE4218" w:rsidRPr="004470A7" w:rsidRDefault="00AE4218" w:rsidP="00AE4218">
      <w:pPr>
        <w:spacing w:before="100" w:beforeAutospacing="1" w:after="100" w:afterAutospacing="1" w:line="240" w:lineRule="auto"/>
        <w:jc w:val="both"/>
        <w:rPr>
          <w:rFonts w:ascii="Times New Roman" w:hAnsi="Times New Roman"/>
          <w:sz w:val="24"/>
          <w:szCs w:val="24"/>
        </w:rPr>
      </w:pPr>
      <w:r w:rsidRPr="004470A7">
        <w:rPr>
          <w:rFonts w:ascii="Times New Roman" w:hAnsi="Times New Roman"/>
          <w:sz w:val="24"/>
          <w:szCs w:val="24"/>
        </w:rPr>
        <w:t xml:space="preserve">Los franceses, con su </w:t>
      </w:r>
      <w:r w:rsidRPr="004470A7">
        <w:rPr>
          <w:rFonts w:ascii="Times New Roman" w:hAnsi="Times New Roman"/>
          <w:i/>
          <w:iCs/>
          <w:sz w:val="24"/>
          <w:szCs w:val="24"/>
        </w:rPr>
        <w:t>grandeur</w:t>
      </w:r>
      <w:r w:rsidRPr="004470A7">
        <w:rPr>
          <w:rFonts w:ascii="Times New Roman" w:hAnsi="Times New Roman"/>
          <w:sz w:val="24"/>
          <w:szCs w:val="24"/>
        </w:rPr>
        <w:t>, llevaron a la guerra uniformes elegantes y vistosos. Para que los alemanes los apuntaran con mayor facilidad. Para que dieran en el blanco. La mortandad les hizo cambiar de opinión. Impuso uniformes de camuflaje a la moda de Paris.</w:t>
      </w:r>
    </w:p>
    <w:p w:rsidR="00AE4218" w:rsidRPr="002F45BE" w:rsidRDefault="00AE4218" w:rsidP="00AE4218">
      <w:pPr>
        <w:spacing w:before="100" w:beforeAutospacing="1" w:after="100" w:afterAutospacing="1" w:line="240" w:lineRule="auto"/>
        <w:jc w:val="both"/>
        <w:rPr>
          <w:rFonts w:ascii="Times New Roman" w:hAnsi="Times New Roman"/>
          <w:color w:val="FF0000"/>
          <w:sz w:val="24"/>
          <w:szCs w:val="24"/>
          <w:u w:val="single"/>
        </w:rPr>
      </w:pPr>
      <w:r w:rsidRPr="002F45BE">
        <w:rPr>
          <w:rFonts w:ascii="Times New Roman" w:hAnsi="Times New Roman"/>
          <w:color w:val="FF0000"/>
          <w:sz w:val="24"/>
          <w:szCs w:val="24"/>
          <w:u w:val="single"/>
        </w:rPr>
        <w:t>Las teorías económicas neoclásicas herederas intelectuales de los infaustos planes militares de entonces</w:t>
      </w:r>
      <w:r w:rsidRPr="002F45BE">
        <w:rPr>
          <w:rFonts w:ascii="Times New Roman" w:hAnsi="Times New Roman"/>
          <w:b/>
          <w:bCs/>
          <w:color w:val="FF0000"/>
          <w:sz w:val="24"/>
          <w:szCs w:val="24"/>
          <w:u w:val="single"/>
        </w:rPr>
        <w:t xml:space="preserve"> serán igual de sangrientas</w:t>
      </w:r>
      <w:r w:rsidRPr="002F45BE">
        <w:rPr>
          <w:rFonts w:ascii="Times New Roman" w:hAnsi="Times New Roman"/>
          <w:color w:val="FF0000"/>
          <w:sz w:val="24"/>
          <w:szCs w:val="24"/>
          <w:u w:val="single"/>
        </w:rPr>
        <w:t>, sólo que con decalaje. Los negadores de hoy, sean políticos o economistas, son incapaces de modificar sus absurdos dogmas ni crear otros nuevos: ni este planeta es infinito, ni lo son los recursos, ni el crecimiento económico continuo es posible, ni la tecnología es omnipotente, ni la biodiversidad es inmune a la adicción al carbono de miles de millones de insensatos, ni la biotecnología será ninguna panacea, en todo caso otra arma de destrucción masiva más. Podría producir mortandad mayor si cayera en manos de tarados o de fanáticos.</w:t>
      </w:r>
    </w:p>
    <w:p w:rsidR="00AE4218" w:rsidRPr="002F45BE" w:rsidRDefault="00AE4218" w:rsidP="00AE4218">
      <w:pPr>
        <w:spacing w:before="100" w:beforeAutospacing="1" w:after="100" w:afterAutospacing="1" w:line="240" w:lineRule="auto"/>
        <w:jc w:val="both"/>
        <w:rPr>
          <w:rFonts w:ascii="Times New Roman" w:hAnsi="Times New Roman"/>
          <w:sz w:val="24"/>
          <w:szCs w:val="24"/>
          <w:u w:val="single"/>
        </w:rPr>
      </w:pPr>
      <w:r w:rsidRPr="002F45BE">
        <w:rPr>
          <w:rFonts w:ascii="Times New Roman" w:hAnsi="Times New Roman"/>
          <w:b/>
          <w:bCs/>
          <w:sz w:val="24"/>
          <w:szCs w:val="24"/>
          <w:u w:val="single"/>
        </w:rPr>
        <w:t>Los economistas de entonces fueron tan agudos en sus predicciones como lo son los actuales</w:t>
      </w:r>
      <w:r w:rsidRPr="002F45BE">
        <w:rPr>
          <w:rFonts w:ascii="Times New Roman" w:hAnsi="Times New Roman"/>
          <w:sz w:val="24"/>
          <w:szCs w:val="24"/>
          <w:u w:val="single"/>
        </w:rPr>
        <w:t>. Se alinearon con los militares en sus augurios. Pronosticaron una guerra de muy corta duración. Ninguna nación tendría dinero para pagar una guerra larga. Se arruinarían antes de un mes, decían. Como siempre, acertaron. Duró cuatro largos años.</w:t>
      </w:r>
    </w:p>
    <w:p w:rsidR="00AE4218" w:rsidRPr="002F45BE" w:rsidRDefault="00AE4218" w:rsidP="00AE4218">
      <w:pPr>
        <w:spacing w:before="100" w:beforeAutospacing="1" w:after="100" w:afterAutospacing="1" w:line="240" w:lineRule="auto"/>
        <w:jc w:val="both"/>
        <w:rPr>
          <w:rFonts w:ascii="Times New Roman" w:hAnsi="Times New Roman"/>
          <w:sz w:val="24"/>
          <w:szCs w:val="24"/>
          <w:u w:val="single"/>
        </w:rPr>
      </w:pPr>
      <w:r w:rsidRPr="002F45BE">
        <w:rPr>
          <w:rFonts w:ascii="Times New Roman" w:hAnsi="Times New Roman"/>
          <w:sz w:val="24"/>
          <w:szCs w:val="24"/>
          <w:u w:val="single"/>
        </w:rPr>
        <w:t>El patrón oro estaba vigente al principio de la guerra. Decían que nadie podría endeudarse indefinidamente si no acumulaba reservas en oro suficientes para respaldar los préstamos. No contaron con que lo primero que hicieron todos los gobiernos fue suspender el patrón oro mientras durara el conflicto. Se dedicaron a darle a la manivela de los billetes para permitir pagar la factura mortal.</w:t>
      </w:r>
    </w:p>
    <w:p w:rsidR="00AE4218" w:rsidRPr="004470A7" w:rsidRDefault="00AE4218" w:rsidP="00AE4218">
      <w:pPr>
        <w:spacing w:before="100" w:beforeAutospacing="1" w:after="100" w:afterAutospacing="1" w:line="240" w:lineRule="auto"/>
        <w:jc w:val="both"/>
        <w:rPr>
          <w:rFonts w:ascii="Times New Roman" w:hAnsi="Times New Roman"/>
          <w:sz w:val="24"/>
          <w:szCs w:val="24"/>
        </w:rPr>
      </w:pPr>
      <w:r w:rsidRPr="0033285D">
        <w:rPr>
          <w:rFonts w:ascii="Times New Roman" w:hAnsi="Times New Roman"/>
          <w:b/>
          <w:bCs/>
          <w:sz w:val="24"/>
          <w:szCs w:val="24"/>
          <w:u w:val="single"/>
        </w:rPr>
        <w:t>Eso creó inflación</w:t>
      </w:r>
      <w:r w:rsidRPr="004470A7">
        <w:rPr>
          <w:rFonts w:ascii="Times New Roman" w:hAnsi="Times New Roman"/>
          <w:sz w:val="24"/>
          <w:szCs w:val="24"/>
        </w:rPr>
        <w:t>. Los estímulos a la industria militar para poder seguir matando vinieron acompañados de cada vez mayor escasez de productos básicos para la población, con el aumento de precios subsiguiente. La gente necesitaba comer para sobrevivir. Estaba dispuesta a pagar lo que fuera por ello.</w:t>
      </w:r>
    </w:p>
    <w:p w:rsidR="00AE4218" w:rsidRPr="002F45BE" w:rsidRDefault="00AE4218" w:rsidP="00AE4218">
      <w:pPr>
        <w:spacing w:before="100" w:beforeAutospacing="1" w:after="100" w:afterAutospacing="1" w:line="240" w:lineRule="auto"/>
        <w:jc w:val="both"/>
        <w:rPr>
          <w:rFonts w:ascii="Times New Roman" w:hAnsi="Times New Roman"/>
          <w:color w:val="FF0000"/>
          <w:sz w:val="24"/>
          <w:szCs w:val="24"/>
          <w:u w:val="single"/>
        </w:rPr>
      </w:pPr>
      <w:r w:rsidRPr="002F45BE">
        <w:rPr>
          <w:rFonts w:ascii="Times New Roman" w:hAnsi="Times New Roman"/>
          <w:color w:val="FF0000"/>
          <w:sz w:val="24"/>
          <w:szCs w:val="24"/>
          <w:u w:val="single"/>
        </w:rPr>
        <w:t xml:space="preserve">Europa se recuperó en parte en los felices años 20. No quedaba más remedio que reconstruirla. Eso estimuló la demanda y, por lo tanto, la economía. Hoy en día, en un </w:t>
      </w:r>
      <w:r w:rsidRPr="002F45BE">
        <w:rPr>
          <w:rFonts w:ascii="Times New Roman" w:hAnsi="Times New Roman"/>
          <w:color w:val="FF0000"/>
          <w:sz w:val="24"/>
          <w:szCs w:val="24"/>
          <w:u w:val="single"/>
        </w:rPr>
        <w:lastRenderedPageBreak/>
        <w:t>mundo con exceso de oferta, esos estímulos teóricos se quedan dentro de la industria financiera.</w:t>
      </w:r>
    </w:p>
    <w:p w:rsidR="00AE4218" w:rsidRPr="002F45BE" w:rsidRDefault="00AE4218" w:rsidP="00AE4218">
      <w:pPr>
        <w:spacing w:before="100" w:beforeAutospacing="1" w:after="100" w:afterAutospacing="1" w:line="240" w:lineRule="auto"/>
        <w:jc w:val="both"/>
        <w:rPr>
          <w:rFonts w:ascii="Times New Roman" w:hAnsi="Times New Roman"/>
          <w:b/>
          <w:color w:val="FF0000"/>
          <w:sz w:val="24"/>
          <w:szCs w:val="24"/>
          <w:u w:val="single"/>
        </w:rPr>
      </w:pPr>
      <w:r w:rsidRPr="002F45BE">
        <w:rPr>
          <w:rFonts w:ascii="Times New Roman" w:hAnsi="Times New Roman"/>
          <w:b/>
          <w:bCs/>
          <w:color w:val="FF0000"/>
          <w:sz w:val="24"/>
          <w:szCs w:val="24"/>
          <w:u w:val="single"/>
        </w:rPr>
        <w:t>Países como España o Estados Unidos no ofertan ya nada</w:t>
      </w:r>
      <w:r w:rsidRPr="002F45BE">
        <w:rPr>
          <w:rFonts w:ascii="Times New Roman" w:hAnsi="Times New Roman"/>
          <w:b/>
          <w:color w:val="FF0000"/>
          <w:sz w:val="24"/>
          <w:szCs w:val="24"/>
          <w:u w:val="single"/>
        </w:rPr>
        <w:t xml:space="preserve">. No hay industria. Demandan casi todo del exterior. El balance se oculta en el letal déficit exterior y en la deuda que se incrementa. El </w:t>
      </w:r>
      <w:r w:rsidRPr="002F45BE">
        <w:rPr>
          <w:rFonts w:ascii="Times New Roman" w:hAnsi="Times New Roman"/>
          <w:b/>
          <w:i/>
          <w:iCs/>
          <w:color w:val="FF0000"/>
          <w:sz w:val="24"/>
          <w:szCs w:val="24"/>
          <w:u w:val="single"/>
        </w:rPr>
        <w:t xml:space="preserve">dumping </w:t>
      </w:r>
      <w:r w:rsidRPr="002F45BE">
        <w:rPr>
          <w:rFonts w:ascii="Times New Roman" w:hAnsi="Times New Roman"/>
          <w:b/>
          <w:color w:val="FF0000"/>
          <w:sz w:val="24"/>
          <w:szCs w:val="24"/>
          <w:u w:val="single"/>
        </w:rPr>
        <w:t>humano y medioambiental promovido por Bruselas ha terminado de envilecer este sistema económico y social resquebrajado.</w:t>
      </w:r>
    </w:p>
    <w:p w:rsidR="00AE4218" w:rsidRPr="002F45BE" w:rsidRDefault="00AE4218" w:rsidP="00AE4218">
      <w:pPr>
        <w:spacing w:before="100" w:beforeAutospacing="1" w:after="100" w:afterAutospacing="1" w:line="240" w:lineRule="auto"/>
        <w:jc w:val="both"/>
        <w:rPr>
          <w:rFonts w:ascii="Times New Roman" w:hAnsi="Times New Roman"/>
          <w:b/>
          <w:color w:val="FF0000"/>
          <w:sz w:val="24"/>
          <w:szCs w:val="24"/>
          <w:u w:val="single"/>
        </w:rPr>
      </w:pPr>
      <w:r w:rsidRPr="002F45BE">
        <w:rPr>
          <w:rFonts w:ascii="Times New Roman" w:hAnsi="Times New Roman"/>
          <w:b/>
          <w:bCs/>
          <w:color w:val="FF0000"/>
          <w:sz w:val="24"/>
          <w:szCs w:val="24"/>
          <w:u w:val="single"/>
        </w:rPr>
        <w:t>Estados Unidos se puso las botas con tal guerra</w:t>
      </w:r>
      <w:r w:rsidRPr="002F45BE">
        <w:rPr>
          <w:rFonts w:ascii="Times New Roman" w:hAnsi="Times New Roman"/>
          <w:b/>
          <w:color w:val="FF0000"/>
          <w:sz w:val="24"/>
          <w:szCs w:val="24"/>
          <w:u w:val="single"/>
        </w:rPr>
        <w:t>. Se convirtió en gran potencia. Otorgó préstamos abundantes sin exigir apenas garantías a condición de que les comprasen a ellos todo lo posible. Fue la única vencedora junto con Japón. Europa quedó hecha unos zorros. Afianzó su decadencia, que ahora termina para siempre. Se está deshaciendo. Pocos lo quieren asimilar.</w:t>
      </w:r>
    </w:p>
    <w:p w:rsidR="00AE4218" w:rsidRPr="002F45BE" w:rsidRDefault="00AE4218" w:rsidP="00AE4218">
      <w:pPr>
        <w:spacing w:before="100" w:beforeAutospacing="1" w:after="100" w:afterAutospacing="1" w:line="240" w:lineRule="auto"/>
        <w:jc w:val="both"/>
        <w:rPr>
          <w:rFonts w:ascii="Times New Roman" w:hAnsi="Times New Roman"/>
          <w:color w:val="FF0000"/>
          <w:sz w:val="24"/>
          <w:szCs w:val="24"/>
          <w:u w:val="single"/>
        </w:rPr>
      </w:pPr>
      <w:r w:rsidRPr="002F45BE">
        <w:rPr>
          <w:rFonts w:ascii="Times New Roman" w:hAnsi="Times New Roman"/>
          <w:color w:val="FF0000"/>
          <w:sz w:val="24"/>
          <w:szCs w:val="24"/>
          <w:u w:val="single"/>
        </w:rPr>
        <w:t>El círculo vicioso en el que estamos</w:t>
      </w:r>
      <w:r>
        <w:rPr>
          <w:rFonts w:ascii="Times New Roman" w:hAnsi="Times New Roman"/>
          <w:color w:val="FF0000"/>
          <w:sz w:val="24"/>
          <w:szCs w:val="24"/>
          <w:u w:val="single"/>
        </w:rPr>
        <w:t xml:space="preserve"> sumidos: consumo disparatado -gasto absurdo- aumento de la deuda -ineducación</w:t>
      </w:r>
      <w:r w:rsidRPr="002F45BE">
        <w:rPr>
          <w:rFonts w:ascii="Times New Roman" w:hAnsi="Times New Roman"/>
          <w:color w:val="FF0000"/>
          <w:sz w:val="24"/>
          <w:szCs w:val="24"/>
          <w:u w:val="single"/>
        </w:rPr>
        <w:t>- degeneración democrática no llegará a buen puerto si no se toman medidas drásticas.</w:t>
      </w:r>
    </w:p>
    <w:p w:rsidR="00AE4218" w:rsidRPr="002F45BE" w:rsidRDefault="00AE4218" w:rsidP="00AE4218">
      <w:pPr>
        <w:spacing w:before="100" w:beforeAutospacing="1" w:after="100" w:afterAutospacing="1" w:line="240" w:lineRule="auto"/>
        <w:jc w:val="both"/>
        <w:rPr>
          <w:rFonts w:ascii="Times New Roman" w:hAnsi="Times New Roman"/>
          <w:b/>
          <w:color w:val="FF0000"/>
          <w:sz w:val="24"/>
          <w:szCs w:val="24"/>
          <w:u w:val="single"/>
        </w:rPr>
      </w:pPr>
      <w:r w:rsidRPr="002F45BE">
        <w:rPr>
          <w:rFonts w:ascii="Times New Roman" w:hAnsi="Times New Roman"/>
          <w:b/>
          <w:color w:val="FF0000"/>
          <w:sz w:val="24"/>
          <w:szCs w:val="24"/>
          <w:u w:val="single"/>
        </w:rPr>
        <w:t xml:space="preserve">Como el ciclo germano era hasta ahora el opuesto, </w:t>
      </w:r>
      <w:r w:rsidRPr="002F45BE">
        <w:rPr>
          <w:rFonts w:ascii="Times New Roman" w:hAnsi="Times New Roman"/>
          <w:b/>
          <w:bCs/>
          <w:color w:val="FF0000"/>
          <w:sz w:val="24"/>
          <w:szCs w:val="24"/>
          <w:u w:val="single"/>
        </w:rPr>
        <w:t>la inestabilidad endémica del engranaje económico europeo es patente para todos menos para los llamados expertos</w:t>
      </w:r>
      <w:r w:rsidRPr="002F45BE">
        <w:rPr>
          <w:rFonts w:ascii="Times New Roman" w:hAnsi="Times New Roman"/>
          <w:b/>
          <w:color w:val="FF0000"/>
          <w:sz w:val="24"/>
          <w:szCs w:val="24"/>
          <w:u w:val="single"/>
        </w:rPr>
        <w:t xml:space="preserve">. Parece que alinean el ciclo al entrar Europa entera en recesión. No se sabe qué es peor. </w:t>
      </w:r>
      <w:r w:rsidRPr="002F45BE">
        <w:rPr>
          <w:rFonts w:ascii="Times New Roman" w:hAnsi="Times New Roman"/>
          <w:b/>
          <w:bCs/>
          <w:color w:val="FF0000"/>
          <w:sz w:val="24"/>
          <w:szCs w:val="24"/>
          <w:u w:val="single"/>
        </w:rPr>
        <w:t xml:space="preserve">El euro, y Europa con él, acabarán saltando por los aires si no se aplica la economía fundamental </w:t>
      </w:r>
      <w:r w:rsidRPr="002F45BE">
        <w:rPr>
          <w:rFonts w:ascii="Times New Roman" w:hAnsi="Times New Roman"/>
          <w:b/>
          <w:color w:val="FF0000"/>
          <w:sz w:val="24"/>
          <w:szCs w:val="24"/>
          <w:u w:val="single"/>
        </w:rPr>
        <w:t>y se comienzan a hacer cosas con sensatez.</w:t>
      </w:r>
    </w:p>
    <w:p w:rsidR="00AE4218" w:rsidRPr="002F45BE" w:rsidRDefault="00AE4218" w:rsidP="00AE4218">
      <w:pPr>
        <w:spacing w:before="100" w:beforeAutospacing="1" w:after="100" w:afterAutospacing="1" w:line="240" w:lineRule="auto"/>
        <w:jc w:val="both"/>
        <w:rPr>
          <w:rFonts w:ascii="Times New Roman" w:hAnsi="Times New Roman"/>
          <w:b/>
          <w:color w:val="FF0000"/>
          <w:sz w:val="24"/>
          <w:szCs w:val="24"/>
          <w:u w:val="single"/>
        </w:rPr>
      </w:pPr>
      <w:r w:rsidRPr="002F45BE">
        <w:rPr>
          <w:rFonts w:ascii="Times New Roman" w:hAnsi="Times New Roman"/>
          <w:b/>
          <w:color w:val="FF0000"/>
          <w:sz w:val="24"/>
          <w:szCs w:val="24"/>
          <w:u w:val="single"/>
        </w:rPr>
        <w:t>Europa entera y el mundo con ella se desintegrarán como siga siendo capitaneada en cada país y en Bruselas por fulanos tan mediocres y tan cortos de entendederas como los que precipitaron la I Guerra Mundial.</w:t>
      </w:r>
    </w:p>
    <w:p w:rsidR="00AE4218" w:rsidRPr="004470A7" w:rsidRDefault="00AE4218" w:rsidP="00AE4218">
      <w:pPr>
        <w:spacing w:before="100" w:beforeAutospacing="1" w:after="100" w:afterAutospacing="1" w:line="240" w:lineRule="auto"/>
        <w:jc w:val="both"/>
        <w:rPr>
          <w:rFonts w:ascii="Times New Roman" w:hAnsi="Times New Roman"/>
          <w:sz w:val="24"/>
          <w:szCs w:val="24"/>
        </w:rPr>
      </w:pPr>
      <w:r w:rsidRPr="004470A7">
        <w:rPr>
          <w:rFonts w:ascii="Times New Roman" w:hAnsi="Times New Roman"/>
          <w:sz w:val="24"/>
          <w:szCs w:val="24"/>
        </w:rPr>
        <w:t xml:space="preserve">Dice </w:t>
      </w:r>
      <w:r w:rsidRPr="004470A7">
        <w:rPr>
          <w:rFonts w:ascii="Times New Roman" w:hAnsi="Times New Roman"/>
          <w:b/>
          <w:bCs/>
          <w:sz w:val="24"/>
          <w:szCs w:val="24"/>
        </w:rPr>
        <w:t>Max Hastings</w:t>
      </w:r>
      <w:r w:rsidRPr="004470A7">
        <w:rPr>
          <w:rFonts w:ascii="Times New Roman" w:hAnsi="Times New Roman"/>
          <w:sz w:val="24"/>
          <w:szCs w:val="24"/>
        </w:rPr>
        <w:t xml:space="preserve"> (p 607).</w:t>
      </w:r>
    </w:p>
    <w:p w:rsidR="00AE4218" w:rsidRDefault="00AE4218" w:rsidP="00AE4218">
      <w:pPr>
        <w:spacing w:before="100" w:beforeAutospacing="1" w:after="100" w:afterAutospacing="1" w:line="240" w:lineRule="auto"/>
        <w:jc w:val="both"/>
        <w:rPr>
          <w:rFonts w:ascii="Times New Roman" w:hAnsi="Times New Roman"/>
          <w:i/>
          <w:iCs/>
          <w:sz w:val="24"/>
          <w:szCs w:val="24"/>
        </w:rPr>
      </w:pPr>
      <w:r w:rsidRPr="004470A7">
        <w:rPr>
          <w:rFonts w:ascii="Times New Roman" w:hAnsi="Times New Roman"/>
          <w:i/>
          <w:iCs/>
          <w:sz w:val="24"/>
          <w:szCs w:val="24"/>
        </w:rPr>
        <w:t>“Es más adecuado llamarlos “negadores”: prefirieron insistir en políticas y estrategias sumamente perjudiciales antes que aceptar que era poco plausible llevarlas a cabo y, en retros</w:t>
      </w:r>
      <w:r>
        <w:rPr>
          <w:rFonts w:ascii="Times New Roman" w:hAnsi="Times New Roman"/>
          <w:i/>
          <w:iCs/>
          <w:sz w:val="24"/>
          <w:szCs w:val="24"/>
        </w:rPr>
        <w:t>pectiva, que se había fracasado”.</w:t>
      </w:r>
    </w:p>
    <w:p w:rsidR="0033285D" w:rsidRDefault="0033285D" w:rsidP="0033285D">
      <w:pPr>
        <w:spacing w:before="100" w:beforeAutospacing="1" w:after="100" w:afterAutospacing="1" w:line="240" w:lineRule="auto"/>
        <w:jc w:val="both"/>
        <w:rPr>
          <w:rFonts w:ascii="Times New Roman" w:hAnsi="Times New Roman"/>
          <w:b/>
          <w:sz w:val="24"/>
          <w:szCs w:val="24"/>
        </w:rPr>
      </w:pPr>
      <w:r w:rsidRPr="0033285D">
        <w:rPr>
          <w:rFonts w:ascii="Times New Roman" w:hAnsi="Times New Roman"/>
          <w:b/>
          <w:sz w:val="24"/>
          <w:szCs w:val="24"/>
        </w:rPr>
        <w:t xml:space="preserve">- </w:t>
      </w:r>
      <w:r w:rsidR="007008DD">
        <w:rPr>
          <w:rFonts w:ascii="Times New Roman" w:hAnsi="Times New Roman"/>
          <w:b/>
          <w:sz w:val="24"/>
          <w:szCs w:val="24"/>
        </w:rPr>
        <w:t xml:space="preserve">Remembranzas: </w:t>
      </w:r>
      <w:r w:rsidR="00F83104">
        <w:rPr>
          <w:rFonts w:ascii="Times New Roman" w:hAnsi="Times New Roman"/>
          <w:b/>
          <w:sz w:val="24"/>
          <w:szCs w:val="24"/>
        </w:rPr>
        <w:t>“</w:t>
      </w:r>
      <w:r w:rsidR="007008DD">
        <w:rPr>
          <w:rFonts w:ascii="Times New Roman" w:hAnsi="Times New Roman"/>
          <w:b/>
          <w:sz w:val="24"/>
          <w:szCs w:val="24"/>
        </w:rPr>
        <w:t>d</w:t>
      </w:r>
      <w:r w:rsidRPr="0033285D">
        <w:rPr>
          <w:rFonts w:ascii="Times New Roman" w:hAnsi="Times New Roman"/>
          <w:b/>
          <w:sz w:val="24"/>
          <w:szCs w:val="24"/>
        </w:rPr>
        <w:t>icen que dicen</w:t>
      </w:r>
      <w:r w:rsidR="00F83104">
        <w:rPr>
          <w:rFonts w:ascii="Times New Roman" w:hAnsi="Times New Roman"/>
          <w:b/>
          <w:sz w:val="24"/>
          <w:szCs w:val="24"/>
        </w:rPr>
        <w:t>”</w:t>
      </w:r>
      <w:r>
        <w:rPr>
          <w:rFonts w:ascii="Times New Roman" w:hAnsi="Times New Roman"/>
          <w:b/>
          <w:sz w:val="24"/>
          <w:szCs w:val="24"/>
        </w:rPr>
        <w:t>…</w:t>
      </w:r>
      <w:r w:rsidR="00F83104">
        <w:rPr>
          <w:rFonts w:ascii="Times New Roman" w:hAnsi="Times New Roman"/>
          <w:b/>
          <w:sz w:val="24"/>
          <w:szCs w:val="24"/>
        </w:rPr>
        <w:t xml:space="preserve"> (¿</w:t>
      </w:r>
      <w:r w:rsidRPr="0033285D">
        <w:rPr>
          <w:rFonts w:ascii="Times New Roman" w:hAnsi="Times New Roman"/>
          <w:b/>
          <w:sz w:val="24"/>
          <w:szCs w:val="24"/>
        </w:rPr>
        <w:t xml:space="preserve">cuándo se </w:t>
      </w:r>
      <w:r w:rsidR="00F83104">
        <w:rPr>
          <w:rFonts w:ascii="Times New Roman" w:hAnsi="Times New Roman"/>
          <w:b/>
          <w:sz w:val="24"/>
          <w:szCs w:val="24"/>
        </w:rPr>
        <w:t>“</w:t>
      </w:r>
      <w:r w:rsidRPr="0033285D">
        <w:rPr>
          <w:rFonts w:ascii="Times New Roman" w:hAnsi="Times New Roman"/>
          <w:b/>
          <w:sz w:val="24"/>
          <w:szCs w:val="24"/>
        </w:rPr>
        <w:t>jodió</w:t>
      </w:r>
      <w:r w:rsidR="00F83104">
        <w:rPr>
          <w:rFonts w:ascii="Times New Roman" w:hAnsi="Times New Roman"/>
          <w:b/>
          <w:sz w:val="24"/>
          <w:szCs w:val="24"/>
        </w:rPr>
        <w:t>”</w:t>
      </w:r>
      <w:r w:rsidRPr="0033285D">
        <w:rPr>
          <w:rFonts w:ascii="Times New Roman" w:hAnsi="Times New Roman"/>
          <w:b/>
          <w:sz w:val="24"/>
          <w:szCs w:val="24"/>
        </w:rPr>
        <w:t xml:space="preserve"> </w:t>
      </w:r>
      <w:r w:rsidR="00C70D04">
        <w:rPr>
          <w:rFonts w:ascii="Times New Roman" w:hAnsi="Times New Roman"/>
          <w:b/>
          <w:sz w:val="24"/>
          <w:szCs w:val="24"/>
        </w:rPr>
        <w:t>Europa?)</w:t>
      </w:r>
    </w:p>
    <w:p w:rsidR="00A71441" w:rsidRDefault="00A71441" w:rsidP="0033285D">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Allá por el año 2003, Robert Kagan escribía: “</w:t>
      </w:r>
      <w:r w:rsidRPr="00A71441">
        <w:rPr>
          <w:rFonts w:ascii="Times New Roman" w:hAnsi="Times New Roman" w:cs="Times New Roman"/>
          <w:color w:val="222222"/>
          <w:sz w:val="24"/>
          <w:szCs w:val="24"/>
        </w:rPr>
        <w:t>Ha llegado el momento de deja</w:t>
      </w:r>
      <w:r>
        <w:rPr>
          <w:rFonts w:ascii="Times New Roman" w:hAnsi="Times New Roman" w:cs="Times New Roman"/>
          <w:color w:val="222222"/>
          <w:sz w:val="24"/>
          <w:szCs w:val="24"/>
        </w:rPr>
        <w:t>r de fingir que Europa y los EEUU</w:t>
      </w:r>
      <w:r w:rsidRPr="00A71441">
        <w:rPr>
          <w:rFonts w:ascii="Times New Roman" w:hAnsi="Times New Roman" w:cs="Times New Roman"/>
          <w:color w:val="222222"/>
          <w:sz w:val="24"/>
          <w:szCs w:val="24"/>
        </w:rPr>
        <w:t xml:space="preserve"> comparten la misma visión del mundo o incluso que viven en el mismo mundo”. </w:t>
      </w:r>
    </w:p>
    <w:p w:rsidR="005B6C88" w:rsidRDefault="00A71441" w:rsidP="0033285D">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Según Kagan, los EEUU</w:t>
      </w:r>
      <w:r w:rsidRPr="00A71441">
        <w:rPr>
          <w:rFonts w:ascii="Times New Roman" w:hAnsi="Times New Roman" w:cs="Times New Roman"/>
          <w:color w:val="222222"/>
          <w:sz w:val="24"/>
          <w:szCs w:val="24"/>
        </w:rPr>
        <w:t>, por su pod</w:t>
      </w:r>
      <w:r>
        <w:rPr>
          <w:rFonts w:ascii="Times New Roman" w:hAnsi="Times New Roman" w:cs="Times New Roman"/>
          <w:color w:val="222222"/>
          <w:sz w:val="24"/>
          <w:szCs w:val="24"/>
        </w:rPr>
        <w:t xml:space="preserve">er militar sin rival, vive </w:t>
      </w:r>
      <w:r w:rsidRPr="00A71441">
        <w:rPr>
          <w:rFonts w:ascii="Times New Roman" w:hAnsi="Times New Roman" w:cs="Times New Roman"/>
          <w:color w:val="222222"/>
          <w:sz w:val="24"/>
          <w:szCs w:val="24"/>
        </w:rPr>
        <w:t>en un mundo anárquico y hobbesiano, de buenos y malos, donde los conflictos se resuelven por la fuerza, mediante la coerción, prescindiendo del derecho y de las instituciones internacionales cuando convenga. Europa, en cambio, por su debilidad militar y su experiencia histórica desde mediados del siglo pasado, vive en un mundo kantiano, donde los conflictos se resuelven con negociaciones, el derecho y las organizaciones internacionales, la diplomacia, la presión económica y comercial. El proceso es igual o más importante que los resultados.</w:t>
      </w:r>
    </w:p>
    <w:p w:rsidR="009D137C" w:rsidRDefault="00A71441" w:rsidP="0033285D">
      <w:pPr>
        <w:spacing w:before="100" w:beforeAutospacing="1" w:after="100" w:afterAutospacing="1" w:line="240" w:lineRule="auto"/>
        <w:jc w:val="both"/>
        <w:rPr>
          <w:rFonts w:ascii="Times New Roman" w:hAnsi="Times New Roman" w:cs="Times New Roman"/>
          <w:color w:val="222222"/>
          <w:sz w:val="24"/>
          <w:szCs w:val="24"/>
        </w:rPr>
      </w:pPr>
      <w:r w:rsidRPr="00A71441">
        <w:rPr>
          <w:rFonts w:ascii="Times New Roman" w:hAnsi="Times New Roman" w:cs="Times New Roman"/>
          <w:color w:val="222222"/>
          <w:sz w:val="24"/>
          <w:szCs w:val="24"/>
        </w:rPr>
        <w:lastRenderedPageBreak/>
        <w:t>“Este es el motivo de que hoy... los estadounidenses parezcan de Marte</w:t>
      </w:r>
      <w:r>
        <w:rPr>
          <w:rFonts w:ascii="Times New Roman" w:hAnsi="Times New Roman" w:cs="Times New Roman"/>
          <w:color w:val="222222"/>
          <w:sz w:val="24"/>
          <w:szCs w:val="24"/>
        </w:rPr>
        <w:t xml:space="preserve"> y los europeos de Venus”, añadía</w:t>
      </w:r>
      <w:r w:rsidRPr="00A71441">
        <w:rPr>
          <w:rFonts w:ascii="Times New Roman" w:hAnsi="Times New Roman" w:cs="Times New Roman"/>
          <w:color w:val="222222"/>
          <w:sz w:val="24"/>
          <w:szCs w:val="24"/>
        </w:rPr>
        <w:t>. “Unos y otros cada vez se entienden peor”. Es imposible hacer un psicoanálisis tan provocador en tan pocas páginas de un matrimonio tan compli</w:t>
      </w:r>
      <w:r>
        <w:rPr>
          <w:rFonts w:ascii="Times New Roman" w:hAnsi="Times New Roman" w:cs="Times New Roman"/>
          <w:color w:val="222222"/>
          <w:sz w:val="24"/>
          <w:szCs w:val="24"/>
        </w:rPr>
        <w:t>cado como el de Europa y los EEUU</w:t>
      </w:r>
      <w:r w:rsidRPr="00A71441">
        <w:rPr>
          <w:rFonts w:ascii="Times New Roman" w:hAnsi="Times New Roman" w:cs="Times New Roman"/>
          <w:color w:val="222222"/>
          <w:sz w:val="24"/>
          <w:szCs w:val="24"/>
        </w:rPr>
        <w:t xml:space="preserve"> desde la segunda guerra mundial. Como Fukuyama en el 89 con </w:t>
      </w:r>
      <w:r w:rsidRPr="00A71441">
        <w:rPr>
          <w:rStyle w:val="nfasis"/>
          <w:rFonts w:ascii="Times New Roman" w:hAnsi="Times New Roman" w:cs="Times New Roman"/>
          <w:color w:val="222222"/>
          <w:sz w:val="24"/>
          <w:szCs w:val="24"/>
        </w:rPr>
        <w:t>El fin de la historia</w:t>
      </w:r>
      <w:r w:rsidRPr="00A71441">
        <w:rPr>
          <w:rFonts w:ascii="Times New Roman" w:hAnsi="Times New Roman" w:cs="Times New Roman"/>
          <w:color w:val="222222"/>
          <w:sz w:val="24"/>
          <w:szCs w:val="24"/>
        </w:rPr>
        <w:t xml:space="preserve"> y Huntington en el 93 con </w:t>
      </w:r>
      <w:r w:rsidRPr="00A71441">
        <w:rPr>
          <w:rStyle w:val="nfasis"/>
          <w:rFonts w:ascii="Times New Roman" w:hAnsi="Times New Roman" w:cs="Times New Roman"/>
          <w:color w:val="222222"/>
          <w:sz w:val="24"/>
          <w:szCs w:val="24"/>
        </w:rPr>
        <w:t>El choque de civilizaciones</w:t>
      </w:r>
      <w:r>
        <w:rPr>
          <w:rFonts w:ascii="Times New Roman" w:hAnsi="Times New Roman" w:cs="Times New Roman"/>
          <w:color w:val="222222"/>
          <w:sz w:val="24"/>
          <w:szCs w:val="24"/>
        </w:rPr>
        <w:t xml:space="preserve">, su </w:t>
      </w:r>
      <w:r w:rsidRPr="00A71441">
        <w:rPr>
          <w:rFonts w:ascii="Times New Roman" w:hAnsi="Times New Roman" w:cs="Times New Roman"/>
          <w:color w:val="222222"/>
          <w:sz w:val="24"/>
          <w:szCs w:val="24"/>
        </w:rPr>
        <w:t>libro</w:t>
      </w:r>
      <w:r>
        <w:rPr>
          <w:rFonts w:ascii="Times New Roman" w:hAnsi="Times New Roman" w:cs="Times New Roman"/>
          <w:color w:val="222222"/>
          <w:sz w:val="24"/>
          <w:szCs w:val="24"/>
        </w:rPr>
        <w:t xml:space="preserve"> “</w:t>
      </w:r>
      <w:r w:rsidRPr="007008DD">
        <w:rPr>
          <w:rFonts w:ascii="Times New Roman" w:hAnsi="Times New Roman" w:cs="Times New Roman"/>
          <w:i/>
          <w:color w:val="222222"/>
          <w:sz w:val="24"/>
          <w:szCs w:val="24"/>
        </w:rPr>
        <w:t>Poder y debilidad: Estados Unidos y Europa en el nuevo orden mundial</w:t>
      </w:r>
      <w:r>
        <w:rPr>
          <w:rFonts w:ascii="Times New Roman" w:hAnsi="Times New Roman" w:cs="Times New Roman"/>
          <w:color w:val="222222"/>
          <w:sz w:val="24"/>
          <w:szCs w:val="24"/>
        </w:rPr>
        <w:t>”</w:t>
      </w:r>
      <w:r w:rsidRPr="00A71441">
        <w:rPr>
          <w:rFonts w:ascii="Times New Roman" w:hAnsi="Times New Roman" w:cs="Times New Roman"/>
          <w:color w:val="222222"/>
          <w:sz w:val="24"/>
          <w:szCs w:val="24"/>
        </w:rPr>
        <w:t xml:space="preserve"> es la ampliación de un art</w:t>
      </w:r>
      <w:r>
        <w:rPr>
          <w:rFonts w:ascii="Times New Roman" w:hAnsi="Times New Roman" w:cs="Times New Roman"/>
          <w:color w:val="222222"/>
          <w:sz w:val="24"/>
          <w:szCs w:val="24"/>
        </w:rPr>
        <w:t>ículo publicado anteriormente</w:t>
      </w:r>
      <w:r w:rsidRPr="00A71441">
        <w:rPr>
          <w:rFonts w:ascii="Times New Roman" w:hAnsi="Times New Roman" w:cs="Times New Roman"/>
          <w:color w:val="222222"/>
          <w:sz w:val="24"/>
          <w:szCs w:val="24"/>
        </w:rPr>
        <w:t xml:space="preserve"> por “Policy Review”, de la Hoover Institution. Ex redactor de discursos del secretario de Estado G. Shultz en la Administración Reagan y u</w:t>
      </w:r>
      <w:r>
        <w:rPr>
          <w:rFonts w:ascii="Times New Roman" w:hAnsi="Times New Roman" w:cs="Times New Roman"/>
          <w:color w:val="222222"/>
          <w:sz w:val="24"/>
          <w:szCs w:val="24"/>
        </w:rPr>
        <w:t xml:space="preserve">no de los mentores de la </w:t>
      </w:r>
      <w:r w:rsidRPr="00A71441">
        <w:rPr>
          <w:rFonts w:ascii="Times New Roman" w:hAnsi="Times New Roman" w:cs="Times New Roman"/>
          <w:color w:val="222222"/>
          <w:sz w:val="24"/>
          <w:szCs w:val="24"/>
        </w:rPr>
        <w:t>Administración Bush, Kagan es un firme defensor de la escuela realista de las relaciones internacionales, pero en este libro adopta la posición de un observador neutral. Basta con leer uno de sus artículos mensuales en el “</w:t>
      </w:r>
      <w:r w:rsidRPr="00C70D04">
        <w:rPr>
          <w:rFonts w:ascii="Times New Roman" w:hAnsi="Times New Roman" w:cs="Times New Roman"/>
          <w:i/>
          <w:color w:val="222222"/>
          <w:sz w:val="24"/>
          <w:szCs w:val="24"/>
        </w:rPr>
        <w:t>Washington Post</w:t>
      </w:r>
      <w:r w:rsidRPr="00A71441">
        <w:rPr>
          <w:rFonts w:ascii="Times New Roman" w:hAnsi="Times New Roman" w:cs="Times New Roman"/>
          <w:color w:val="222222"/>
          <w:sz w:val="24"/>
          <w:szCs w:val="24"/>
        </w:rPr>
        <w:t>” o sus colaboraciones en el “</w:t>
      </w:r>
      <w:r w:rsidRPr="00C70D04">
        <w:rPr>
          <w:rFonts w:ascii="Times New Roman" w:hAnsi="Times New Roman" w:cs="Times New Roman"/>
          <w:i/>
          <w:color w:val="222222"/>
          <w:sz w:val="24"/>
          <w:szCs w:val="24"/>
        </w:rPr>
        <w:t>Weekly Standard</w:t>
      </w:r>
      <w:r w:rsidRPr="00A71441">
        <w:rPr>
          <w:rFonts w:ascii="Times New Roman" w:hAnsi="Times New Roman" w:cs="Times New Roman"/>
          <w:color w:val="222222"/>
          <w:sz w:val="24"/>
          <w:szCs w:val="24"/>
        </w:rPr>
        <w:t>”, muchas firmadas con W. Kristol, otro destacado neoconservador, para darse cuenta de que esa neutralidad es sólo un disfraz para hacer más digerible su defensa del giro radical de los republicanos en la política exterior y de seguridad.</w:t>
      </w:r>
    </w:p>
    <w:p w:rsidR="009D137C" w:rsidRDefault="009D137C" w:rsidP="0033285D">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El abismo entre Europa y los EEUU</w:t>
      </w:r>
      <w:r w:rsidR="00A71441" w:rsidRPr="00A71441">
        <w:rPr>
          <w:rFonts w:ascii="Times New Roman" w:hAnsi="Times New Roman" w:cs="Times New Roman"/>
          <w:color w:val="222222"/>
          <w:sz w:val="24"/>
          <w:szCs w:val="24"/>
        </w:rPr>
        <w:t xml:space="preserve">, asegura Kagan, no empieza con Bush hijo, ni siquiera con el 11-S, sino con la caída del muro de Berlín, al que siguen las intervenciones de Bush padre en Kuwait, Panamá y Somalia, el fin de la URSS y las acciones de Clinton en los Balcanes, contra el ABM (misiles antibalísticos), Kioto y el Tribunal Penal Internacional. </w:t>
      </w:r>
      <w:r>
        <w:rPr>
          <w:rFonts w:ascii="Times New Roman" w:hAnsi="Times New Roman" w:cs="Times New Roman"/>
          <w:color w:val="222222"/>
          <w:sz w:val="24"/>
          <w:szCs w:val="24"/>
        </w:rPr>
        <w:t>“</w:t>
      </w:r>
      <w:r w:rsidR="00A71441" w:rsidRPr="00A71441">
        <w:rPr>
          <w:rFonts w:ascii="Times New Roman" w:hAnsi="Times New Roman" w:cs="Times New Roman"/>
          <w:color w:val="222222"/>
          <w:sz w:val="24"/>
          <w:szCs w:val="24"/>
        </w:rPr>
        <w:t>Rompe tabúes, matiza y corrige algunos excesos del artículo, y aclara male</w:t>
      </w:r>
      <w:r>
        <w:rPr>
          <w:rFonts w:ascii="Times New Roman" w:hAnsi="Times New Roman" w:cs="Times New Roman"/>
          <w:color w:val="222222"/>
          <w:sz w:val="24"/>
          <w:szCs w:val="24"/>
        </w:rPr>
        <w:t>ntendidos, pero Europa y los EEUU</w:t>
      </w:r>
      <w:r w:rsidR="00A71441" w:rsidRPr="00A71441">
        <w:rPr>
          <w:rFonts w:ascii="Times New Roman" w:hAnsi="Times New Roman" w:cs="Times New Roman"/>
          <w:color w:val="222222"/>
          <w:sz w:val="24"/>
          <w:szCs w:val="24"/>
        </w:rPr>
        <w:t xml:space="preserve"> no son tan monolíticos como el brillante Kagan piensa. En cuanto a la paz kantiana que cree ver en la nueva Europa, </w:t>
      </w:r>
      <w:r>
        <w:rPr>
          <w:rFonts w:ascii="Times New Roman" w:hAnsi="Times New Roman" w:cs="Times New Roman"/>
          <w:color w:val="222222"/>
          <w:sz w:val="24"/>
          <w:szCs w:val="24"/>
        </w:rPr>
        <w:t>para nuestra desgracia se pare</w:t>
      </w:r>
      <w:r w:rsidR="00A71441" w:rsidRPr="00A71441">
        <w:rPr>
          <w:rFonts w:ascii="Times New Roman" w:hAnsi="Times New Roman" w:cs="Times New Roman"/>
          <w:color w:val="222222"/>
          <w:sz w:val="24"/>
          <w:szCs w:val="24"/>
        </w:rPr>
        <w:t>ce más a la Commonwealth de Hobbes que al paraíso perdido de Milton</w:t>
      </w:r>
      <w:r>
        <w:rPr>
          <w:rFonts w:ascii="Times New Roman" w:hAnsi="Times New Roman" w:cs="Times New Roman"/>
          <w:color w:val="222222"/>
          <w:sz w:val="24"/>
          <w:szCs w:val="24"/>
        </w:rPr>
        <w:t>”</w:t>
      </w:r>
      <w:r w:rsidR="007008DD">
        <w:rPr>
          <w:rFonts w:ascii="Times New Roman" w:hAnsi="Times New Roman" w:cs="Times New Roman"/>
          <w:color w:val="222222"/>
          <w:sz w:val="24"/>
          <w:szCs w:val="24"/>
        </w:rPr>
        <w:t xml:space="preserve"> (</w:t>
      </w:r>
      <w:r>
        <w:rPr>
          <w:rFonts w:ascii="Times New Roman" w:hAnsi="Times New Roman" w:cs="Times New Roman"/>
          <w:color w:val="222222"/>
          <w:sz w:val="24"/>
          <w:szCs w:val="24"/>
        </w:rPr>
        <w:t xml:space="preserve">Felipe Sahagún en El Cultural - El Mundo - </w:t>
      </w:r>
      <w:r w:rsidRPr="009D137C">
        <w:rPr>
          <w:rFonts w:ascii="Times New Roman" w:hAnsi="Times New Roman" w:cs="Times New Roman"/>
          <w:b/>
          <w:color w:val="222222"/>
          <w:sz w:val="24"/>
          <w:szCs w:val="24"/>
        </w:rPr>
        <w:t>20/4/03</w:t>
      </w:r>
      <w:r>
        <w:rPr>
          <w:rFonts w:ascii="Times New Roman" w:hAnsi="Times New Roman" w:cs="Times New Roman"/>
          <w:color w:val="222222"/>
          <w:sz w:val="24"/>
          <w:szCs w:val="24"/>
        </w:rPr>
        <w:t>)</w:t>
      </w:r>
      <w:r w:rsidR="00A71441" w:rsidRPr="00A71441">
        <w:rPr>
          <w:rFonts w:ascii="Times New Roman" w:hAnsi="Times New Roman" w:cs="Times New Roman"/>
          <w:color w:val="222222"/>
          <w:sz w:val="24"/>
          <w:szCs w:val="24"/>
        </w:rPr>
        <w:t xml:space="preserve">. </w:t>
      </w:r>
    </w:p>
    <w:p w:rsidR="007008DD" w:rsidRPr="007008DD" w:rsidRDefault="007008DD" w:rsidP="007008DD">
      <w:pPr>
        <w:spacing w:before="100" w:beforeAutospacing="1" w:after="100" w:afterAutospacing="1" w:line="240" w:lineRule="auto"/>
        <w:jc w:val="both"/>
        <w:rPr>
          <w:rFonts w:ascii="Times New Roman" w:hAnsi="Times New Roman" w:cs="Times New Roman"/>
          <w:color w:val="222222"/>
          <w:sz w:val="24"/>
          <w:szCs w:val="24"/>
        </w:rPr>
      </w:pPr>
      <w:r w:rsidRPr="007008DD">
        <w:rPr>
          <w:rFonts w:ascii="Times New Roman" w:hAnsi="Times New Roman" w:cs="Times New Roman"/>
          <w:color w:val="222222"/>
          <w:sz w:val="24"/>
          <w:szCs w:val="24"/>
        </w:rPr>
        <w:t xml:space="preserve">El autor de </w:t>
      </w:r>
      <w:r w:rsidRPr="007008DD">
        <w:rPr>
          <w:rFonts w:ascii="Times New Roman" w:hAnsi="Times New Roman" w:cs="Times New Roman"/>
          <w:i/>
          <w:color w:val="222222"/>
          <w:sz w:val="24"/>
          <w:szCs w:val="24"/>
        </w:rPr>
        <w:t>Poder y debilidad</w:t>
      </w:r>
      <w:r>
        <w:rPr>
          <w:rFonts w:ascii="Times New Roman" w:hAnsi="Times New Roman" w:cs="Times New Roman"/>
          <w:color w:val="222222"/>
          <w:sz w:val="24"/>
          <w:szCs w:val="24"/>
        </w:rPr>
        <w:t xml:space="preserve"> nos revela sin rodeos la forma </w:t>
      </w:r>
      <w:r w:rsidRPr="007008DD">
        <w:rPr>
          <w:rFonts w:ascii="Times New Roman" w:hAnsi="Times New Roman" w:cs="Times New Roman"/>
          <w:color w:val="222222"/>
          <w:sz w:val="24"/>
          <w:szCs w:val="24"/>
        </w:rPr>
        <w:t>en que desde la Casa Blanca se en</w:t>
      </w:r>
      <w:r>
        <w:rPr>
          <w:rFonts w:ascii="Times New Roman" w:hAnsi="Times New Roman" w:cs="Times New Roman"/>
          <w:color w:val="222222"/>
          <w:sz w:val="24"/>
          <w:szCs w:val="24"/>
        </w:rPr>
        <w:t xml:space="preserve">tienden las actuales relaciones </w:t>
      </w:r>
      <w:r w:rsidRPr="007008DD">
        <w:rPr>
          <w:rFonts w:ascii="Times New Roman" w:hAnsi="Times New Roman" w:cs="Times New Roman"/>
          <w:color w:val="222222"/>
          <w:sz w:val="24"/>
          <w:szCs w:val="24"/>
        </w:rPr>
        <w:t>europeo-estadounidenses, o más explícitam</w:t>
      </w:r>
      <w:r>
        <w:rPr>
          <w:rFonts w:ascii="Times New Roman" w:hAnsi="Times New Roman" w:cs="Times New Roman"/>
          <w:color w:val="222222"/>
          <w:sz w:val="24"/>
          <w:szCs w:val="24"/>
        </w:rPr>
        <w:t xml:space="preserve">ente, la brecha transatlántica, </w:t>
      </w:r>
      <w:r w:rsidRPr="007008DD">
        <w:rPr>
          <w:rFonts w:ascii="Times New Roman" w:hAnsi="Times New Roman" w:cs="Times New Roman"/>
          <w:color w:val="222222"/>
          <w:sz w:val="24"/>
          <w:szCs w:val="24"/>
        </w:rPr>
        <w:t>que la última intervención en Irak ha puesto de manifiesto. A la hora de establecer pr</w:t>
      </w:r>
      <w:r>
        <w:rPr>
          <w:rFonts w:ascii="Times New Roman" w:hAnsi="Times New Roman" w:cs="Times New Roman"/>
          <w:color w:val="222222"/>
          <w:sz w:val="24"/>
          <w:szCs w:val="24"/>
        </w:rPr>
        <w:t xml:space="preserve">ioridades en política interior, </w:t>
      </w:r>
      <w:r w:rsidRPr="007008DD">
        <w:rPr>
          <w:rFonts w:ascii="Times New Roman" w:hAnsi="Times New Roman" w:cs="Times New Roman"/>
          <w:color w:val="222222"/>
          <w:sz w:val="24"/>
          <w:szCs w:val="24"/>
        </w:rPr>
        <w:t>definir las posibles amenazas, plantea</w:t>
      </w:r>
      <w:r>
        <w:rPr>
          <w:rFonts w:ascii="Times New Roman" w:hAnsi="Times New Roman" w:cs="Times New Roman"/>
          <w:color w:val="222222"/>
          <w:sz w:val="24"/>
          <w:szCs w:val="24"/>
        </w:rPr>
        <w:t xml:space="preserve">rse retos y diseñar la política </w:t>
      </w:r>
      <w:r w:rsidRPr="007008DD">
        <w:rPr>
          <w:rFonts w:ascii="Times New Roman" w:hAnsi="Times New Roman" w:cs="Times New Roman"/>
          <w:color w:val="222222"/>
          <w:sz w:val="24"/>
          <w:szCs w:val="24"/>
        </w:rPr>
        <w:t>exte</w:t>
      </w:r>
      <w:r>
        <w:rPr>
          <w:rFonts w:ascii="Times New Roman" w:hAnsi="Times New Roman" w:cs="Times New Roman"/>
          <w:color w:val="222222"/>
          <w:sz w:val="24"/>
          <w:szCs w:val="24"/>
        </w:rPr>
        <w:t xml:space="preserve">rior y de defensa, hace tiempo -dice Kagan- que Estados </w:t>
      </w:r>
      <w:r w:rsidRPr="007008DD">
        <w:rPr>
          <w:rFonts w:ascii="Times New Roman" w:hAnsi="Times New Roman" w:cs="Times New Roman"/>
          <w:color w:val="222222"/>
          <w:sz w:val="24"/>
          <w:szCs w:val="24"/>
        </w:rPr>
        <w:t>Unidos y Europa han tomado caminos diferentes.</w:t>
      </w:r>
    </w:p>
    <w:p w:rsidR="007008DD" w:rsidRPr="007008DD" w:rsidRDefault="007008DD" w:rsidP="007008DD">
      <w:pPr>
        <w:spacing w:before="100" w:beforeAutospacing="1" w:after="100" w:afterAutospacing="1" w:line="240" w:lineRule="auto"/>
        <w:jc w:val="both"/>
        <w:rPr>
          <w:rFonts w:ascii="Times New Roman" w:hAnsi="Times New Roman" w:cs="Times New Roman"/>
          <w:color w:val="222222"/>
          <w:sz w:val="24"/>
          <w:szCs w:val="24"/>
        </w:rPr>
      </w:pPr>
      <w:r w:rsidRPr="007008DD">
        <w:rPr>
          <w:rFonts w:ascii="Times New Roman" w:hAnsi="Times New Roman" w:cs="Times New Roman"/>
          <w:color w:val="222222"/>
          <w:sz w:val="24"/>
          <w:szCs w:val="24"/>
        </w:rPr>
        <w:t xml:space="preserve">En qué radica esta diferente </w:t>
      </w:r>
      <w:r>
        <w:rPr>
          <w:rFonts w:ascii="Times New Roman" w:hAnsi="Times New Roman" w:cs="Times New Roman"/>
          <w:color w:val="222222"/>
          <w:sz w:val="24"/>
          <w:szCs w:val="24"/>
        </w:rPr>
        <w:t xml:space="preserve">forma de ver el mundo. A partir </w:t>
      </w:r>
      <w:r w:rsidRPr="007008DD">
        <w:rPr>
          <w:rFonts w:ascii="Times New Roman" w:hAnsi="Times New Roman" w:cs="Times New Roman"/>
          <w:color w:val="222222"/>
          <w:sz w:val="24"/>
          <w:szCs w:val="24"/>
        </w:rPr>
        <w:t xml:space="preserve">de una interesante interpretación </w:t>
      </w:r>
      <w:r>
        <w:rPr>
          <w:rFonts w:ascii="Times New Roman" w:hAnsi="Times New Roman" w:cs="Times New Roman"/>
          <w:color w:val="222222"/>
          <w:sz w:val="24"/>
          <w:szCs w:val="24"/>
        </w:rPr>
        <w:t xml:space="preserve">histórica de dichas relaciones, </w:t>
      </w:r>
      <w:r w:rsidRPr="007008DD">
        <w:rPr>
          <w:rFonts w:ascii="Times New Roman" w:hAnsi="Times New Roman" w:cs="Times New Roman"/>
          <w:color w:val="222222"/>
          <w:sz w:val="24"/>
          <w:szCs w:val="24"/>
        </w:rPr>
        <w:t xml:space="preserve">en la que Estados Unidos, recién </w:t>
      </w:r>
      <w:r>
        <w:rPr>
          <w:rFonts w:ascii="Times New Roman" w:hAnsi="Times New Roman" w:cs="Times New Roman"/>
          <w:color w:val="222222"/>
          <w:sz w:val="24"/>
          <w:szCs w:val="24"/>
        </w:rPr>
        <w:t xml:space="preserve">nacido a la vida independiente, </w:t>
      </w:r>
      <w:r w:rsidRPr="007008DD">
        <w:rPr>
          <w:rFonts w:ascii="Times New Roman" w:hAnsi="Times New Roman" w:cs="Times New Roman"/>
          <w:color w:val="222222"/>
          <w:sz w:val="24"/>
          <w:szCs w:val="24"/>
        </w:rPr>
        <w:t>se vio obligado a utiliza</w:t>
      </w:r>
      <w:r>
        <w:rPr>
          <w:rFonts w:ascii="Times New Roman" w:hAnsi="Times New Roman" w:cs="Times New Roman"/>
          <w:color w:val="222222"/>
          <w:sz w:val="24"/>
          <w:szCs w:val="24"/>
        </w:rPr>
        <w:t>r la estrategia del débil -es decir, el apego al Derecho Internacional-</w:t>
      </w:r>
      <w:r w:rsidRPr="007008DD">
        <w:rPr>
          <w:rFonts w:ascii="Times New Roman" w:hAnsi="Times New Roman" w:cs="Times New Roman"/>
          <w:color w:val="222222"/>
          <w:sz w:val="24"/>
          <w:szCs w:val="24"/>
        </w:rPr>
        <w:t xml:space="preserve"> frente a una</w:t>
      </w:r>
      <w:r>
        <w:rPr>
          <w:rFonts w:ascii="Times New Roman" w:hAnsi="Times New Roman" w:cs="Times New Roman"/>
          <w:color w:val="222222"/>
          <w:sz w:val="24"/>
          <w:szCs w:val="24"/>
        </w:rPr>
        <w:t xml:space="preserve">s poderosas potencias europeas, </w:t>
      </w:r>
      <w:r w:rsidRPr="007008DD">
        <w:rPr>
          <w:rFonts w:ascii="Times New Roman" w:hAnsi="Times New Roman" w:cs="Times New Roman"/>
          <w:color w:val="222222"/>
          <w:sz w:val="24"/>
          <w:szCs w:val="24"/>
        </w:rPr>
        <w:t>Kagan describe cómo Est</w:t>
      </w:r>
      <w:r>
        <w:rPr>
          <w:rFonts w:ascii="Times New Roman" w:hAnsi="Times New Roman" w:cs="Times New Roman"/>
          <w:color w:val="222222"/>
          <w:sz w:val="24"/>
          <w:szCs w:val="24"/>
        </w:rPr>
        <w:t xml:space="preserve">ados Unidos, una vez finalizada </w:t>
      </w:r>
      <w:r w:rsidRPr="007008DD">
        <w:rPr>
          <w:rFonts w:ascii="Times New Roman" w:hAnsi="Times New Roman" w:cs="Times New Roman"/>
          <w:color w:val="222222"/>
          <w:sz w:val="24"/>
          <w:szCs w:val="24"/>
        </w:rPr>
        <w:t>la Segunda Guerra Mundial, se conv</w:t>
      </w:r>
      <w:r>
        <w:rPr>
          <w:rFonts w:ascii="Times New Roman" w:hAnsi="Times New Roman" w:cs="Times New Roman"/>
          <w:color w:val="222222"/>
          <w:sz w:val="24"/>
          <w:szCs w:val="24"/>
        </w:rPr>
        <w:t xml:space="preserve">ierte en la potencia protectora </w:t>
      </w:r>
      <w:r w:rsidRPr="007008DD">
        <w:rPr>
          <w:rFonts w:ascii="Times New Roman" w:hAnsi="Times New Roman" w:cs="Times New Roman"/>
          <w:color w:val="222222"/>
          <w:sz w:val="24"/>
          <w:szCs w:val="24"/>
        </w:rPr>
        <w:t>del mundo occidental ante los a</w:t>
      </w:r>
      <w:r>
        <w:rPr>
          <w:rFonts w:ascii="Times New Roman" w:hAnsi="Times New Roman" w:cs="Times New Roman"/>
          <w:color w:val="222222"/>
          <w:sz w:val="24"/>
          <w:szCs w:val="24"/>
        </w:rPr>
        <w:t xml:space="preserve">fanes soviéticos, acción por la </w:t>
      </w:r>
      <w:r w:rsidRPr="007008DD">
        <w:rPr>
          <w:rFonts w:ascii="Times New Roman" w:hAnsi="Times New Roman" w:cs="Times New Roman"/>
          <w:color w:val="222222"/>
          <w:sz w:val="24"/>
          <w:szCs w:val="24"/>
        </w:rPr>
        <w:t>cual Europa puede prescindir de la p</w:t>
      </w:r>
      <w:r>
        <w:rPr>
          <w:rFonts w:ascii="Times New Roman" w:hAnsi="Times New Roman" w:cs="Times New Roman"/>
          <w:color w:val="222222"/>
          <w:sz w:val="24"/>
          <w:szCs w:val="24"/>
        </w:rPr>
        <w:t xml:space="preserve">reocupación militar y dedicarse </w:t>
      </w:r>
      <w:r w:rsidRPr="007008DD">
        <w:rPr>
          <w:rFonts w:ascii="Times New Roman" w:hAnsi="Times New Roman" w:cs="Times New Roman"/>
          <w:color w:val="222222"/>
          <w:sz w:val="24"/>
          <w:szCs w:val="24"/>
        </w:rPr>
        <w:t>a la construcción de su actual p</w:t>
      </w:r>
      <w:r>
        <w:rPr>
          <w:rFonts w:ascii="Times New Roman" w:hAnsi="Times New Roman" w:cs="Times New Roman"/>
          <w:color w:val="222222"/>
          <w:sz w:val="24"/>
          <w:szCs w:val="24"/>
        </w:rPr>
        <w:t xml:space="preserve">araíso kantiano. De esta forma, </w:t>
      </w:r>
      <w:r w:rsidRPr="007008DD">
        <w:rPr>
          <w:rFonts w:ascii="Times New Roman" w:hAnsi="Times New Roman" w:cs="Times New Roman"/>
          <w:color w:val="222222"/>
          <w:sz w:val="24"/>
          <w:szCs w:val="24"/>
        </w:rPr>
        <w:t>al invertirse papeles y persp</w:t>
      </w:r>
      <w:r>
        <w:rPr>
          <w:rFonts w:ascii="Times New Roman" w:hAnsi="Times New Roman" w:cs="Times New Roman"/>
          <w:color w:val="222222"/>
          <w:sz w:val="24"/>
          <w:szCs w:val="24"/>
        </w:rPr>
        <w:t xml:space="preserve">ectivas -o más bien la ecuación </w:t>
      </w:r>
      <w:r w:rsidRPr="007008DD">
        <w:rPr>
          <w:rFonts w:ascii="Times New Roman" w:hAnsi="Times New Roman" w:cs="Times New Roman"/>
          <w:color w:val="222222"/>
          <w:sz w:val="24"/>
          <w:szCs w:val="24"/>
        </w:rPr>
        <w:t>del poder internaci</w:t>
      </w:r>
      <w:r>
        <w:rPr>
          <w:rFonts w:ascii="Times New Roman" w:hAnsi="Times New Roman" w:cs="Times New Roman"/>
          <w:color w:val="222222"/>
          <w:sz w:val="24"/>
          <w:szCs w:val="24"/>
        </w:rPr>
        <w:t>onal-</w:t>
      </w:r>
      <w:r w:rsidRPr="007008DD">
        <w:rPr>
          <w:rFonts w:ascii="Times New Roman" w:hAnsi="Times New Roman" w:cs="Times New Roman"/>
          <w:color w:val="222222"/>
          <w:sz w:val="24"/>
          <w:szCs w:val="24"/>
        </w:rPr>
        <w:t xml:space="preserve"> Esta</w:t>
      </w:r>
      <w:r>
        <w:rPr>
          <w:rFonts w:ascii="Times New Roman" w:hAnsi="Times New Roman" w:cs="Times New Roman"/>
          <w:color w:val="222222"/>
          <w:sz w:val="24"/>
          <w:szCs w:val="24"/>
        </w:rPr>
        <w:t xml:space="preserve">dos Unidos, inmerso en un mundo </w:t>
      </w:r>
      <w:r w:rsidRPr="007008DD">
        <w:rPr>
          <w:rFonts w:ascii="Times New Roman" w:hAnsi="Times New Roman" w:cs="Times New Roman"/>
          <w:color w:val="222222"/>
          <w:sz w:val="24"/>
          <w:szCs w:val="24"/>
        </w:rPr>
        <w:t>hobbesi</w:t>
      </w:r>
      <w:r>
        <w:rPr>
          <w:rFonts w:ascii="Times New Roman" w:hAnsi="Times New Roman" w:cs="Times New Roman"/>
          <w:color w:val="222222"/>
          <w:sz w:val="24"/>
          <w:szCs w:val="24"/>
        </w:rPr>
        <w:t>ano, se ha vuelto cada vez más -y especialmente después de 1989 o 1991-</w:t>
      </w:r>
      <w:r w:rsidRPr="007008DD">
        <w:rPr>
          <w:rFonts w:ascii="Times New Roman" w:hAnsi="Times New Roman" w:cs="Times New Roman"/>
          <w:color w:val="222222"/>
          <w:sz w:val="24"/>
          <w:szCs w:val="24"/>
        </w:rPr>
        <w:t xml:space="preserve"> unilateral en su pol</w:t>
      </w:r>
      <w:r>
        <w:rPr>
          <w:rFonts w:ascii="Times New Roman" w:hAnsi="Times New Roman" w:cs="Times New Roman"/>
          <w:color w:val="222222"/>
          <w:sz w:val="24"/>
          <w:szCs w:val="24"/>
        </w:rPr>
        <w:t xml:space="preserve">ítica exterior, menos inclinado </w:t>
      </w:r>
      <w:r w:rsidRPr="007008DD">
        <w:rPr>
          <w:rFonts w:ascii="Times New Roman" w:hAnsi="Times New Roman" w:cs="Times New Roman"/>
          <w:color w:val="222222"/>
          <w:sz w:val="24"/>
          <w:szCs w:val="24"/>
        </w:rPr>
        <w:t>a confiar en las instituciones in</w:t>
      </w:r>
      <w:r>
        <w:rPr>
          <w:rFonts w:ascii="Times New Roman" w:hAnsi="Times New Roman" w:cs="Times New Roman"/>
          <w:color w:val="222222"/>
          <w:sz w:val="24"/>
          <w:szCs w:val="24"/>
        </w:rPr>
        <w:t xml:space="preserve">ternacionales como las Naciones </w:t>
      </w:r>
      <w:r w:rsidRPr="007008DD">
        <w:rPr>
          <w:rFonts w:ascii="Times New Roman" w:hAnsi="Times New Roman" w:cs="Times New Roman"/>
          <w:color w:val="222222"/>
          <w:sz w:val="24"/>
          <w:szCs w:val="24"/>
        </w:rPr>
        <w:t>Unidas, y escéptico a operar</w:t>
      </w:r>
      <w:r>
        <w:rPr>
          <w:rFonts w:ascii="Times New Roman" w:hAnsi="Times New Roman" w:cs="Times New Roman"/>
          <w:color w:val="222222"/>
          <w:sz w:val="24"/>
          <w:szCs w:val="24"/>
        </w:rPr>
        <w:t xml:space="preserve"> bajo los preceptos del Derecho </w:t>
      </w:r>
      <w:r w:rsidRPr="007008DD">
        <w:rPr>
          <w:rFonts w:ascii="Times New Roman" w:hAnsi="Times New Roman" w:cs="Times New Roman"/>
          <w:color w:val="222222"/>
          <w:sz w:val="24"/>
          <w:szCs w:val="24"/>
        </w:rPr>
        <w:t>Internacional. Europa, por su parte, ot</w:t>
      </w:r>
      <w:r>
        <w:rPr>
          <w:rFonts w:ascii="Times New Roman" w:hAnsi="Times New Roman" w:cs="Times New Roman"/>
          <w:color w:val="222222"/>
          <w:sz w:val="24"/>
          <w:szCs w:val="24"/>
        </w:rPr>
        <w:t xml:space="preserve">orga mayor valor a instrumentos </w:t>
      </w:r>
      <w:r w:rsidRPr="007008DD">
        <w:rPr>
          <w:rFonts w:ascii="Times New Roman" w:hAnsi="Times New Roman" w:cs="Times New Roman"/>
          <w:color w:val="222222"/>
          <w:sz w:val="24"/>
          <w:szCs w:val="24"/>
        </w:rPr>
        <w:t>de poder blando, como la economía y el comercio, el</w:t>
      </w:r>
      <w:r>
        <w:rPr>
          <w:rFonts w:ascii="Times New Roman" w:hAnsi="Times New Roman" w:cs="Times New Roman"/>
          <w:color w:val="222222"/>
          <w:sz w:val="24"/>
          <w:szCs w:val="24"/>
        </w:rPr>
        <w:t xml:space="preserve"> </w:t>
      </w:r>
      <w:r w:rsidRPr="007008DD">
        <w:rPr>
          <w:rFonts w:ascii="Times New Roman" w:hAnsi="Times New Roman" w:cs="Times New Roman"/>
          <w:color w:val="222222"/>
          <w:sz w:val="24"/>
          <w:szCs w:val="24"/>
        </w:rPr>
        <w:t>multilateralismo, y un orden mundial donde las instituciones y el</w:t>
      </w:r>
      <w:r>
        <w:rPr>
          <w:rFonts w:ascii="Times New Roman" w:hAnsi="Times New Roman" w:cs="Times New Roman"/>
          <w:color w:val="222222"/>
          <w:sz w:val="24"/>
          <w:szCs w:val="24"/>
        </w:rPr>
        <w:t xml:space="preserve"> </w:t>
      </w:r>
      <w:r w:rsidRPr="007008DD">
        <w:rPr>
          <w:rFonts w:ascii="Times New Roman" w:hAnsi="Times New Roman" w:cs="Times New Roman"/>
          <w:color w:val="222222"/>
          <w:sz w:val="24"/>
          <w:szCs w:val="24"/>
        </w:rPr>
        <w:t>Derecho Internacional importen más que la voluntad de un solo</w:t>
      </w:r>
      <w:r>
        <w:rPr>
          <w:rFonts w:ascii="Times New Roman" w:hAnsi="Times New Roman" w:cs="Times New Roman"/>
          <w:color w:val="222222"/>
          <w:sz w:val="24"/>
          <w:szCs w:val="24"/>
        </w:rPr>
        <w:t xml:space="preserve"> </w:t>
      </w:r>
      <w:r w:rsidRPr="007008DD">
        <w:rPr>
          <w:rFonts w:ascii="Times New Roman" w:hAnsi="Times New Roman" w:cs="Times New Roman"/>
          <w:color w:val="222222"/>
          <w:sz w:val="24"/>
          <w:szCs w:val="24"/>
        </w:rPr>
        <w:t>país. Es la estrategia del débil, que</w:t>
      </w:r>
      <w:r>
        <w:rPr>
          <w:rFonts w:ascii="Times New Roman" w:hAnsi="Times New Roman" w:cs="Times New Roman"/>
          <w:color w:val="222222"/>
          <w:sz w:val="24"/>
          <w:szCs w:val="24"/>
        </w:rPr>
        <w:t xml:space="preserve"> ofrece una rentabilidad alta a </w:t>
      </w:r>
      <w:r w:rsidRPr="007008DD">
        <w:rPr>
          <w:rFonts w:ascii="Times New Roman" w:hAnsi="Times New Roman" w:cs="Times New Roman"/>
          <w:color w:val="222222"/>
          <w:sz w:val="24"/>
          <w:szCs w:val="24"/>
        </w:rPr>
        <w:t>muy bajo costo a una Europa</w:t>
      </w:r>
      <w:r>
        <w:rPr>
          <w:rFonts w:ascii="Times New Roman" w:hAnsi="Times New Roman" w:cs="Times New Roman"/>
          <w:color w:val="222222"/>
          <w:sz w:val="24"/>
          <w:szCs w:val="24"/>
        </w:rPr>
        <w:t xml:space="preserve"> posmoderna, en la expresión de </w:t>
      </w:r>
      <w:r w:rsidRPr="007008DD">
        <w:rPr>
          <w:rFonts w:ascii="Times New Roman" w:hAnsi="Times New Roman" w:cs="Times New Roman"/>
          <w:color w:val="222222"/>
          <w:sz w:val="24"/>
          <w:szCs w:val="24"/>
        </w:rPr>
        <w:t>Kagan. Desde esta óptica, sus opin</w:t>
      </w:r>
      <w:r>
        <w:rPr>
          <w:rFonts w:ascii="Times New Roman" w:hAnsi="Times New Roman" w:cs="Times New Roman"/>
          <w:color w:val="222222"/>
          <w:sz w:val="24"/>
          <w:szCs w:val="24"/>
        </w:rPr>
        <w:t xml:space="preserve">iones resultan </w:t>
      </w:r>
      <w:r>
        <w:rPr>
          <w:rFonts w:ascii="Times New Roman" w:hAnsi="Times New Roman" w:cs="Times New Roman"/>
          <w:color w:val="222222"/>
          <w:sz w:val="24"/>
          <w:szCs w:val="24"/>
        </w:rPr>
        <w:lastRenderedPageBreak/>
        <w:t xml:space="preserve">coincidentes con </w:t>
      </w:r>
      <w:r w:rsidRPr="007008DD">
        <w:rPr>
          <w:rFonts w:ascii="Times New Roman" w:hAnsi="Times New Roman" w:cs="Times New Roman"/>
          <w:color w:val="222222"/>
          <w:sz w:val="24"/>
          <w:szCs w:val="24"/>
        </w:rPr>
        <w:t>las de otros funcionarios, periodist</w:t>
      </w:r>
      <w:r>
        <w:rPr>
          <w:rFonts w:ascii="Times New Roman" w:hAnsi="Times New Roman" w:cs="Times New Roman"/>
          <w:color w:val="222222"/>
          <w:sz w:val="24"/>
          <w:szCs w:val="24"/>
        </w:rPr>
        <w:t xml:space="preserve">as e intelectuales a la hora de </w:t>
      </w:r>
      <w:r w:rsidRPr="007008DD">
        <w:rPr>
          <w:rFonts w:ascii="Times New Roman" w:hAnsi="Times New Roman" w:cs="Times New Roman"/>
          <w:color w:val="222222"/>
          <w:sz w:val="24"/>
          <w:szCs w:val="24"/>
        </w:rPr>
        <w:t xml:space="preserve">valorar la situación del sistema </w:t>
      </w:r>
      <w:r>
        <w:rPr>
          <w:rFonts w:ascii="Times New Roman" w:hAnsi="Times New Roman" w:cs="Times New Roman"/>
          <w:color w:val="222222"/>
          <w:sz w:val="24"/>
          <w:szCs w:val="24"/>
        </w:rPr>
        <w:t xml:space="preserve">internacional y el papel de los </w:t>
      </w:r>
      <w:r w:rsidRPr="007008DD">
        <w:rPr>
          <w:rFonts w:ascii="Times New Roman" w:hAnsi="Times New Roman" w:cs="Times New Roman"/>
          <w:color w:val="222222"/>
          <w:sz w:val="24"/>
          <w:szCs w:val="24"/>
        </w:rPr>
        <w:t>Estados Unidos. Es el caso de Ri</w:t>
      </w:r>
      <w:r>
        <w:rPr>
          <w:rFonts w:ascii="Times New Roman" w:hAnsi="Times New Roman" w:cs="Times New Roman"/>
          <w:color w:val="222222"/>
          <w:sz w:val="24"/>
          <w:szCs w:val="24"/>
        </w:rPr>
        <w:t xml:space="preserve">chard Perle, en Estados Unidos, </w:t>
      </w:r>
      <w:r w:rsidRPr="007008DD">
        <w:rPr>
          <w:rFonts w:ascii="Times New Roman" w:hAnsi="Times New Roman" w:cs="Times New Roman"/>
          <w:color w:val="222222"/>
          <w:sz w:val="24"/>
          <w:szCs w:val="24"/>
        </w:rPr>
        <w:t>o de Robert Cooper y Timothy Garton Ash, en Gran Bretaña.</w:t>
      </w:r>
    </w:p>
    <w:p w:rsidR="007008DD" w:rsidRPr="007008DD" w:rsidRDefault="007008DD" w:rsidP="007008DD">
      <w:pPr>
        <w:spacing w:before="100" w:beforeAutospacing="1" w:after="100" w:afterAutospacing="1" w:line="240" w:lineRule="auto"/>
        <w:jc w:val="both"/>
        <w:rPr>
          <w:rFonts w:ascii="Times New Roman" w:hAnsi="Times New Roman" w:cs="Times New Roman"/>
          <w:color w:val="222222"/>
          <w:sz w:val="24"/>
          <w:szCs w:val="24"/>
        </w:rPr>
      </w:pPr>
      <w:r w:rsidRPr="007008DD">
        <w:rPr>
          <w:rFonts w:ascii="Times New Roman" w:hAnsi="Times New Roman" w:cs="Times New Roman"/>
          <w:color w:val="222222"/>
          <w:sz w:val="24"/>
          <w:szCs w:val="24"/>
        </w:rPr>
        <w:t>Ahora bien, esta desigualdad transat</w:t>
      </w:r>
      <w:r>
        <w:rPr>
          <w:rFonts w:ascii="Times New Roman" w:hAnsi="Times New Roman" w:cs="Times New Roman"/>
          <w:color w:val="222222"/>
          <w:sz w:val="24"/>
          <w:szCs w:val="24"/>
        </w:rPr>
        <w:t xml:space="preserve">lántica radica en una diferente </w:t>
      </w:r>
      <w:r w:rsidRPr="007008DD">
        <w:rPr>
          <w:rFonts w:ascii="Times New Roman" w:hAnsi="Times New Roman" w:cs="Times New Roman"/>
          <w:color w:val="222222"/>
          <w:sz w:val="24"/>
          <w:szCs w:val="24"/>
        </w:rPr>
        <w:t>“cultura estratégica”, lo q</w:t>
      </w:r>
      <w:r>
        <w:rPr>
          <w:rFonts w:ascii="Times New Roman" w:hAnsi="Times New Roman" w:cs="Times New Roman"/>
          <w:color w:val="222222"/>
          <w:sz w:val="24"/>
          <w:szCs w:val="24"/>
        </w:rPr>
        <w:t xml:space="preserve">ue en último término equivale a </w:t>
      </w:r>
      <w:r w:rsidRPr="007008DD">
        <w:rPr>
          <w:rFonts w:ascii="Times New Roman" w:hAnsi="Times New Roman" w:cs="Times New Roman"/>
          <w:color w:val="222222"/>
          <w:sz w:val="24"/>
          <w:szCs w:val="24"/>
        </w:rPr>
        <w:t>deci</w:t>
      </w:r>
      <w:r>
        <w:rPr>
          <w:rFonts w:ascii="Times New Roman" w:hAnsi="Times New Roman" w:cs="Times New Roman"/>
          <w:color w:val="222222"/>
          <w:sz w:val="24"/>
          <w:szCs w:val="24"/>
        </w:rPr>
        <w:t xml:space="preserve">r, poder militar. “A un hombre (se afirma en la página 50) sin </w:t>
      </w:r>
      <w:r w:rsidRPr="007008DD">
        <w:rPr>
          <w:rFonts w:ascii="Times New Roman" w:hAnsi="Times New Roman" w:cs="Times New Roman"/>
          <w:color w:val="222222"/>
          <w:sz w:val="24"/>
          <w:szCs w:val="24"/>
        </w:rPr>
        <w:t>más arma que un cuchillo seg</w:t>
      </w:r>
      <w:r>
        <w:rPr>
          <w:rFonts w:ascii="Times New Roman" w:hAnsi="Times New Roman" w:cs="Times New Roman"/>
          <w:color w:val="222222"/>
          <w:sz w:val="24"/>
          <w:szCs w:val="24"/>
        </w:rPr>
        <w:t xml:space="preserve">uramente le parecerá que un oso </w:t>
      </w:r>
      <w:r w:rsidRPr="007008DD">
        <w:rPr>
          <w:rFonts w:ascii="Times New Roman" w:hAnsi="Times New Roman" w:cs="Times New Roman"/>
          <w:color w:val="222222"/>
          <w:sz w:val="24"/>
          <w:szCs w:val="24"/>
        </w:rPr>
        <w:t>que merodea por el bosque es un p</w:t>
      </w:r>
      <w:r>
        <w:rPr>
          <w:rFonts w:ascii="Times New Roman" w:hAnsi="Times New Roman" w:cs="Times New Roman"/>
          <w:color w:val="222222"/>
          <w:sz w:val="24"/>
          <w:szCs w:val="24"/>
        </w:rPr>
        <w:t>eligro tolerable, puesto que la alternativa -</w:t>
      </w:r>
      <w:r w:rsidRPr="007008DD">
        <w:rPr>
          <w:rFonts w:ascii="Times New Roman" w:hAnsi="Times New Roman" w:cs="Times New Roman"/>
          <w:color w:val="222222"/>
          <w:sz w:val="24"/>
          <w:szCs w:val="24"/>
        </w:rPr>
        <w:t>darle mue</w:t>
      </w:r>
      <w:r>
        <w:rPr>
          <w:rFonts w:ascii="Times New Roman" w:hAnsi="Times New Roman" w:cs="Times New Roman"/>
          <w:color w:val="222222"/>
          <w:sz w:val="24"/>
          <w:szCs w:val="24"/>
        </w:rPr>
        <w:t xml:space="preserve">rte armado sólo con un cuchillo- entraña </w:t>
      </w:r>
      <w:r w:rsidRPr="007008DD">
        <w:rPr>
          <w:rFonts w:ascii="Times New Roman" w:hAnsi="Times New Roman" w:cs="Times New Roman"/>
          <w:color w:val="222222"/>
          <w:sz w:val="24"/>
          <w:szCs w:val="24"/>
        </w:rPr>
        <w:t>más peligros que tumbarse inm</w:t>
      </w:r>
      <w:r>
        <w:rPr>
          <w:rFonts w:ascii="Times New Roman" w:hAnsi="Times New Roman" w:cs="Times New Roman"/>
          <w:color w:val="222222"/>
          <w:sz w:val="24"/>
          <w:szCs w:val="24"/>
        </w:rPr>
        <w:t xml:space="preserve">óvil y confiar en que el oso no </w:t>
      </w:r>
      <w:r w:rsidRPr="007008DD">
        <w:rPr>
          <w:rFonts w:ascii="Times New Roman" w:hAnsi="Times New Roman" w:cs="Times New Roman"/>
          <w:color w:val="222222"/>
          <w:sz w:val="24"/>
          <w:szCs w:val="24"/>
        </w:rPr>
        <w:t>ataque. El mismo hombre armad</w:t>
      </w:r>
      <w:r>
        <w:rPr>
          <w:rFonts w:ascii="Times New Roman" w:hAnsi="Times New Roman" w:cs="Times New Roman"/>
          <w:color w:val="222222"/>
          <w:sz w:val="24"/>
          <w:szCs w:val="24"/>
        </w:rPr>
        <w:t>o con rifle, sin embargo, proba</w:t>
      </w:r>
      <w:r w:rsidRPr="007008DD">
        <w:rPr>
          <w:rFonts w:ascii="Times New Roman" w:hAnsi="Times New Roman" w:cs="Times New Roman"/>
          <w:color w:val="222222"/>
          <w:sz w:val="24"/>
          <w:szCs w:val="24"/>
        </w:rPr>
        <w:t>blemente hará un cálculo difere</w:t>
      </w:r>
      <w:r>
        <w:rPr>
          <w:rFonts w:ascii="Times New Roman" w:hAnsi="Times New Roman" w:cs="Times New Roman"/>
          <w:color w:val="222222"/>
          <w:sz w:val="24"/>
          <w:szCs w:val="24"/>
        </w:rPr>
        <w:t xml:space="preserve">nte de qué constituye un riesgo </w:t>
      </w:r>
      <w:r w:rsidRPr="007008DD">
        <w:rPr>
          <w:rFonts w:ascii="Times New Roman" w:hAnsi="Times New Roman" w:cs="Times New Roman"/>
          <w:color w:val="222222"/>
          <w:sz w:val="24"/>
          <w:szCs w:val="24"/>
        </w:rPr>
        <w:t xml:space="preserve">tolerable...”. Así, y sobre la base de </w:t>
      </w:r>
      <w:r>
        <w:rPr>
          <w:rFonts w:ascii="Times New Roman" w:hAnsi="Times New Roman" w:cs="Times New Roman"/>
          <w:color w:val="222222"/>
          <w:sz w:val="24"/>
          <w:szCs w:val="24"/>
        </w:rPr>
        <w:t xml:space="preserve">la diferencia de poder militar, </w:t>
      </w:r>
      <w:r w:rsidRPr="007008DD">
        <w:rPr>
          <w:rFonts w:ascii="Times New Roman" w:hAnsi="Times New Roman" w:cs="Times New Roman"/>
          <w:color w:val="222222"/>
          <w:sz w:val="24"/>
          <w:szCs w:val="24"/>
        </w:rPr>
        <w:t xml:space="preserve">Sadam Hussein era tolerable para </w:t>
      </w:r>
      <w:r>
        <w:rPr>
          <w:rFonts w:ascii="Times New Roman" w:hAnsi="Times New Roman" w:cs="Times New Roman"/>
          <w:color w:val="222222"/>
          <w:sz w:val="24"/>
          <w:szCs w:val="24"/>
        </w:rPr>
        <w:t xml:space="preserve">unos y una amenaza insoportable </w:t>
      </w:r>
      <w:r w:rsidRPr="007008DD">
        <w:rPr>
          <w:rFonts w:ascii="Times New Roman" w:hAnsi="Times New Roman" w:cs="Times New Roman"/>
          <w:color w:val="222222"/>
          <w:sz w:val="24"/>
          <w:szCs w:val="24"/>
        </w:rPr>
        <w:t>para otros.</w:t>
      </w:r>
    </w:p>
    <w:p w:rsidR="007008DD" w:rsidRPr="007008DD" w:rsidRDefault="007008DD" w:rsidP="007008DD">
      <w:pPr>
        <w:spacing w:before="100" w:beforeAutospacing="1" w:after="100" w:afterAutospacing="1" w:line="240" w:lineRule="auto"/>
        <w:jc w:val="both"/>
        <w:rPr>
          <w:rFonts w:ascii="Times New Roman" w:hAnsi="Times New Roman" w:cs="Times New Roman"/>
          <w:color w:val="222222"/>
          <w:sz w:val="24"/>
          <w:szCs w:val="24"/>
        </w:rPr>
      </w:pPr>
      <w:r w:rsidRPr="007008DD">
        <w:rPr>
          <w:rFonts w:ascii="Times New Roman" w:hAnsi="Times New Roman" w:cs="Times New Roman"/>
          <w:color w:val="222222"/>
          <w:sz w:val="24"/>
          <w:szCs w:val="24"/>
        </w:rPr>
        <w:t>No obstante, estas desigualdades en la capacid</w:t>
      </w:r>
      <w:r>
        <w:rPr>
          <w:rFonts w:ascii="Times New Roman" w:hAnsi="Times New Roman" w:cs="Times New Roman"/>
          <w:color w:val="222222"/>
          <w:sz w:val="24"/>
          <w:szCs w:val="24"/>
        </w:rPr>
        <w:t xml:space="preserve">ad militar son la </w:t>
      </w:r>
      <w:r w:rsidRPr="007008DD">
        <w:rPr>
          <w:rFonts w:ascii="Times New Roman" w:hAnsi="Times New Roman" w:cs="Times New Roman"/>
          <w:color w:val="222222"/>
          <w:sz w:val="24"/>
          <w:szCs w:val="24"/>
        </w:rPr>
        <w:t>expresión de una diferencia “ideo</w:t>
      </w:r>
      <w:r>
        <w:rPr>
          <w:rFonts w:ascii="Times New Roman" w:hAnsi="Times New Roman" w:cs="Times New Roman"/>
          <w:color w:val="222222"/>
          <w:sz w:val="24"/>
          <w:szCs w:val="24"/>
        </w:rPr>
        <w:t xml:space="preserve">lógica” mucho más profunda, que </w:t>
      </w:r>
      <w:r w:rsidRPr="007008DD">
        <w:rPr>
          <w:rFonts w:ascii="Times New Roman" w:hAnsi="Times New Roman" w:cs="Times New Roman"/>
          <w:color w:val="222222"/>
          <w:sz w:val="24"/>
          <w:szCs w:val="24"/>
        </w:rPr>
        <w:t>implica una mirada distinta hacia la concepción misma del poder.</w:t>
      </w:r>
    </w:p>
    <w:p w:rsidR="007008DD" w:rsidRPr="007008DD" w:rsidRDefault="007008DD" w:rsidP="007008DD">
      <w:pPr>
        <w:spacing w:before="100" w:beforeAutospacing="1" w:after="100" w:afterAutospacing="1" w:line="240" w:lineRule="auto"/>
        <w:jc w:val="both"/>
        <w:rPr>
          <w:rFonts w:ascii="Times New Roman" w:hAnsi="Times New Roman" w:cs="Times New Roman"/>
          <w:color w:val="222222"/>
          <w:sz w:val="24"/>
          <w:szCs w:val="24"/>
        </w:rPr>
      </w:pPr>
      <w:r w:rsidRPr="007008DD">
        <w:rPr>
          <w:rFonts w:ascii="Times New Roman" w:hAnsi="Times New Roman" w:cs="Times New Roman"/>
          <w:color w:val="222222"/>
          <w:sz w:val="24"/>
          <w:szCs w:val="24"/>
        </w:rPr>
        <w:t>Hoy, Europa rechaza las pol</w:t>
      </w:r>
      <w:r>
        <w:rPr>
          <w:rFonts w:ascii="Times New Roman" w:hAnsi="Times New Roman" w:cs="Times New Roman"/>
          <w:color w:val="222222"/>
          <w:sz w:val="24"/>
          <w:szCs w:val="24"/>
        </w:rPr>
        <w:t xml:space="preserve">íticas de poder, que durante el </w:t>
      </w:r>
      <w:r w:rsidRPr="007008DD">
        <w:rPr>
          <w:rFonts w:ascii="Times New Roman" w:hAnsi="Times New Roman" w:cs="Times New Roman"/>
          <w:color w:val="222222"/>
          <w:sz w:val="24"/>
          <w:szCs w:val="24"/>
        </w:rPr>
        <w:t>siglo XX la llevaron a infligirse a sí misma, y a</w:t>
      </w:r>
      <w:r>
        <w:rPr>
          <w:rFonts w:ascii="Times New Roman" w:hAnsi="Times New Roman" w:cs="Times New Roman"/>
          <w:color w:val="222222"/>
          <w:sz w:val="24"/>
          <w:szCs w:val="24"/>
        </w:rPr>
        <w:t xml:space="preserve"> gran parte del </w:t>
      </w:r>
      <w:r w:rsidRPr="007008DD">
        <w:rPr>
          <w:rFonts w:ascii="Times New Roman" w:hAnsi="Times New Roman" w:cs="Times New Roman"/>
          <w:color w:val="222222"/>
          <w:sz w:val="24"/>
          <w:szCs w:val="24"/>
        </w:rPr>
        <w:t xml:space="preserve">mundo, dos guerras atrozmente </w:t>
      </w:r>
      <w:r w:rsidR="00981F4A">
        <w:rPr>
          <w:rFonts w:ascii="Times New Roman" w:hAnsi="Times New Roman" w:cs="Times New Roman"/>
          <w:color w:val="222222"/>
          <w:sz w:val="24"/>
          <w:szCs w:val="24"/>
        </w:rPr>
        <w:t xml:space="preserve">destructivas (Gabriel Jackson). </w:t>
      </w:r>
      <w:r w:rsidRPr="007008DD">
        <w:rPr>
          <w:rFonts w:ascii="Times New Roman" w:hAnsi="Times New Roman" w:cs="Times New Roman"/>
          <w:color w:val="222222"/>
          <w:sz w:val="24"/>
          <w:szCs w:val="24"/>
        </w:rPr>
        <w:t>La barbarie de la que fueron capaces</w:t>
      </w:r>
      <w:r>
        <w:rPr>
          <w:rFonts w:ascii="Times New Roman" w:hAnsi="Times New Roman" w:cs="Times New Roman"/>
          <w:color w:val="222222"/>
          <w:sz w:val="24"/>
          <w:szCs w:val="24"/>
        </w:rPr>
        <w:t xml:space="preserve"> las naciones más “civilizadas” </w:t>
      </w:r>
      <w:r w:rsidRPr="007008DD">
        <w:rPr>
          <w:rFonts w:ascii="Times New Roman" w:hAnsi="Times New Roman" w:cs="Times New Roman"/>
          <w:color w:val="222222"/>
          <w:sz w:val="24"/>
          <w:szCs w:val="24"/>
        </w:rPr>
        <w:t>durante el siglo XX pudo realiz</w:t>
      </w:r>
      <w:r>
        <w:rPr>
          <w:rFonts w:ascii="Times New Roman" w:hAnsi="Times New Roman" w:cs="Times New Roman"/>
          <w:color w:val="222222"/>
          <w:sz w:val="24"/>
          <w:szCs w:val="24"/>
        </w:rPr>
        <w:t xml:space="preserve">ar el milagro del entendimiento </w:t>
      </w:r>
      <w:r w:rsidRPr="007008DD">
        <w:rPr>
          <w:rFonts w:ascii="Times New Roman" w:hAnsi="Times New Roman" w:cs="Times New Roman"/>
          <w:color w:val="222222"/>
          <w:sz w:val="24"/>
          <w:szCs w:val="24"/>
        </w:rPr>
        <w:t>franco-alemán, impensable incluso en 1947. Algo</w:t>
      </w:r>
      <w:r>
        <w:rPr>
          <w:rFonts w:ascii="Times New Roman" w:hAnsi="Times New Roman" w:cs="Times New Roman"/>
          <w:color w:val="222222"/>
          <w:sz w:val="24"/>
          <w:szCs w:val="24"/>
        </w:rPr>
        <w:t xml:space="preserve"> aprendió </w:t>
      </w:r>
      <w:r w:rsidRPr="007008DD">
        <w:rPr>
          <w:rFonts w:ascii="Times New Roman" w:hAnsi="Times New Roman" w:cs="Times New Roman"/>
          <w:color w:val="222222"/>
          <w:sz w:val="24"/>
          <w:szCs w:val="24"/>
        </w:rPr>
        <w:t>Europa de las pretensiones he</w:t>
      </w:r>
      <w:r>
        <w:rPr>
          <w:rFonts w:ascii="Times New Roman" w:hAnsi="Times New Roman" w:cs="Times New Roman"/>
          <w:color w:val="222222"/>
          <w:sz w:val="24"/>
          <w:szCs w:val="24"/>
        </w:rPr>
        <w:t xml:space="preserve">gemónicas y no está dispuesta a </w:t>
      </w:r>
      <w:r w:rsidRPr="007008DD">
        <w:rPr>
          <w:rFonts w:ascii="Times New Roman" w:hAnsi="Times New Roman" w:cs="Times New Roman"/>
          <w:color w:val="222222"/>
          <w:sz w:val="24"/>
          <w:szCs w:val="24"/>
        </w:rPr>
        <w:t>desandar el camino. Los europeo</w:t>
      </w:r>
      <w:r>
        <w:rPr>
          <w:rFonts w:ascii="Times New Roman" w:hAnsi="Times New Roman" w:cs="Times New Roman"/>
          <w:color w:val="222222"/>
          <w:sz w:val="24"/>
          <w:szCs w:val="24"/>
        </w:rPr>
        <w:t xml:space="preserve">s pueden, por tanto, ofrecer al </w:t>
      </w:r>
      <w:r w:rsidRPr="007008DD">
        <w:rPr>
          <w:rFonts w:ascii="Times New Roman" w:hAnsi="Times New Roman" w:cs="Times New Roman"/>
          <w:color w:val="222222"/>
          <w:sz w:val="24"/>
          <w:szCs w:val="24"/>
        </w:rPr>
        <w:t>mundo la trascendencia del poder, de su actua</w:t>
      </w:r>
      <w:r>
        <w:rPr>
          <w:rFonts w:ascii="Times New Roman" w:hAnsi="Times New Roman" w:cs="Times New Roman"/>
          <w:color w:val="222222"/>
          <w:sz w:val="24"/>
          <w:szCs w:val="24"/>
        </w:rPr>
        <w:t xml:space="preserve">l poshistoria. Paradójicamente, </w:t>
      </w:r>
      <w:r w:rsidRPr="007008DD">
        <w:rPr>
          <w:rFonts w:ascii="Times New Roman" w:hAnsi="Times New Roman" w:cs="Times New Roman"/>
          <w:color w:val="222222"/>
          <w:sz w:val="24"/>
          <w:szCs w:val="24"/>
        </w:rPr>
        <w:t>se arribó a este paraíso gracias a que Estado</w:t>
      </w:r>
      <w:r>
        <w:rPr>
          <w:rFonts w:ascii="Times New Roman" w:hAnsi="Times New Roman" w:cs="Times New Roman"/>
          <w:color w:val="222222"/>
          <w:sz w:val="24"/>
          <w:szCs w:val="24"/>
        </w:rPr>
        <w:t xml:space="preserve">s Unidos </w:t>
      </w:r>
      <w:r w:rsidRPr="007008DD">
        <w:rPr>
          <w:rFonts w:ascii="Times New Roman" w:hAnsi="Times New Roman" w:cs="Times New Roman"/>
          <w:color w:val="222222"/>
          <w:sz w:val="24"/>
          <w:szCs w:val="24"/>
        </w:rPr>
        <w:t>no dio el mismo paso. En la a</w:t>
      </w:r>
      <w:r>
        <w:rPr>
          <w:rFonts w:ascii="Times New Roman" w:hAnsi="Times New Roman" w:cs="Times New Roman"/>
          <w:color w:val="222222"/>
          <w:sz w:val="24"/>
          <w:szCs w:val="24"/>
        </w:rPr>
        <w:t xml:space="preserve">ctualidad, los norteamericanos, </w:t>
      </w:r>
      <w:r w:rsidRPr="007008DD">
        <w:rPr>
          <w:rFonts w:ascii="Times New Roman" w:hAnsi="Times New Roman" w:cs="Times New Roman"/>
          <w:color w:val="222222"/>
          <w:sz w:val="24"/>
          <w:szCs w:val="24"/>
        </w:rPr>
        <w:t xml:space="preserve">a pesar de su inmenso poder, continúan en </w:t>
      </w:r>
      <w:r>
        <w:rPr>
          <w:rFonts w:ascii="Times New Roman" w:hAnsi="Times New Roman" w:cs="Times New Roman"/>
          <w:color w:val="222222"/>
          <w:sz w:val="24"/>
          <w:szCs w:val="24"/>
        </w:rPr>
        <w:t xml:space="preserve">la historia y para compensarlos </w:t>
      </w:r>
      <w:r w:rsidRPr="007008DD">
        <w:rPr>
          <w:rFonts w:ascii="Times New Roman" w:hAnsi="Times New Roman" w:cs="Times New Roman"/>
          <w:color w:val="222222"/>
          <w:sz w:val="24"/>
          <w:szCs w:val="24"/>
        </w:rPr>
        <w:t>por haber levantado</w:t>
      </w:r>
      <w:r>
        <w:rPr>
          <w:rFonts w:ascii="Times New Roman" w:hAnsi="Times New Roman" w:cs="Times New Roman"/>
          <w:color w:val="222222"/>
          <w:sz w:val="24"/>
          <w:szCs w:val="24"/>
        </w:rPr>
        <w:t xml:space="preserve"> los muros del orden posmoderno </w:t>
      </w:r>
      <w:r w:rsidRPr="007008DD">
        <w:rPr>
          <w:rFonts w:ascii="Times New Roman" w:hAnsi="Times New Roman" w:cs="Times New Roman"/>
          <w:color w:val="222222"/>
          <w:sz w:val="24"/>
          <w:szCs w:val="24"/>
        </w:rPr>
        <w:t>de Europa, buscan libertad de acción pa</w:t>
      </w:r>
      <w:r>
        <w:rPr>
          <w:rFonts w:ascii="Times New Roman" w:hAnsi="Times New Roman" w:cs="Times New Roman"/>
          <w:color w:val="222222"/>
          <w:sz w:val="24"/>
          <w:szCs w:val="24"/>
        </w:rPr>
        <w:t xml:space="preserve">ra enfrentarse con los peligros </w:t>
      </w:r>
      <w:r w:rsidRPr="007008DD">
        <w:rPr>
          <w:rFonts w:ascii="Times New Roman" w:hAnsi="Times New Roman" w:cs="Times New Roman"/>
          <w:color w:val="222222"/>
          <w:sz w:val="24"/>
          <w:szCs w:val="24"/>
        </w:rPr>
        <w:t xml:space="preserve">estratégicos. Este es el </w:t>
      </w:r>
      <w:r>
        <w:rPr>
          <w:rFonts w:ascii="Times New Roman" w:hAnsi="Times New Roman" w:cs="Times New Roman"/>
          <w:color w:val="222222"/>
          <w:sz w:val="24"/>
          <w:szCs w:val="24"/>
        </w:rPr>
        <w:t xml:space="preserve">gran problema de las relaciones </w:t>
      </w:r>
      <w:r w:rsidRPr="007008DD">
        <w:rPr>
          <w:rFonts w:ascii="Times New Roman" w:hAnsi="Times New Roman" w:cs="Times New Roman"/>
          <w:color w:val="222222"/>
          <w:sz w:val="24"/>
          <w:szCs w:val="24"/>
        </w:rPr>
        <w:t xml:space="preserve">transatlánticas, </w:t>
      </w:r>
      <w:r>
        <w:rPr>
          <w:rFonts w:ascii="Times New Roman" w:hAnsi="Times New Roman" w:cs="Times New Roman"/>
          <w:color w:val="222222"/>
          <w:sz w:val="24"/>
          <w:szCs w:val="24"/>
        </w:rPr>
        <w:t xml:space="preserve">manifestado en toda su crudeza -según Kagan- </w:t>
      </w:r>
      <w:r w:rsidRPr="007008DD">
        <w:rPr>
          <w:rFonts w:ascii="Times New Roman" w:hAnsi="Times New Roman" w:cs="Times New Roman"/>
          <w:color w:val="222222"/>
          <w:sz w:val="24"/>
          <w:szCs w:val="24"/>
        </w:rPr>
        <w:t>con el final de la Guerra Fría.</w:t>
      </w:r>
    </w:p>
    <w:p w:rsidR="007008DD" w:rsidRDefault="007008DD" w:rsidP="007008DD">
      <w:pPr>
        <w:spacing w:before="100" w:beforeAutospacing="1" w:after="100" w:afterAutospacing="1" w:line="240" w:lineRule="auto"/>
        <w:jc w:val="both"/>
        <w:rPr>
          <w:rFonts w:ascii="Times New Roman" w:hAnsi="Times New Roman" w:cs="Times New Roman"/>
          <w:color w:val="222222"/>
          <w:sz w:val="24"/>
          <w:szCs w:val="24"/>
        </w:rPr>
      </w:pPr>
      <w:r w:rsidRPr="007008DD">
        <w:rPr>
          <w:rFonts w:ascii="Times New Roman" w:hAnsi="Times New Roman" w:cs="Times New Roman"/>
          <w:color w:val="222222"/>
          <w:sz w:val="24"/>
          <w:szCs w:val="24"/>
        </w:rPr>
        <w:t xml:space="preserve">A partir de 1989, al desvanecerse </w:t>
      </w:r>
      <w:r>
        <w:rPr>
          <w:rFonts w:ascii="Times New Roman" w:hAnsi="Times New Roman" w:cs="Times New Roman"/>
          <w:color w:val="222222"/>
          <w:sz w:val="24"/>
          <w:szCs w:val="24"/>
        </w:rPr>
        <w:t xml:space="preserve">el enemigo común, desapareció </w:t>
      </w:r>
      <w:r w:rsidRPr="007008DD">
        <w:rPr>
          <w:rFonts w:ascii="Times New Roman" w:hAnsi="Times New Roman" w:cs="Times New Roman"/>
          <w:color w:val="222222"/>
          <w:sz w:val="24"/>
          <w:szCs w:val="24"/>
        </w:rPr>
        <w:t>paulatinamente la necesidad estrat</w:t>
      </w:r>
      <w:r>
        <w:rPr>
          <w:rFonts w:ascii="Times New Roman" w:hAnsi="Times New Roman" w:cs="Times New Roman"/>
          <w:color w:val="222222"/>
          <w:sz w:val="24"/>
          <w:szCs w:val="24"/>
        </w:rPr>
        <w:t xml:space="preserve">égica, ideológica y psicológica </w:t>
      </w:r>
      <w:r w:rsidRPr="007008DD">
        <w:rPr>
          <w:rFonts w:ascii="Times New Roman" w:hAnsi="Times New Roman" w:cs="Times New Roman"/>
          <w:color w:val="222222"/>
          <w:sz w:val="24"/>
          <w:szCs w:val="24"/>
        </w:rPr>
        <w:t>de demostrar que había un O</w:t>
      </w:r>
      <w:r>
        <w:rPr>
          <w:rFonts w:ascii="Times New Roman" w:hAnsi="Times New Roman" w:cs="Times New Roman"/>
          <w:color w:val="222222"/>
          <w:sz w:val="24"/>
          <w:szCs w:val="24"/>
        </w:rPr>
        <w:t xml:space="preserve">ccidente unificado; los ideales </w:t>
      </w:r>
      <w:r w:rsidRPr="007008DD">
        <w:rPr>
          <w:rFonts w:ascii="Times New Roman" w:hAnsi="Times New Roman" w:cs="Times New Roman"/>
          <w:color w:val="222222"/>
          <w:sz w:val="24"/>
          <w:szCs w:val="24"/>
        </w:rPr>
        <w:t>liberales ya habían triunfado. L</w:t>
      </w:r>
      <w:r>
        <w:rPr>
          <w:rFonts w:ascii="Times New Roman" w:hAnsi="Times New Roman" w:cs="Times New Roman"/>
          <w:color w:val="222222"/>
          <w:sz w:val="24"/>
          <w:szCs w:val="24"/>
        </w:rPr>
        <w:t xml:space="preserve">o anterior implicó el fin de la </w:t>
      </w:r>
      <w:r w:rsidRPr="007008DD">
        <w:rPr>
          <w:rFonts w:ascii="Times New Roman" w:hAnsi="Times New Roman" w:cs="Times New Roman"/>
          <w:color w:val="222222"/>
          <w:sz w:val="24"/>
          <w:szCs w:val="24"/>
        </w:rPr>
        <w:t>generosa política exterior estadounidense</w:t>
      </w:r>
      <w:r>
        <w:rPr>
          <w:rFonts w:ascii="Times New Roman" w:hAnsi="Times New Roman" w:cs="Times New Roman"/>
          <w:color w:val="222222"/>
          <w:sz w:val="24"/>
          <w:szCs w:val="24"/>
        </w:rPr>
        <w:t xml:space="preserve"> y la vuelta a la “normalidad”, </w:t>
      </w:r>
      <w:r w:rsidRPr="007008DD">
        <w:rPr>
          <w:rFonts w:ascii="Times New Roman" w:hAnsi="Times New Roman" w:cs="Times New Roman"/>
          <w:color w:val="222222"/>
          <w:sz w:val="24"/>
          <w:szCs w:val="24"/>
        </w:rPr>
        <w:t xml:space="preserve">es decir a su tradicional </w:t>
      </w:r>
      <w:r>
        <w:rPr>
          <w:rFonts w:ascii="Times New Roman" w:hAnsi="Times New Roman" w:cs="Times New Roman"/>
          <w:color w:val="222222"/>
          <w:sz w:val="24"/>
          <w:szCs w:val="24"/>
        </w:rPr>
        <w:t xml:space="preserve">política de independencia o, en </w:t>
      </w:r>
      <w:r w:rsidRPr="007008DD">
        <w:rPr>
          <w:rFonts w:ascii="Times New Roman" w:hAnsi="Times New Roman" w:cs="Times New Roman"/>
          <w:color w:val="222222"/>
          <w:sz w:val="24"/>
          <w:szCs w:val="24"/>
        </w:rPr>
        <w:t>palabras de Kagan, al “nacionalism</w:t>
      </w:r>
      <w:r>
        <w:rPr>
          <w:rFonts w:ascii="Times New Roman" w:hAnsi="Times New Roman" w:cs="Times New Roman"/>
          <w:color w:val="222222"/>
          <w:sz w:val="24"/>
          <w:szCs w:val="24"/>
        </w:rPr>
        <w:t xml:space="preserve">o universalista”, según el cual </w:t>
      </w:r>
      <w:r w:rsidRPr="007008DD">
        <w:rPr>
          <w:rFonts w:ascii="Times New Roman" w:hAnsi="Times New Roman" w:cs="Times New Roman"/>
          <w:color w:val="222222"/>
          <w:sz w:val="24"/>
          <w:szCs w:val="24"/>
        </w:rPr>
        <w:t>la causa de Estados Unidos es la causa de todo el género</w:t>
      </w:r>
      <w:r w:rsidR="00981F4A">
        <w:rPr>
          <w:rFonts w:ascii="Times New Roman" w:hAnsi="Times New Roman" w:cs="Times New Roman"/>
          <w:color w:val="222222"/>
          <w:sz w:val="24"/>
          <w:szCs w:val="24"/>
        </w:rPr>
        <w:t xml:space="preserve"> humano </w:t>
      </w:r>
      <w:r w:rsidRPr="007008DD">
        <w:rPr>
          <w:rFonts w:ascii="Times New Roman" w:hAnsi="Times New Roman" w:cs="Times New Roman"/>
          <w:color w:val="222222"/>
          <w:sz w:val="24"/>
          <w:szCs w:val="24"/>
        </w:rPr>
        <w:t>(Benjamín Franklin) y el orden in</w:t>
      </w:r>
      <w:r w:rsidR="00981F4A">
        <w:rPr>
          <w:rFonts w:ascii="Times New Roman" w:hAnsi="Times New Roman" w:cs="Times New Roman"/>
          <w:color w:val="222222"/>
          <w:sz w:val="24"/>
          <w:szCs w:val="24"/>
        </w:rPr>
        <w:t xml:space="preserve">ternacional, el único estable y </w:t>
      </w:r>
      <w:r w:rsidRPr="007008DD">
        <w:rPr>
          <w:rFonts w:ascii="Times New Roman" w:hAnsi="Times New Roman" w:cs="Times New Roman"/>
          <w:color w:val="222222"/>
          <w:sz w:val="24"/>
          <w:szCs w:val="24"/>
        </w:rPr>
        <w:t>satisfactorio, es el que tenga po</w:t>
      </w:r>
      <w:r w:rsidR="00981F4A">
        <w:rPr>
          <w:rFonts w:ascii="Times New Roman" w:hAnsi="Times New Roman" w:cs="Times New Roman"/>
          <w:color w:val="222222"/>
          <w:sz w:val="24"/>
          <w:szCs w:val="24"/>
        </w:rPr>
        <w:t xml:space="preserve">r centro a Estados Unidos, para </w:t>
      </w:r>
      <w:r w:rsidRPr="007008DD">
        <w:rPr>
          <w:rFonts w:ascii="Times New Roman" w:hAnsi="Times New Roman" w:cs="Times New Roman"/>
          <w:color w:val="222222"/>
          <w:sz w:val="24"/>
          <w:szCs w:val="24"/>
        </w:rPr>
        <w:t>cuya defensa es necesaria la fuerza, y</w:t>
      </w:r>
      <w:r w:rsidR="00981F4A">
        <w:rPr>
          <w:rFonts w:ascii="Times New Roman" w:hAnsi="Times New Roman" w:cs="Times New Roman"/>
          <w:color w:val="222222"/>
          <w:sz w:val="24"/>
          <w:szCs w:val="24"/>
        </w:rPr>
        <w:t xml:space="preserve">a que no conocen la experiencia </w:t>
      </w:r>
      <w:r w:rsidRPr="007008DD">
        <w:rPr>
          <w:rFonts w:ascii="Times New Roman" w:hAnsi="Times New Roman" w:cs="Times New Roman"/>
          <w:color w:val="222222"/>
          <w:sz w:val="24"/>
          <w:szCs w:val="24"/>
        </w:rPr>
        <w:t>de fomentar ideales sin util</w:t>
      </w:r>
      <w:r w:rsidR="00981F4A">
        <w:rPr>
          <w:rFonts w:ascii="Times New Roman" w:hAnsi="Times New Roman" w:cs="Times New Roman"/>
          <w:color w:val="222222"/>
          <w:sz w:val="24"/>
          <w:szCs w:val="24"/>
        </w:rPr>
        <w:t>izarla. Sería interesante saber si -en la actualidad-</w:t>
      </w:r>
      <w:r w:rsidRPr="007008DD">
        <w:rPr>
          <w:rFonts w:ascii="Times New Roman" w:hAnsi="Times New Roman" w:cs="Times New Roman"/>
          <w:color w:val="222222"/>
          <w:sz w:val="24"/>
          <w:szCs w:val="24"/>
        </w:rPr>
        <w:t xml:space="preserve"> entre las moti</w:t>
      </w:r>
      <w:r w:rsidR="00981F4A">
        <w:rPr>
          <w:rFonts w:ascii="Times New Roman" w:hAnsi="Times New Roman" w:cs="Times New Roman"/>
          <w:color w:val="222222"/>
          <w:sz w:val="24"/>
          <w:szCs w:val="24"/>
        </w:rPr>
        <w:t xml:space="preserve">vaciones de aquellos ideales, y </w:t>
      </w:r>
      <w:r w:rsidRPr="007008DD">
        <w:rPr>
          <w:rFonts w:ascii="Times New Roman" w:hAnsi="Times New Roman" w:cs="Times New Roman"/>
          <w:color w:val="222222"/>
          <w:sz w:val="24"/>
          <w:szCs w:val="24"/>
        </w:rPr>
        <w:t>siguiendo en la línea de argumen</w:t>
      </w:r>
      <w:r w:rsidR="00981F4A">
        <w:rPr>
          <w:rFonts w:ascii="Times New Roman" w:hAnsi="Times New Roman" w:cs="Times New Roman"/>
          <w:color w:val="222222"/>
          <w:sz w:val="24"/>
          <w:szCs w:val="24"/>
        </w:rPr>
        <w:t>tación de la más pura tradición realista, se encuentra -por ejemplo-</w:t>
      </w:r>
      <w:r w:rsidRPr="007008DD">
        <w:rPr>
          <w:rFonts w:ascii="Times New Roman" w:hAnsi="Times New Roman" w:cs="Times New Roman"/>
          <w:color w:val="222222"/>
          <w:sz w:val="24"/>
          <w:szCs w:val="24"/>
        </w:rPr>
        <w:t xml:space="preserve"> el petróleo.</w:t>
      </w:r>
    </w:p>
    <w:p w:rsidR="00981F4A" w:rsidRPr="00981F4A" w:rsidRDefault="00981F4A" w:rsidP="00981F4A">
      <w:pPr>
        <w:spacing w:before="100" w:beforeAutospacing="1" w:after="100" w:afterAutospacing="1" w:line="240" w:lineRule="auto"/>
        <w:jc w:val="both"/>
        <w:rPr>
          <w:rFonts w:ascii="Times New Roman" w:hAnsi="Times New Roman" w:cs="Times New Roman"/>
          <w:color w:val="222222"/>
          <w:sz w:val="24"/>
          <w:szCs w:val="24"/>
        </w:rPr>
      </w:pPr>
      <w:r w:rsidRPr="00981F4A">
        <w:rPr>
          <w:rFonts w:ascii="Times New Roman" w:hAnsi="Times New Roman" w:cs="Times New Roman"/>
          <w:color w:val="222222"/>
          <w:sz w:val="24"/>
          <w:szCs w:val="24"/>
        </w:rPr>
        <w:t>La tarea, por tanto, consiste en adaptarse a la nueva realidad</w:t>
      </w:r>
      <w:r>
        <w:rPr>
          <w:rFonts w:ascii="Times New Roman" w:hAnsi="Times New Roman" w:cs="Times New Roman"/>
          <w:color w:val="222222"/>
          <w:sz w:val="24"/>
          <w:szCs w:val="24"/>
        </w:rPr>
        <w:t xml:space="preserve"> </w:t>
      </w:r>
      <w:r w:rsidRPr="00981F4A">
        <w:rPr>
          <w:rFonts w:ascii="Times New Roman" w:hAnsi="Times New Roman" w:cs="Times New Roman"/>
          <w:color w:val="222222"/>
          <w:sz w:val="24"/>
          <w:szCs w:val="24"/>
        </w:rPr>
        <w:t>de la hegemonía estadounidense. Como Europa no pretende generar</w:t>
      </w:r>
      <w:r>
        <w:rPr>
          <w:rFonts w:ascii="Times New Roman" w:hAnsi="Times New Roman" w:cs="Times New Roman"/>
          <w:color w:val="222222"/>
          <w:sz w:val="24"/>
          <w:szCs w:val="24"/>
        </w:rPr>
        <w:t xml:space="preserve"> </w:t>
      </w:r>
      <w:r w:rsidRPr="00981F4A">
        <w:rPr>
          <w:rFonts w:ascii="Times New Roman" w:hAnsi="Times New Roman" w:cs="Times New Roman"/>
          <w:color w:val="222222"/>
          <w:sz w:val="24"/>
          <w:szCs w:val="24"/>
        </w:rPr>
        <w:t>un poder militar equiparab</w:t>
      </w:r>
      <w:r>
        <w:rPr>
          <w:rFonts w:ascii="Times New Roman" w:hAnsi="Times New Roman" w:cs="Times New Roman"/>
          <w:color w:val="222222"/>
          <w:sz w:val="24"/>
          <w:szCs w:val="24"/>
        </w:rPr>
        <w:t xml:space="preserve">le al de Estados Unidos, deberá </w:t>
      </w:r>
      <w:r w:rsidRPr="00981F4A">
        <w:rPr>
          <w:rFonts w:ascii="Times New Roman" w:hAnsi="Times New Roman" w:cs="Times New Roman"/>
          <w:color w:val="222222"/>
          <w:sz w:val="24"/>
          <w:szCs w:val="24"/>
        </w:rPr>
        <w:t>advertir lo necesaria que result</w:t>
      </w:r>
      <w:r>
        <w:rPr>
          <w:rFonts w:ascii="Times New Roman" w:hAnsi="Times New Roman" w:cs="Times New Roman"/>
          <w:color w:val="222222"/>
          <w:sz w:val="24"/>
          <w:szCs w:val="24"/>
        </w:rPr>
        <w:t xml:space="preserve">a su preponderancia. “Salvo una catástrofe imprevista -sentencia Kagan- es razonable presumir </w:t>
      </w:r>
      <w:r w:rsidRPr="00981F4A">
        <w:rPr>
          <w:rFonts w:ascii="Times New Roman" w:hAnsi="Times New Roman" w:cs="Times New Roman"/>
          <w:color w:val="222222"/>
          <w:sz w:val="24"/>
          <w:szCs w:val="24"/>
        </w:rPr>
        <w:t xml:space="preserve">que no hemos hecho más </w:t>
      </w:r>
      <w:r w:rsidRPr="00981F4A">
        <w:rPr>
          <w:rFonts w:ascii="Times New Roman" w:hAnsi="Times New Roman" w:cs="Times New Roman"/>
          <w:color w:val="222222"/>
          <w:sz w:val="24"/>
          <w:szCs w:val="24"/>
        </w:rPr>
        <w:lastRenderedPageBreak/>
        <w:t>que entrar en la l</w:t>
      </w:r>
      <w:r>
        <w:rPr>
          <w:rFonts w:ascii="Times New Roman" w:hAnsi="Times New Roman" w:cs="Times New Roman"/>
          <w:color w:val="222222"/>
          <w:sz w:val="24"/>
          <w:szCs w:val="24"/>
        </w:rPr>
        <w:t xml:space="preserve">arga era de la hegemonía </w:t>
      </w:r>
      <w:r w:rsidRPr="00981F4A">
        <w:rPr>
          <w:rFonts w:ascii="Times New Roman" w:hAnsi="Times New Roman" w:cs="Times New Roman"/>
          <w:color w:val="222222"/>
          <w:sz w:val="24"/>
          <w:szCs w:val="24"/>
        </w:rPr>
        <w:t>de los Estados Unidos” (p. 1</w:t>
      </w:r>
      <w:r>
        <w:rPr>
          <w:rFonts w:ascii="Times New Roman" w:hAnsi="Times New Roman" w:cs="Times New Roman"/>
          <w:color w:val="222222"/>
          <w:sz w:val="24"/>
          <w:szCs w:val="24"/>
        </w:rPr>
        <w:t xml:space="preserve">34). ¿Argumentos? Las cifras de </w:t>
      </w:r>
      <w:r w:rsidRPr="00C70D04">
        <w:rPr>
          <w:rFonts w:ascii="Times New Roman" w:hAnsi="Times New Roman" w:cs="Times New Roman"/>
          <w:i/>
          <w:color w:val="222222"/>
          <w:sz w:val="24"/>
          <w:szCs w:val="24"/>
        </w:rPr>
        <w:t>The Economist</w:t>
      </w:r>
      <w:r w:rsidRPr="00981F4A">
        <w:rPr>
          <w:rFonts w:ascii="Times New Roman" w:hAnsi="Times New Roman" w:cs="Times New Roman"/>
          <w:color w:val="222222"/>
          <w:sz w:val="24"/>
          <w:szCs w:val="24"/>
        </w:rPr>
        <w:t>, recogidas en el lib</w:t>
      </w:r>
      <w:r>
        <w:rPr>
          <w:rFonts w:ascii="Times New Roman" w:hAnsi="Times New Roman" w:cs="Times New Roman"/>
          <w:color w:val="222222"/>
          <w:sz w:val="24"/>
          <w:szCs w:val="24"/>
        </w:rPr>
        <w:t xml:space="preserve">ro. La economía estadounidense, </w:t>
      </w:r>
      <w:r w:rsidRPr="00981F4A">
        <w:rPr>
          <w:rFonts w:ascii="Times New Roman" w:hAnsi="Times New Roman" w:cs="Times New Roman"/>
          <w:color w:val="222222"/>
          <w:sz w:val="24"/>
          <w:szCs w:val="24"/>
        </w:rPr>
        <w:t xml:space="preserve">cuyo tamaño es </w:t>
      </w:r>
      <w:r>
        <w:rPr>
          <w:rFonts w:ascii="Times New Roman" w:hAnsi="Times New Roman" w:cs="Times New Roman"/>
          <w:color w:val="222222"/>
          <w:sz w:val="24"/>
          <w:szCs w:val="24"/>
        </w:rPr>
        <w:t>(</w:t>
      </w:r>
      <w:r w:rsidR="001A03D9">
        <w:rPr>
          <w:rFonts w:ascii="Times New Roman" w:hAnsi="Times New Roman" w:cs="Times New Roman"/>
          <w:color w:val="222222"/>
          <w:sz w:val="24"/>
          <w:szCs w:val="24"/>
        </w:rPr>
        <w:t>en 2003</w:t>
      </w:r>
      <w:r>
        <w:rPr>
          <w:rFonts w:ascii="Times New Roman" w:hAnsi="Times New Roman" w:cs="Times New Roman"/>
          <w:color w:val="222222"/>
          <w:sz w:val="24"/>
          <w:szCs w:val="24"/>
        </w:rPr>
        <w:t>)</w:t>
      </w:r>
      <w:r w:rsidRPr="00981F4A">
        <w:rPr>
          <w:rFonts w:ascii="Times New Roman" w:hAnsi="Times New Roman" w:cs="Times New Roman"/>
          <w:color w:val="222222"/>
          <w:sz w:val="24"/>
          <w:szCs w:val="24"/>
        </w:rPr>
        <w:t xml:space="preserve"> comparable al</w:t>
      </w:r>
      <w:r>
        <w:rPr>
          <w:rFonts w:ascii="Times New Roman" w:hAnsi="Times New Roman" w:cs="Times New Roman"/>
          <w:color w:val="222222"/>
          <w:sz w:val="24"/>
          <w:szCs w:val="24"/>
        </w:rPr>
        <w:t xml:space="preserve"> de la europea, podría duplicar </w:t>
      </w:r>
      <w:r w:rsidRPr="00981F4A">
        <w:rPr>
          <w:rFonts w:ascii="Times New Roman" w:hAnsi="Times New Roman" w:cs="Times New Roman"/>
          <w:color w:val="222222"/>
          <w:sz w:val="24"/>
          <w:szCs w:val="24"/>
        </w:rPr>
        <w:t>con creces el volumen de esta</w:t>
      </w:r>
      <w:r>
        <w:rPr>
          <w:rFonts w:ascii="Times New Roman" w:hAnsi="Times New Roman" w:cs="Times New Roman"/>
          <w:color w:val="222222"/>
          <w:sz w:val="24"/>
          <w:szCs w:val="24"/>
        </w:rPr>
        <w:t xml:space="preserve"> hacia el año 2050. (</w:t>
      </w:r>
      <w:r w:rsidR="001A03D9">
        <w:rPr>
          <w:rFonts w:ascii="Times New Roman" w:hAnsi="Times New Roman" w:cs="Times New Roman"/>
          <w:color w:val="222222"/>
          <w:sz w:val="24"/>
          <w:szCs w:val="24"/>
        </w:rPr>
        <w:t>En 2003</w:t>
      </w:r>
      <w:r>
        <w:rPr>
          <w:rFonts w:ascii="Times New Roman" w:hAnsi="Times New Roman" w:cs="Times New Roman"/>
          <w:color w:val="222222"/>
          <w:sz w:val="24"/>
          <w:szCs w:val="24"/>
        </w:rPr>
        <w:t xml:space="preserve">) la edad </w:t>
      </w:r>
      <w:r w:rsidRPr="00981F4A">
        <w:rPr>
          <w:rFonts w:ascii="Times New Roman" w:hAnsi="Times New Roman" w:cs="Times New Roman"/>
          <w:color w:val="222222"/>
          <w:sz w:val="24"/>
          <w:szCs w:val="24"/>
        </w:rPr>
        <w:t xml:space="preserve">promedio de los estadounidenses es </w:t>
      </w:r>
      <w:r>
        <w:rPr>
          <w:rFonts w:ascii="Times New Roman" w:hAnsi="Times New Roman" w:cs="Times New Roman"/>
          <w:color w:val="222222"/>
          <w:sz w:val="24"/>
          <w:szCs w:val="24"/>
        </w:rPr>
        <w:t xml:space="preserve">de 35,5, mientras que en Europa </w:t>
      </w:r>
      <w:r w:rsidRPr="00981F4A">
        <w:rPr>
          <w:rFonts w:ascii="Times New Roman" w:hAnsi="Times New Roman" w:cs="Times New Roman"/>
          <w:color w:val="222222"/>
          <w:sz w:val="24"/>
          <w:szCs w:val="24"/>
        </w:rPr>
        <w:t xml:space="preserve">es de 37,7 años. En 2050, la edad </w:t>
      </w:r>
      <w:r>
        <w:rPr>
          <w:rFonts w:ascii="Times New Roman" w:hAnsi="Times New Roman" w:cs="Times New Roman"/>
          <w:color w:val="222222"/>
          <w:sz w:val="24"/>
          <w:szCs w:val="24"/>
        </w:rPr>
        <w:t xml:space="preserve">promedio de los estadounidenses </w:t>
      </w:r>
      <w:r w:rsidRPr="00981F4A">
        <w:rPr>
          <w:rFonts w:ascii="Times New Roman" w:hAnsi="Times New Roman" w:cs="Times New Roman"/>
          <w:color w:val="222222"/>
          <w:sz w:val="24"/>
          <w:szCs w:val="24"/>
        </w:rPr>
        <w:t>será de 36,2 años y, si la tendencia actual persiste en Europa</w:t>
      </w:r>
      <w:r>
        <w:rPr>
          <w:rFonts w:ascii="Times New Roman" w:hAnsi="Times New Roman" w:cs="Times New Roman"/>
          <w:color w:val="222222"/>
          <w:sz w:val="24"/>
          <w:szCs w:val="24"/>
        </w:rPr>
        <w:t xml:space="preserve">, </w:t>
      </w:r>
      <w:r w:rsidRPr="00981F4A">
        <w:rPr>
          <w:rFonts w:ascii="Times New Roman" w:hAnsi="Times New Roman" w:cs="Times New Roman"/>
          <w:color w:val="222222"/>
          <w:sz w:val="24"/>
          <w:szCs w:val="24"/>
        </w:rPr>
        <w:t xml:space="preserve">será de 52,7. Esto significa, </w:t>
      </w:r>
      <w:r>
        <w:rPr>
          <w:rFonts w:ascii="Times New Roman" w:hAnsi="Times New Roman" w:cs="Times New Roman"/>
          <w:color w:val="222222"/>
          <w:sz w:val="24"/>
          <w:szCs w:val="24"/>
        </w:rPr>
        <w:t xml:space="preserve">entre otras cosas, que la carga </w:t>
      </w:r>
      <w:r w:rsidRPr="00981F4A">
        <w:rPr>
          <w:rFonts w:ascii="Times New Roman" w:hAnsi="Times New Roman" w:cs="Times New Roman"/>
          <w:color w:val="222222"/>
          <w:sz w:val="24"/>
          <w:szCs w:val="24"/>
        </w:rPr>
        <w:t>financiera de cuidar a los anci</w:t>
      </w:r>
      <w:r>
        <w:rPr>
          <w:rFonts w:ascii="Times New Roman" w:hAnsi="Times New Roman" w:cs="Times New Roman"/>
          <w:color w:val="222222"/>
          <w:sz w:val="24"/>
          <w:szCs w:val="24"/>
        </w:rPr>
        <w:t xml:space="preserve">anos dependientes crecerá mucho </w:t>
      </w:r>
      <w:r w:rsidRPr="00981F4A">
        <w:rPr>
          <w:rFonts w:ascii="Times New Roman" w:hAnsi="Times New Roman" w:cs="Times New Roman"/>
          <w:color w:val="222222"/>
          <w:sz w:val="24"/>
          <w:szCs w:val="24"/>
        </w:rPr>
        <w:t>más en Europa que en Estados U</w:t>
      </w:r>
      <w:r>
        <w:rPr>
          <w:rFonts w:ascii="Times New Roman" w:hAnsi="Times New Roman" w:cs="Times New Roman"/>
          <w:color w:val="222222"/>
          <w:sz w:val="24"/>
          <w:szCs w:val="24"/>
        </w:rPr>
        <w:t xml:space="preserve">nidos. También quiere decir que </w:t>
      </w:r>
      <w:r w:rsidRPr="00981F4A">
        <w:rPr>
          <w:rFonts w:ascii="Times New Roman" w:hAnsi="Times New Roman" w:cs="Times New Roman"/>
          <w:color w:val="222222"/>
          <w:sz w:val="24"/>
          <w:szCs w:val="24"/>
        </w:rPr>
        <w:t>los europeos tendrán menos diner</w:t>
      </w:r>
      <w:r>
        <w:rPr>
          <w:rFonts w:ascii="Times New Roman" w:hAnsi="Times New Roman" w:cs="Times New Roman"/>
          <w:color w:val="222222"/>
          <w:sz w:val="24"/>
          <w:szCs w:val="24"/>
        </w:rPr>
        <w:t xml:space="preserve">o para gastar en defensa en los </w:t>
      </w:r>
      <w:r w:rsidRPr="00981F4A">
        <w:rPr>
          <w:rFonts w:ascii="Times New Roman" w:hAnsi="Times New Roman" w:cs="Times New Roman"/>
          <w:color w:val="222222"/>
          <w:sz w:val="24"/>
          <w:szCs w:val="24"/>
        </w:rPr>
        <w:t>próximos años. A largo plazo, la</w:t>
      </w:r>
      <w:r>
        <w:rPr>
          <w:rFonts w:ascii="Times New Roman" w:hAnsi="Times New Roman" w:cs="Times New Roman"/>
          <w:color w:val="222222"/>
          <w:sz w:val="24"/>
          <w:szCs w:val="24"/>
        </w:rPr>
        <w:t xml:space="preserve"> lógica de la demografía parece </w:t>
      </w:r>
      <w:r w:rsidRPr="00981F4A">
        <w:rPr>
          <w:rFonts w:ascii="Times New Roman" w:hAnsi="Times New Roman" w:cs="Times New Roman"/>
          <w:color w:val="222222"/>
          <w:sz w:val="24"/>
          <w:szCs w:val="24"/>
        </w:rPr>
        <w:t>apuntar a fortificar el poderío esta</w:t>
      </w:r>
      <w:r>
        <w:rPr>
          <w:rFonts w:ascii="Times New Roman" w:hAnsi="Times New Roman" w:cs="Times New Roman"/>
          <w:color w:val="222222"/>
          <w:sz w:val="24"/>
          <w:szCs w:val="24"/>
        </w:rPr>
        <w:t xml:space="preserve">dounidense y agrandar la grieta </w:t>
      </w:r>
      <w:r w:rsidRPr="00981F4A">
        <w:rPr>
          <w:rFonts w:ascii="Times New Roman" w:hAnsi="Times New Roman" w:cs="Times New Roman"/>
          <w:color w:val="222222"/>
          <w:sz w:val="24"/>
          <w:szCs w:val="24"/>
        </w:rPr>
        <w:t>transatlántica, provocando un agudo contra</w:t>
      </w:r>
      <w:r>
        <w:rPr>
          <w:rFonts w:ascii="Times New Roman" w:hAnsi="Times New Roman" w:cs="Times New Roman"/>
          <w:color w:val="222222"/>
          <w:sz w:val="24"/>
          <w:szCs w:val="24"/>
        </w:rPr>
        <w:t xml:space="preserve">ste entre el joven, exuberante, </w:t>
      </w:r>
      <w:r w:rsidRPr="00981F4A">
        <w:rPr>
          <w:rFonts w:ascii="Times New Roman" w:hAnsi="Times New Roman" w:cs="Times New Roman"/>
          <w:color w:val="222222"/>
          <w:sz w:val="24"/>
          <w:szCs w:val="24"/>
        </w:rPr>
        <w:t>multirracial Estados Unidos y la envejecida, decrépit</w:t>
      </w:r>
      <w:r>
        <w:rPr>
          <w:rFonts w:ascii="Times New Roman" w:hAnsi="Times New Roman" w:cs="Times New Roman"/>
          <w:color w:val="222222"/>
          <w:sz w:val="24"/>
          <w:szCs w:val="24"/>
        </w:rPr>
        <w:t xml:space="preserve">a e </w:t>
      </w:r>
      <w:r w:rsidRPr="00981F4A">
        <w:rPr>
          <w:rFonts w:ascii="Times New Roman" w:hAnsi="Times New Roman" w:cs="Times New Roman"/>
          <w:color w:val="222222"/>
          <w:sz w:val="24"/>
          <w:szCs w:val="24"/>
        </w:rPr>
        <w:t>introspectiva Europa.</w:t>
      </w:r>
    </w:p>
    <w:p w:rsidR="00981F4A" w:rsidRPr="00981F4A" w:rsidRDefault="00981F4A" w:rsidP="00981F4A">
      <w:pPr>
        <w:spacing w:before="100" w:beforeAutospacing="1" w:after="100" w:afterAutospacing="1" w:line="240" w:lineRule="auto"/>
        <w:jc w:val="both"/>
        <w:rPr>
          <w:rFonts w:ascii="Times New Roman" w:hAnsi="Times New Roman" w:cs="Times New Roman"/>
          <w:color w:val="222222"/>
          <w:sz w:val="24"/>
          <w:szCs w:val="24"/>
        </w:rPr>
      </w:pPr>
      <w:r w:rsidRPr="00981F4A">
        <w:rPr>
          <w:rFonts w:ascii="Times New Roman" w:hAnsi="Times New Roman" w:cs="Times New Roman"/>
          <w:color w:val="222222"/>
          <w:sz w:val="24"/>
          <w:szCs w:val="24"/>
        </w:rPr>
        <w:t xml:space="preserve">Por su parte Estados Unidos, </w:t>
      </w:r>
      <w:r>
        <w:rPr>
          <w:rFonts w:ascii="Times New Roman" w:hAnsi="Times New Roman" w:cs="Times New Roman"/>
          <w:color w:val="222222"/>
          <w:sz w:val="24"/>
          <w:szCs w:val="24"/>
        </w:rPr>
        <w:t xml:space="preserve">considerando que para Occidente </w:t>
      </w:r>
      <w:r w:rsidRPr="00981F4A">
        <w:rPr>
          <w:rFonts w:ascii="Times New Roman" w:hAnsi="Times New Roman" w:cs="Times New Roman"/>
          <w:color w:val="222222"/>
          <w:sz w:val="24"/>
          <w:szCs w:val="24"/>
        </w:rPr>
        <w:t xml:space="preserve">constituye un riesgo llegar a </w:t>
      </w:r>
      <w:r>
        <w:rPr>
          <w:rFonts w:ascii="Times New Roman" w:hAnsi="Times New Roman" w:cs="Times New Roman"/>
          <w:color w:val="222222"/>
          <w:sz w:val="24"/>
          <w:szCs w:val="24"/>
        </w:rPr>
        <w:t xml:space="preserve">decidir que Europa se ha vuelto </w:t>
      </w:r>
      <w:r w:rsidRPr="00981F4A">
        <w:rPr>
          <w:rFonts w:ascii="Times New Roman" w:hAnsi="Times New Roman" w:cs="Times New Roman"/>
          <w:color w:val="222222"/>
          <w:sz w:val="24"/>
          <w:szCs w:val="24"/>
        </w:rPr>
        <w:t>irrelevante, debería dejar de sentir</w:t>
      </w:r>
      <w:r>
        <w:rPr>
          <w:rFonts w:ascii="Times New Roman" w:hAnsi="Times New Roman" w:cs="Times New Roman"/>
          <w:color w:val="222222"/>
          <w:sz w:val="24"/>
          <w:szCs w:val="24"/>
        </w:rPr>
        <w:t>se coartado por la débil Europa -precisamente por eso-</w:t>
      </w:r>
      <w:r w:rsidRPr="00981F4A">
        <w:rPr>
          <w:rFonts w:ascii="Times New Roman" w:hAnsi="Times New Roman" w:cs="Times New Roman"/>
          <w:color w:val="222222"/>
          <w:sz w:val="24"/>
          <w:szCs w:val="24"/>
        </w:rPr>
        <w:t xml:space="preserve"> para así manifes</w:t>
      </w:r>
      <w:r>
        <w:rPr>
          <w:rFonts w:ascii="Times New Roman" w:hAnsi="Times New Roman" w:cs="Times New Roman"/>
          <w:color w:val="222222"/>
          <w:sz w:val="24"/>
          <w:szCs w:val="24"/>
        </w:rPr>
        <w:t xml:space="preserve">tar una mayor comprensión </w:t>
      </w:r>
      <w:r w:rsidRPr="00981F4A">
        <w:rPr>
          <w:rFonts w:ascii="Times New Roman" w:hAnsi="Times New Roman" w:cs="Times New Roman"/>
          <w:color w:val="222222"/>
          <w:sz w:val="24"/>
          <w:szCs w:val="24"/>
        </w:rPr>
        <w:t>de las sensibilidades ajenas. Pod</w:t>
      </w:r>
      <w:r>
        <w:rPr>
          <w:rFonts w:ascii="Times New Roman" w:hAnsi="Times New Roman" w:cs="Times New Roman"/>
          <w:color w:val="222222"/>
          <w:sz w:val="24"/>
          <w:szCs w:val="24"/>
        </w:rPr>
        <w:t xml:space="preserve">ría ser más razonable y mostrar </w:t>
      </w:r>
      <w:r w:rsidRPr="00981F4A">
        <w:rPr>
          <w:rFonts w:ascii="Times New Roman" w:hAnsi="Times New Roman" w:cs="Times New Roman"/>
          <w:color w:val="222222"/>
          <w:sz w:val="24"/>
          <w:szCs w:val="24"/>
        </w:rPr>
        <w:t>lo que los padres fundador</w:t>
      </w:r>
      <w:r>
        <w:rPr>
          <w:rFonts w:ascii="Times New Roman" w:hAnsi="Times New Roman" w:cs="Times New Roman"/>
          <w:color w:val="222222"/>
          <w:sz w:val="24"/>
          <w:szCs w:val="24"/>
        </w:rPr>
        <w:t xml:space="preserve">es llamaron un “respeto decente </w:t>
      </w:r>
      <w:r w:rsidRPr="00981F4A">
        <w:rPr>
          <w:rFonts w:ascii="Times New Roman" w:hAnsi="Times New Roman" w:cs="Times New Roman"/>
          <w:color w:val="222222"/>
          <w:sz w:val="24"/>
          <w:szCs w:val="24"/>
        </w:rPr>
        <w:t>por la opinión de la humanidad”. Acti</w:t>
      </w:r>
      <w:r>
        <w:rPr>
          <w:rFonts w:ascii="Times New Roman" w:hAnsi="Times New Roman" w:cs="Times New Roman"/>
          <w:color w:val="222222"/>
          <w:sz w:val="24"/>
          <w:szCs w:val="24"/>
        </w:rPr>
        <w:t xml:space="preserve">tud no exenta de dudas respecto </w:t>
      </w:r>
      <w:r w:rsidRPr="00981F4A">
        <w:rPr>
          <w:rFonts w:ascii="Times New Roman" w:hAnsi="Times New Roman" w:cs="Times New Roman"/>
          <w:color w:val="222222"/>
          <w:sz w:val="24"/>
          <w:szCs w:val="24"/>
        </w:rPr>
        <w:t>de su sinceridad, por ser el mismo Kag</w:t>
      </w:r>
      <w:r>
        <w:rPr>
          <w:rFonts w:ascii="Times New Roman" w:hAnsi="Times New Roman" w:cs="Times New Roman"/>
          <w:color w:val="222222"/>
          <w:sz w:val="24"/>
          <w:szCs w:val="24"/>
        </w:rPr>
        <w:t xml:space="preserve">an quien considera </w:t>
      </w:r>
      <w:r w:rsidRPr="00981F4A">
        <w:rPr>
          <w:rFonts w:ascii="Times New Roman" w:hAnsi="Times New Roman" w:cs="Times New Roman"/>
          <w:color w:val="222222"/>
          <w:sz w:val="24"/>
          <w:szCs w:val="24"/>
        </w:rPr>
        <w:t>que Estados Unidos debe mov</w:t>
      </w:r>
      <w:r>
        <w:rPr>
          <w:rFonts w:ascii="Times New Roman" w:hAnsi="Times New Roman" w:cs="Times New Roman"/>
          <w:color w:val="222222"/>
          <w:sz w:val="24"/>
          <w:szCs w:val="24"/>
        </w:rPr>
        <w:t xml:space="preserve">erse en una doble moral. Por lo </w:t>
      </w:r>
      <w:r w:rsidRPr="00981F4A">
        <w:rPr>
          <w:rFonts w:ascii="Times New Roman" w:hAnsi="Times New Roman" w:cs="Times New Roman"/>
          <w:color w:val="222222"/>
          <w:sz w:val="24"/>
          <w:szCs w:val="24"/>
        </w:rPr>
        <w:t>demás, y si de sensibilidades se</w:t>
      </w:r>
      <w:r>
        <w:rPr>
          <w:rFonts w:ascii="Times New Roman" w:hAnsi="Times New Roman" w:cs="Times New Roman"/>
          <w:color w:val="222222"/>
          <w:sz w:val="24"/>
          <w:szCs w:val="24"/>
        </w:rPr>
        <w:t xml:space="preserve"> trata, es un hecho que Estados </w:t>
      </w:r>
      <w:r w:rsidRPr="00981F4A">
        <w:rPr>
          <w:rFonts w:ascii="Times New Roman" w:hAnsi="Times New Roman" w:cs="Times New Roman"/>
          <w:color w:val="222222"/>
          <w:sz w:val="24"/>
          <w:szCs w:val="24"/>
        </w:rPr>
        <w:t>Unidos (la administración Bush) no l</w:t>
      </w:r>
      <w:r>
        <w:rPr>
          <w:rFonts w:ascii="Times New Roman" w:hAnsi="Times New Roman" w:cs="Times New Roman"/>
          <w:color w:val="222222"/>
          <w:sz w:val="24"/>
          <w:szCs w:val="24"/>
        </w:rPr>
        <w:t xml:space="preserve">ogró capitalizar el sentimiento </w:t>
      </w:r>
      <w:r w:rsidRPr="00981F4A">
        <w:rPr>
          <w:rFonts w:ascii="Times New Roman" w:hAnsi="Times New Roman" w:cs="Times New Roman"/>
          <w:color w:val="222222"/>
          <w:sz w:val="24"/>
          <w:szCs w:val="24"/>
        </w:rPr>
        <w:t>de compasión y solidaridad que los actos del 1</w:t>
      </w:r>
      <w:r>
        <w:rPr>
          <w:rFonts w:ascii="Times New Roman" w:hAnsi="Times New Roman" w:cs="Times New Roman"/>
          <w:color w:val="222222"/>
          <w:sz w:val="24"/>
          <w:szCs w:val="24"/>
        </w:rPr>
        <w:t xml:space="preserve">1 de septiembre </w:t>
      </w:r>
      <w:r w:rsidRPr="00981F4A">
        <w:rPr>
          <w:rFonts w:ascii="Times New Roman" w:hAnsi="Times New Roman" w:cs="Times New Roman"/>
          <w:color w:val="222222"/>
          <w:sz w:val="24"/>
          <w:szCs w:val="24"/>
        </w:rPr>
        <w:t>despertaron en la opinión públic</w:t>
      </w:r>
      <w:r>
        <w:rPr>
          <w:rFonts w:ascii="Times New Roman" w:hAnsi="Times New Roman" w:cs="Times New Roman"/>
          <w:color w:val="222222"/>
          <w:sz w:val="24"/>
          <w:szCs w:val="24"/>
        </w:rPr>
        <w:t xml:space="preserve">a mundial y cabe preguntarse si </w:t>
      </w:r>
      <w:r w:rsidRPr="00981F4A">
        <w:rPr>
          <w:rFonts w:ascii="Times New Roman" w:hAnsi="Times New Roman" w:cs="Times New Roman"/>
          <w:color w:val="222222"/>
          <w:sz w:val="24"/>
          <w:szCs w:val="24"/>
        </w:rPr>
        <w:t>podrá ser sensible a los problemas de la humanidad.</w:t>
      </w:r>
    </w:p>
    <w:p w:rsidR="00981F4A" w:rsidRPr="00981F4A" w:rsidRDefault="00981F4A" w:rsidP="00981F4A">
      <w:pPr>
        <w:spacing w:before="100" w:beforeAutospacing="1" w:after="100" w:afterAutospacing="1" w:line="240" w:lineRule="auto"/>
        <w:jc w:val="both"/>
        <w:rPr>
          <w:rFonts w:ascii="Times New Roman" w:hAnsi="Times New Roman" w:cs="Times New Roman"/>
          <w:color w:val="222222"/>
          <w:sz w:val="24"/>
          <w:szCs w:val="24"/>
        </w:rPr>
      </w:pPr>
      <w:r w:rsidRPr="00981F4A">
        <w:rPr>
          <w:rFonts w:ascii="Times New Roman" w:hAnsi="Times New Roman" w:cs="Times New Roman"/>
          <w:color w:val="222222"/>
          <w:sz w:val="24"/>
          <w:szCs w:val="24"/>
        </w:rPr>
        <w:t>Entonces, ¿es impensable un</w:t>
      </w:r>
      <w:r>
        <w:rPr>
          <w:rFonts w:ascii="Times New Roman" w:hAnsi="Times New Roman" w:cs="Times New Roman"/>
          <w:color w:val="222222"/>
          <w:sz w:val="24"/>
          <w:szCs w:val="24"/>
        </w:rPr>
        <w:t xml:space="preserve">a vuelta a la “excepcionalidad” </w:t>
      </w:r>
      <w:r w:rsidRPr="00981F4A">
        <w:rPr>
          <w:rFonts w:ascii="Times New Roman" w:hAnsi="Times New Roman" w:cs="Times New Roman"/>
          <w:color w:val="222222"/>
          <w:sz w:val="24"/>
          <w:szCs w:val="24"/>
        </w:rPr>
        <w:t>de la Guerra Fría, a menos que ha</w:t>
      </w:r>
      <w:r>
        <w:rPr>
          <w:rFonts w:ascii="Times New Roman" w:hAnsi="Times New Roman" w:cs="Times New Roman"/>
          <w:color w:val="222222"/>
          <w:sz w:val="24"/>
          <w:szCs w:val="24"/>
        </w:rPr>
        <w:t xml:space="preserve">ya una catástrofe de por medio? </w:t>
      </w:r>
      <w:r w:rsidRPr="00981F4A">
        <w:rPr>
          <w:rFonts w:ascii="Times New Roman" w:hAnsi="Times New Roman" w:cs="Times New Roman"/>
          <w:color w:val="222222"/>
          <w:sz w:val="24"/>
          <w:szCs w:val="24"/>
        </w:rPr>
        <w:t>Al parecer no hay retorno, al menos a largo plazo. No obstante,</w:t>
      </w:r>
      <w:r>
        <w:rPr>
          <w:rFonts w:ascii="Times New Roman" w:hAnsi="Times New Roman" w:cs="Times New Roman"/>
          <w:color w:val="222222"/>
          <w:sz w:val="24"/>
          <w:szCs w:val="24"/>
        </w:rPr>
        <w:t xml:space="preserve"> </w:t>
      </w:r>
      <w:r w:rsidRPr="00981F4A">
        <w:rPr>
          <w:rFonts w:ascii="Times New Roman" w:hAnsi="Times New Roman" w:cs="Times New Roman"/>
          <w:color w:val="222222"/>
          <w:sz w:val="24"/>
          <w:szCs w:val="24"/>
        </w:rPr>
        <w:t xml:space="preserve">los imperios no son eternos y el poder </w:t>
      </w:r>
      <w:r>
        <w:rPr>
          <w:rFonts w:ascii="Times New Roman" w:hAnsi="Times New Roman" w:cs="Times New Roman"/>
          <w:color w:val="222222"/>
          <w:sz w:val="24"/>
          <w:szCs w:val="24"/>
        </w:rPr>
        <w:t xml:space="preserve">entraña peligros. La supremacía </w:t>
      </w:r>
      <w:r w:rsidRPr="00981F4A">
        <w:rPr>
          <w:rFonts w:ascii="Times New Roman" w:hAnsi="Times New Roman" w:cs="Times New Roman"/>
          <w:color w:val="222222"/>
          <w:sz w:val="24"/>
          <w:szCs w:val="24"/>
        </w:rPr>
        <w:t>militar no puede por sí s</w:t>
      </w:r>
      <w:r>
        <w:rPr>
          <w:rFonts w:ascii="Times New Roman" w:hAnsi="Times New Roman" w:cs="Times New Roman"/>
          <w:color w:val="222222"/>
          <w:sz w:val="24"/>
          <w:szCs w:val="24"/>
        </w:rPr>
        <w:t xml:space="preserve">ola resolver muchos problemas y </w:t>
      </w:r>
      <w:r w:rsidRPr="00981F4A">
        <w:rPr>
          <w:rFonts w:ascii="Times New Roman" w:hAnsi="Times New Roman" w:cs="Times New Roman"/>
          <w:color w:val="222222"/>
          <w:sz w:val="24"/>
          <w:szCs w:val="24"/>
        </w:rPr>
        <w:t xml:space="preserve">el carácter global de muchos de ellos implica escuchar al </w:t>
      </w:r>
      <w:r>
        <w:rPr>
          <w:rFonts w:ascii="Times New Roman" w:hAnsi="Times New Roman" w:cs="Times New Roman"/>
          <w:color w:val="222222"/>
          <w:sz w:val="24"/>
          <w:szCs w:val="24"/>
        </w:rPr>
        <w:t xml:space="preserve">otro </w:t>
      </w:r>
      <w:r w:rsidRPr="00981F4A">
        <w:rPr>
          <w:rFonts w:ascii="Times New Roman" w:hAnsi="Times New Roman" w:cs="Times New Roman"/>
          <w:color w:val="222222"/>
          <w:sz w:val="24"/>
          <w:szCs w:val="24"/>
        </w:rPr>
        <w:t xml:space="preserve">(otros). Por lo demás, la historia </w:t>
      </w:r>
      <w:r>
        <w:rPr>
          <w:rFonts w:ascii="Times New Roman" w:hAnsi="Times New Roman" w:cs="Times New Roman"/>
          <w:color w:val="222222"/>
          <w:sz w:val="24"/>
          <w:szCs w:val="24"/>
        </w:rPr>
        <w:t xml:space="preserve">nos enseña lo indispensable que </w:t>
      </w:r>
      <w:r w:rsidRPr="00981F4A">
        <w:rPr>
          <w:rFonts w:ascii="Times New Roman" w:hAnsi="Times New Roman" w:cs="Times New Roman"/>
          <w:color w:val="222222"/>
          <w:sz w:val="24"/>
          <w:szCs w:val="24"/>
        </w:rPr>
        <w:t>resulta el poder blando en aras de la efic</w:t>
      </w:r>
      <w:r>
        <w:rPr>
          <w:rFonts w:ascii="Times New Roman" w:hAnsi="Times New Roman" w:cs="Times New Roman"/>
          <w:color w:val="222222"/>
          <w:sz w:val="24"/>
          <w:szCs w:val="24"/>
        </w:rPr>
        <w:t xml:space="preserve">acia del opuesto. La decadencia </w:t>
      </w:r>
      <w:r w:rsidRPr="00981F4A">
        <w:rPr>
          <w:rFonts w:ascii="Times New Roman" w:hAnsi="Times New Roman" w:cs="Times New Roman"/>
          <w:color w:val="222222"/>
          <w:sz w:val="24"/>
          <w:szCs w:val="24"/>
        </w:rPr>
        <w:t>de Roma estuvo fuerteme</w:t>
      </w:r>
      <w:r>
        <w:rPr>
          <w:rFonts w:ascii="Times New Roman" w:hAnsi="Times New Roman" w:cs="Times New Roman"/>
          <w:color w:val="222222"/>
          <w:sz w:val="24"/>
          <w:szCs w:val="24"/>
        </w:rPr>
        <w:t xml:space="preserve">nte influida por la devaluación </w:t>
      </w:r>
      <w:r w:rsidRPr="00981F4A">
        <w:rPr>
          <w:rFonts w:ascii="Times New Roman" w:hAnsi="Times New Roman" w:cs="Times New Roman"/>
          <w:color w:val="222222"/>
          <w:sz w:val="24"/>
          <w:szCs w:val="24"/>
        </w:rPr>
        <w:t>de la moneda y la inflación de los precios.</w:t>
      </w:r>
    </w:p>
    <w:p w:rsidR="00981F4A" w:rsidRDefault="00981F4A" w:rsidP="00981F4A">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w:t>
      </w:r>
      <w:r w:rsidRPr="00981F4A">
        <w:rPr>
          <w:rFonts w:ascii="Times New Roman" w:hAnsi="Times New Roman" w:cs="Times New Roman"/>
          <w:color w:val="222222"/>
          <w:sz w:val="24"/>
          <w:szCs w:val="24"/>
        </w:rPr>
        <w:t>La estrategia de la Contención re</w:t>
      </w:r>
      <w:r>
        <w:rPr>
          <w:rFonts w:ascii="Times New Roman" w:hAnsi="Times New Roman" w:cs="Times New Roman"/>
          <w:color w:val="222222"/>
          <w:sz w:val="24"/>
          <w:szCs w:val="24"/>
        </w:rPr>
        <w:t xml:space="preserve">sultó ser la ideología correcta </w:t>
      </w:r>
      <w:r w:rsidRPr="00981F4A">
        <w:rPr>
          <w:rFonts w:ascii="Times New Roman" w:hAnsi="Times New Roman" w:cs="Times New Roman"/>
          <w:color w:val="222222"/>
          <w:sz w:val="24"/>
          <w:szCs w:val="24"/>
        </w:rPr>
        <w:t>en el momento adecuado, por su c</w:t>
      </w:r>
      <w:r>
        <w:rPr>
          <w:rFonts w:ascii="Times New Roman" w:hAnsi="Times New Roman" w:cs="Times New Roman"/>
          <w:color w:val="222222"/>
          <w:sz w:val="24"/>
          <w:szCs w:val="24"/>
        </w:rPr>
        <w:t xml:space="preserve">ertero análisis de la ideología </w:t>
      </w:r>
      <w:r w:rsidRPr="00981F4A">
        <w:rPr>
          <w:rFonts w:ascii="Times New Roman" w:hAnsi="Times New Roman" w:cs="Times New Roman"/>
          <w:color w:val="222222"/>
          <w:sz w:val="24"/>
          <w:szCs w:val="24"/>
        </w:rPr>
        <w:t>y comportamiento soviéticos, y e</w:t>
      </w:r>
      <w:r>
        <w:rPr>
          <w:rFonts w:ascii="Times New Roman" w:hAnsi="Times New Roman" w:cs="Times New Roman"/>
          <w:color w:val="222222"/>
          <w:sz w:val="24"/>
          <w:szCs w:val="24"/>
        </w:rPr>
        <w:t xml:space="preserve">specialmente, por haber evitado </w:t>
      </w:r>
      <w:r w:rsidRPr="00981F4A">
        <w:rPr>
          <w:rFonts w:ascii="Times New Roman" w:hAnsi="Times New Roman" w:cs="Times New Roman"/>
          <w:color w:val="222222"/>
          <w:sz w:val="24"/>
          <w:szCs w:val="24"/>
        </w:rPr>
        <w:t>con éxito la materialización del f</w:t>
      </w:r>
      <w:r>
        <w:rPr>
          <w:rFonts w:ascii="Times New Roman" w:hAnsi="Times New Roman" w:cs="Times New Roman"/>
          <w:color w:val="222222"/>
          <w:sz w:val="24"/>
          <w:szCs w:val="24"/>
        </w:rPr>
        <w:t xml:space="preserve">antasma nuclear. Está por verse </w:t>
      </w:r>
      <w:r w:rsidRPr="00981F4A">
        <w:rPr>
          <w:rFonts w:ascii="Times New Roman" w:hAnsi="Times New Roman" w:cs="Times New Roman"/>
          <w:color w:val="222222"/>
          <w:sz w:val="24"/>
          <w:szCs w:val="24"/>
        </w:rPr>
        <w:t>si esta interpretación descarnada de la pol</w:t>
      </w:r>
      <w:r>
        <w:rPr>
          <w:rFonts w:ascii="Times New Roman" w:hAnsi="Times New Roman" w:cs="Times New Roman"/>
          <w:color w:val="222222"/>
          <w:sz w:val="24"/>
          <w:szCs w:val="24"/>
        </w:rPr>
        <w:t xml:space="preserve">ítica del poder será igualmente acertada”… (Revista de Estudios Internacionales - Universidad de Chile -  </w:t>
      </w:r>
      <w:r w:rsidRPr="00981F4A">
        <w:rPr>
          <w:rFonts w:ascii="Times New Roman" w:hAnsi="Times New Roman" w:cs="Times New Roman"/>
          <w:color w:val="222222"/>
          <w:sz w:val="24"/>
          <w:szCs w:val="24"/>
        </w:rPr>
        <w:t>María José Henríquez Uzal</w:t>
      </w:r>
      <w:r w:rsidR="001A03D9">
        <w:rPr>
          <w:rFonts w:ascii="Times New Roman" w:hAnsi="Times New Roman" w:cs="Times New Roman"/>
          <w:color w:val="222222"/>
          <w:sz w:val="24"/>
          <w:szCs w:val="24"/>
        </w:rPr>
        <w:t>)</w:t>
      </w:r>
    </w:p>
    <w:p w:rsidR="001A03D9" w:rsidRDefault="001A03D9" w:rsidP="00981F4A">
      <w:pPr>
        <w:spacing w:before="100" w:beforeAutospacing="1" w:after="100" w:afterAutospacing="1" w:line="240" w:lineRule="auto"/>
        <w:jc w:val="both"/>
        <w:rPr>
          <w:rFonts w:ascii="Times New Roman" w:hAnsi="Times New Roman" w:cs="Times New Roman"/>
          <w:color w:val="222222"/>
          <w:sz w:val="24"/>
          <w:szCs w:val="24"/>
        </w:rPr>
      </w:pPr>
      <w:r w:rsidRPr="001A03D9">
        <w:rPr>
          <w:rFonts w:ascii="Times New Roman" w:hAnsi="Times New Roman" w:cs="Times New Roman"/>
          <w:color w:val="222222"/>
          <w:sz w:val="24"/>
          <w:szCs w:val="24"/>
        </w:rPr>
        <w:t>Timothy Garton Ash es un historiador, editorialista y periodista británico, autor de ocho libros como analista político,</w:t>
      </w:r>
      <w:r w:rsidR="00E85668">
        <w:rPr>
          <w:rFonts w:ascii="Times New Roman" w:hAnsi="Times New Roman" w:cs="Times New Roman"/>
          <w:color w:val="222222"/>
          <w:sz w:val="24"/>
          <w:szCs w:val="24"/>
        </w:rPr>
        <w:t xml:space="preserve"> en los que ha intentado documentar</w:t>
      </w:r>
      <w:r w:rsidRPr="001A03D9">
        <w:rPr>
          <w:rFonts w:ascii="Times New Roman" w:hAnsi="Times New Roman" w:cs="Times New Roman"/>
          <w:color w:val="222222"/>
          <w:sz w:val="24"/>
          <w:szCs w:val="24"/>
        </w:rPr>
        <w:t xml:space="preserve"> la transformación de Europa durante el último cuarto de siglo.</w:t>
      </w:r>
    </w:p>
    <w:p w:rsidR="0033285D" w:rsidRPr="001A03D9" w:rsidRDefault="00E85668" w:rsidP="0033285D">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Con respecto a la polémica suscitada por el libro de Robert Kagan, en un artículo titulado “</w:t>
      </w:r>
      <w:r w:rsidR="0033285D" w:rsidRPr="005C56C9">
        <w:rPr>
          <w:rFonts w:ascii="Times New Roman" w:hAnsi="Times New Roman"/>
          <w:color w:val="000000"/>
          <w:sz w:val="24"/>
          <w:szCs w:val="24"/>
          <w:u w:val="single"/>
        </w:rPr>
        <w:t>¿Son Estados Unidos de Marte y Europa de Venus</w:t>
      </w:r>
      <w:r w:rsidR="0033285D" w:rsidRPr="005C56C9">
        <w:rPr>
          <w:rFonts w:ascii="Times New Roman" w:hAnsi="Times New Roman"/>
          <w:color w:val="000000"/>
          <w:sz w:val="24"/>
          <w:szCs w:val="24"/>
        </w:rPr>
        <w:t>?</w:t>
      </w:r>
      <w:r>
        <w:rPr>
          <w:rFonts w:ascii="Times New Roman" w:hAnsi="Times New Roman"/>
          <w:color w:val="000000"/>
          <w:sz w:val="24"/>
          <w:szCs w:val="24"/>
        </w:rPr>
        <w:t>” (El País -</w:t>
      </w:r>
      <w:r w:rsidR="0033285D" w:rsidRPr="005C56C9">
        <w:rPr>
          <w:rFonts w:ascii="Times New Roman" w:hAnsi="Times New Roman"/>
          <w:color w:val="000000"/>
          <w:sz w:val="24"/>
          <w:szCs w:val="24"/>
        </w:rPr>
        <w:t xml:space="preserve"> </w:t>
      </w:r>
      <w:r w:rsidR="0033285D" w:rsidRPr="00E85668">
        <w:rPr>
          <w:rFonts w:ascii="Times New Roman" w:hAnsi="Times New Roman"/>
          <w:b/>
          <w:color w:val="000000"/>
          <w:sz w:val="24"/>
          <w:szCs w:val="24"/>
        </w:rPr>
        <w:t>23/2/03</w:t>
      </w:r>
      <w:r w:rsidR="0033285D" w:rsidRPr="005C56C9">
        <w:rPr>
          <w:rFonts w:ascii="Times New Roman" w:hAnsi="Times New Roman"/>
          <w:color w:val="000000"/>
          <w:sz w:val="24"/>
          <w:szCs w:val="24"/>
        </w:rPr>
        <w:t>)</w:t>
      </w:r>
      <w:r>
        <w:rPr>
          <w:rFonts w:ascii="Times New Roman" w:hAnsi="Times New Roman"/>
          <w:color w:val="000000"/>
          <w:sz w:val="24"/>
          <w:szCs w:val="24"/>
        </w:rPr>
        <w:t>, decía:</w:t>
      </w:r>
    </w:p>
    <w:p w:rsidR="0033285D" w:rsidRPr="005C56C9" w:rsidRDefault="009D6F98" w:rsidP="0033285D">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lastRenderedPageBreak/>
        <w:t>… “</w:t>
      </w:r>
      <w:r w:rsidR="0033285D" w:rsidRPr="005C56C9">
        <w:rPr>
          <w:rFonts w:ascii="Times New Roman" w:hAnsi="Times New Roman"/>
          <w:color w:val="000000"/>
          <w:sz w:val="24"/>
          <w:szCs w:val="24"/>
        </w:rPr>
        <w:t>Por lo que concierne a la imaginería sexual, Kagan parece haberse ofendido por un pasaje en el que, discutiend</w:t>
      </w:r>
      <w:r w:rsidR="00E85668">
        <w:rPr>
          <w:rFonts w:ascii="Times New Roman" w:hAnsi="Times New Roman"/>
          <w:color w:val="000000"/>
          <w:sz w:val="24"/>
          <w:szCs w:val="24"/>
        </w:rPr>
        <w:t>o los estereotipos mutuos de EE</w:t>
      </w:r>
      <w:r w:rsidR="0033285D" w:rsidRPr="005C56C9">
        <w:rPr>
          <w:rFonts w:ascii="Times New Roman" w:hAnsi="Times New Roman"/>
          <w:color w:val="000000"/>
          <w:sz w:val="24"/>
          <w:szCs w:val="24"/>
        </w:rPr>
        <w:t>UU frente a Europa (cowboys matones frente a mariquitas flácido</w:t>
      </w:r>
      <w:r w:rsidR="00E85668">
        <w:rPr>
          <w:rFonts w:ascii="Times New Roman" w:hAnsi="Times New Roman"/>
          <w:color w:val="000000"/>
          <w:sz w:val="24"/>
          <w:szCs w:val="24"/>
        </w:rPr>
        <w:t>s), incluyo su ya famosa frase “</w:t>
      </w:r>
      <w:r w:rsidR="0033285D" w:rsidRPr="005C56C9">
        <w:rPr>
          <w:rFonts w:ascii="Times New Roman" w:hAnsi="Times New Roman"/>
          <w:color w:val="000000"/>
          <w:sz w:val="24"/>
          <w:szCs w:val="24"/>
        </w:rPr>
        <w:t>los estadounidenses son d</w:t>
      </w:r>
      <w:r w:rsidR="00E85668">
        <w:rPr>
          <w:rFonts w:ascii="Times New Roman" w:hAnsi="Times New Roman"/>
          <w:color w:val="000000"/>
          <w:sz w:val="24"/>
          <w:szCs w:val="24"/>
        </w:rPr>
        <w:t>e Marte y los europeos de Venus” (como en (el libro)</w:t>
      </w:r>
      <w:r w:rsidR="0033285D" w:rsidRPr="005C56C9">
        <w:rPr>
          <w:rFonts w:ascii="Times New Roman" w:hAnsi="Times New Roman"/>
          <w:color w:val="000000"/>
          <w:sz w:val="24"/>
          <w:szCs w:val="24"/>
        </w:rPr>
        <w:t xml:space="preserve"> Los hombres son de Marte y las mujeres de Venus). O quizá le irritó descubrir que su trabajo se discutía bajo el titular El an</w:t>
      </w:r>
      <w:r w:rsidR="0033285D">
        <w:rPr>
          <w:rFonts w:ascii="Times New Roman" w:hAnsi="Times New Roman"/>
          <w:color w:val="000000"/>
          <w:sz w:val="24"/>
          <w:szCs w:val="24"/>
        </w:rPr>
        <w:t>tieuropeísmo en Estados Unidos.</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Por tanto, comencemos por una necesaria aclaración: Robert Kagan no es más antieuropeo de lo que yo soy antiestadounidense. En su brillante artículo de Policy Review, ahora desarrollado en un pequeño libro con el título Of paradise and power: America and Europe in the new world or</w:t>
      </w:r>
      <w:r w:rsidR="00E85668">
        <w:rPr>
          <w:rFonts w:ascii="Times New Roman" w:hAnsi="Times New Roman"/>
          <w:color w:val="000000"/>
          <w:sz w:val="24"/>
          <w:szCs w:val="24"/>
        </w:rPr>
        <w:t>der (Del paraíso y el poder: EE</w:t>
      </w:r>
      <w:r w:rsidRPr="005C56C9">
        <w:rPr>
          <w:rFonts w:ascii="Times New Roman" w:hAnsi="Times New Roman"/>
          <w:color w:val="000000"/>
          <w:sz w:val="24"/>
          <w:szCs w:val="24"/>
        </w:rPr>
        <w:t>UU y Europa en el nuevo orden mundial), ofrece una de las explicaciones más penetrantes, originales e influyentes de l</w:t>
      </w:r>
      <w:r w:rsidR="005B6C88">
        <w:rPr>
          <w:rFonts w:ascii="Times New Roman" w:hAnsi="Times New Roman"/>
          <w:color w:val="000000"/>
          <w:sz w:val="24"/>
          <w:szCs w:val="24"/>
        </w:rPr>
        <w:t>as relaciones entre Europa y EE</w:t>
      </w:r>
      <w:r w:rsidRPr="005C56C9">
        <w:rPr>
          <w:rFonts w:ascii="Times New Roman" w:hAnsi="Times New Roman"/>
          <w:color w:val="000000"/>
          <w:sz w:val="24"/>
          <w:szCs w:val="24"/>
        </w:rPr>
        <w:t>UU en los últimos años. No llega a estar escrito al estilo sensacionalista del Final de la historia, de Fukuyama, o el Choque de civilizaciones, de Huntington, ambos artículos de prensa convertidos más tarde en libros, pero discurre en esa dirección. Una razón de que haya tenido tal repercusión es su talento para la generalización descarad</w:t>
      </w:r>
      <w:r>
        <w:rPr>
          <w:rFonts w:ascii="Times New Roman" w:hAnsi="Times New Roman"/>
          <w:color w:val="000000"/>
          <w:sz w:val="24"/>
          <w:szCs w:val="24"/>
        </w:rPr>
        <w:t>a y la exageración provocativa.</w:t>
      </w:r>
    </w:p>
    <w:p w:rsidR="0033285D" w:rsidRPr="005C56C9" w:rsidRDefault="00E85668" w:rsidP="0033285D">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w:t>
      </w:r>
      <w:r w:rsidR="0033285D" w:rsidRPr="005C56C9">
        <w:rPr>
          <w:rFonts w:ascii="Times New Roman" w:hAnsi="Times New Roman"/>
          <w:color w:val="000000"/>
          <w:sz w:val="24"/>
          <w:szCs w:val="24"/>
        </w:rPr>
        <w:t>Es hora de dejar de fin</w:t>
      </w:r>
      <w:r>
        <w:rPr>
          <w:rFonts w:ascii="Times New Roman" w:hAnsi="Times New Roman"/>
          <w:color w:val="000000"/>
          <w:sz w:val="24"/>
          <w:szCs w:val="24"/>
        </w:rPr>
        <w:t>gir”</w:t>
      </w:r>
      <w:r w:rsidR="0033285D" w:rsidRPr="005C56C9">
        <w:rPr>
          <w:rFonts w:ascii="Times New Roman" w:hAnsi="Times New Roman"/>
          <w:color w:val="000000"/>
          <w:sz w:val="24"/>
          <w:szCs w:val="24"/>
        </w:rPr>
        <w:t>, comienza ta</w:t>
      </w:r>
      <w:r>
        <w:rPr>
          <w:rFonts w:ascii="Times New Roman" w:hAnsi="Times New Roman"/>
          <w:color w:val="000000"/>
          <w:sz w:val="24"/>
          <w:szCs w:val="24"/>
        </w:rPr>
        <w:t>nto el artículo como el libro, “</w:t>
      </w:r>
      <w:r w:rsidR="0033285D" w:rsidRPr="005C56C9">
        <w:rPr>
          <w:rFonts w:ascii="Times New Roman" w:hAnsi="Times New Roman"/>
          <w:color w:val="000000"/>
          <w:sz w:val="24"/>
          <w:szCs w:val="24"/>
        </w:rPr>
        <w:t>que los europeos y los estadounidenses comparten una visión común del mundo, o siq</w:t>
      </w:r>
      <w:r>
        <w:rPr>
          <w:rFonts w:ascii="Times New Roman" w:hAnsi="Times New Roman"/>
          <w:color w:val="000000"/>
          <w:sz w:val="24"/>
          <w:szCs w:val="24"/>
        </w:rPr>
        <w:t>uiera que ocupan el mismo mundo”</w:t>
      </w:r>
      <w:r w:rsidR="0033285D" w:rsidRPr="005C56C9">
        <w:rPr>
          <w:rFonts w:ascii="Times New Roman" w:hAnsi="Times New Roman"/>
          <w:color w:val="000000"/>
          <w:sz w:val="24"/>
          <w:szCs w:val="24"/>
        </w:rPr>
        <w:t>. Prosigue dibujan</w:t>
      </w:r>
      <w:r>
        <w:rPr>
          <w:rFonts w:ascii="Times New Roman" w:hAnsi="Times New Roman"/>
          <w:color w:val="000000"/>
          <w:sz w:val="24"/>
          <w:szCs w:val="24"/>
        </w:rPr>
        <w:t>do lo que él admite que es una “caricatura dual”</w:t>
      </w:r>
      <w:r w:rsidR="0033285D" w:rsidRPr="005C56C9">
        <w:rPr>
          <w:rFonts w:ascii="Times New Roman" w:hAnsi="Times New Roman"/>
          <w:color w:val="000000"/>
          <w:sz w:val="24"/>
          <w:szCs w:val="24"/>
        </w:rPr>
        <w:t xml:space="preserve"> de los europeos venusianos, creyentes en un mundo kantiano encerrado en sí mismo, de leyes y normas, y de negociación y cooperación transnacionales, y los estadounidenses marcianos y marciales, conocedores de que el decisivo uso nacional del poder militar es necesario en el mundo hobbesiano que va más allá del bonito y pequeño paraíso posmoderno europeo prot</w:t>
      </w:r>
      <w:r w:rsidR="009D6F98">
        <w:rPr>
          <w:rFonts w:ascii="Times New Roman" w:hAnsi="Times New Roman"/>
          <w:color w:val="000000"/>
          <w:sz w:val="24"/>
          <w:szCs w:val="24"/>
        </w:rPr>
        <w:t>egido por los estadounidenses. “</w:t>
      </w:r>
      <w:r w:rsidR="0033285D" w:rsidRPr="005C56C9">
        <w:rPr>
          <w:rFonts w:ascii="Times New Roman" w:hAnsi="Times New Roman"/>
          <w:color w:val="000000"/>
          <w:sz w:val="24"/>
          <w:szCs w:val="24"/>
        </w:rPr>
        <w:t>Las razones de la</w:t>
      </w:r>
      <w:r w:rsidR="009D6F98">
        <w:rPr>
          <w:rFonts w:ascii="Times New Roman" w:hAnsi="Times New Roman"/>
          <w:color w:val="000000"/>
          <w:sz w:val="24"/>
          <w:szCs w:val="24"/>
        </w:rPr>
        <w:t xml:space="preserve"> línea divisoria transatlántica”, escribe, “</w:t>
      </w:r>
      <w:r w:rsidR="0033285D" w:rsidRPr="005C56C9">
        <w:rPr>
          <w:rFonts w:ascii="Times New Roman" w:hAnsi="Times New Roman"/>
          <w:color w:val="000000"/>
          <w:sz w:val="24"/>
          <w:szCs w:val="24"/>
        </w:rPr>
        <w:t>son profundas, desarrolladas durante largo tiempo y con probabili</w:t>
      </w:r>
      <w:r w:rsidR="009D6F98">
        <w:rPr>
          <w:rFonts w:ascii="Times New Roman" w:hAnsi="Times New Roman"/>
          <w:color w:val="000000"/>
          <w:sz w:val="24"/>
          <w:szCs w:val="24"/>
        </w:rPr>
        <w:t>dad de perdurar”</w:t>
      </w:r>
      <w:r w:rsidR="0033285D" w:rsidRPr="005C56C9">
        <w:rPr>
          <w:rFonts w:ascii="Times New Roman" w:hAnsi="Times New Roman"/>
          <w:color w:val="000000"/>
          <w:sz w:val="24"/>
          <w:szCs w:val="24"/>
        </w:rPr>
        <w:t>. La actual controversia transatlántica sobre Irak, a la que se hace ahora más referencia en el libro, se ve como repre</w:t>
      </w:r>
      <w:r w:rsidR="0033285D">
        <w:rPr>
          <w:rFonts w:ascii="Times New Roman" w:hAnsi="Times New Roman"/>
          <w:color w:val="000000"/>
          <w:sz w:val="24"/>
          <w:szCs w:val="24"/>
        </w:rPr>
        <w:t>sentativa, incluso arquetípica.</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Kagan da tres razones de esta divergencia. La principal, a la que vuelve repetidamente, es la debilidad europea y el poder estadounidense (el artículo original se titulaba Poder y debilidad). Con esas expresiones quiere decir debilidad militar y poder militar. Apuntando al creciente abismo entre el gasto y la capacidad militares de estadounidenses y europeos, argumenta que cuando se es débil se tiende a favorecer la ley, la paz, la negociación, etcétera, y a no ver la n</w:t>
      </w:r>
      <w:r w:rsidR="009D6F98">
        <w:rPr>
          <w:rFonts w:ascii="Times New Roman" w:hAnsi="Times New Roman"/>
          <w:color w:val="000000"/>
          <w:sz w:val="24"/>
          <w:szCs w:val="24"/>
        </w:rPr>
        <w:t>ecesidad del uso de la fuerza: “</w:t>
      </w:r>
      <w:r w:rsidRPr="005C56C9">
        <w:rPr>
          <w:rFonts w:ascii="Times New Roman" w:hAnsi="Times New Roman"/>
          <w:color w:val="000000"/>
          <w:sz w:val="24"/>
          <w:szCs w:val="24"/>
        </w:rPr>
        <w:t>Cuando no se tiene un martillo, no se desea</w:t>
      </w:r>
      <w:r w:rsidR="009D6F98">
        <w:rPr>
          <w:rFonts w:ascii="Times New Roman" w:hAnsi="Times New Roman"/>
          <w:color w:val="000000"/>
          <w:sz w:val="24"/>
          <w:szCs w:val="24"/>
        </w:rPr>
        <w:t xml:space="preserve"> que nada se parezca a un clavo”</w:t>
      </w:r>
      <w:r w:rsidRPr="005C56C9">
        <w:rPr>
          <w:rFonts w:ascii="Times New Roman" w:hAnsi="Times New Roman"/>
          <w:color w:val="000000"/>
          <w:sz w:val="24"/>
          <w:szCs w:val="24"/>
        </w:rPr>
        <w:t>. Ni siquiera el Irak de Sadam. En un símil muy gráfico, escribe que un hombre que camina por un bosque armado sólo con un cuchillo tendrá una respuesta distinta frente a un oso que está merodeando que un hombre armado con un rifle.</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 xml:space="preserve">Su segunda razón es que la historia ha conducido a los europeos a una ideología diferente. Nosotros, humillados y conmocionados por nuestro propio pasado sangriento, damos una importancia mucho mayor a la paz como valor en sí mismo. Aspiramos, junto a Immanuel Kant, a un mundo de paz perpetua. Querríamos que otros imitaran nuestro modelo europeo de integración internacional. Preferiríamos no oír los rugidos de la jungla que hay fuera. Hay una cierta tensión entre estas dos explicaciones: ¿a los europeos no les gusta la guerra porque no tienen suficientes armas o no tienen suficientes armas porque no les gusta la guerra? En general, Kagan se inclina por la primera, una visión filosóficamente materialista: el ser determina la conciencia. Pero </w:t>
      </w:r>
      <w:r w:rsidRPr="005C56C9">
        <w:rPr>
          <w:rFonts w:ascii="Times New Roman" w:hAnsi="Times New Roman"/>
          <w:color w:val="000000"/>
          <w:sz w:val="24"/>
          <w:szCs w:val="24"/>
        </w:rPr>
        <w:lastRenderedPageBreak/>
        <w:t>también tiene en cuenta una influencia en el otro sentido. Finalmente, atribuye algunas de las diferencias al hecho de que, desde el final de la guerra fría, los europeos</w:t>
      </w:r>
      <w:r w:rsidR="009D6F98">
        <w:rPr>
          <w:rFonts w:ascii="Times New Roman" w:hAnsi="Times New Roman"/>
          <w:color w:val="000000"/>
          <w:sz w:val="24"/>
          <w:szCs w:val="24"/>
        </w:rPr>
        <w:t xml:space="preserve"> han estado intentando definir “Europa”</w:t>
      </w:r>
      <w:r w:rsidRPr="005C56C9">
        <w:rPr>
          <w:rFonts w:ascii="Times New Roman" w:hAnsi="Times New Roman"/>
          <w:color w:val="000000"/>
          <w:sz w:val="24"/>
          <w:szCs w:val="24"/>
        </w:rPr>
        <w:t xml:space="preserve"> como algo aparte de Estados Unidos, en vez de buscar una d</w:t>
      </w:r>
      <w:r w:rsidR="009D6F98">
        <w:rPr>
          <w:rFonts w:ascii="Times New Roman" w:hAnsi="Times New Roman"/>
          <w:color w:val="000000"/>
          <w:sz w:val="24"/>
          <w:szCs w:val="24"/>
        </w:rPr>
        <w:t>efinición común de “Occidente”</w:t>
      </w:r>
      <w:r>
        <w:rPr>
          <w:rFonts w:ascii="Times New Roman" w:hAnsi="Times New Roman"/>
          <w:color w:val="000000"/>
          <w:sz w:val="24"/>
          <w:szCs w:val="24"/>
        </w:rPr>
        <w:t>.</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 xml:space="preserve">Éste es un argumento inteligente e informado, y hay bastante miga en él. Kagan tiene razón en desdeñar las pretensiones europeas de ser una potencia mundial, sin el peso militar, o debería haber recalcado esto más un organismo de política exterior que lo ejerza. Cita al ministro de Asuntos Exteriores belga cuando dijo, en diciembre de 2001, </w:t>
      </w:r>
      <w:r w:rsidR="009D6F98">
        <w:rPr>
          <w:rFonts w:ascii="Times New Roman" w:hAnsi="Times New Roman"/>
          <w:color w:val="000000"/>
          <w:sz w:val="24"/>
          <w:szCs w:val="24"/>
        </w:rPr>
        <w:t>que la fuerza militar de la UE “</w:t>
      </w:r>
      <w:r w:rsidRPr="005C56C9">
        <w:rPr>
          <w:rFonts w:ascii="Times New Roman" w:hAnsi="Times New Roman"/>
          <w:color w:val="000000"/>
          <w:sz w:val="24"/>
          <w:szCs w:val="24"/>
        </w:rPr>
        <w:t>debería declararse operativa sin que dicha declaració</w:t>
      </w:r>
      <w:r w:rsidR="009D6F98">
        <w:rPr>
          <w:rFonts w:ascii="Times New Roman" w:hAnsi="Times New Roman"/>
          <w:color w:val="000000"/>
          <w:sz w:val="24"/>
          <w:szCs w:val="24"/>
        </w:rPr>
        <w:t>n se base en una capacidad real”</w:t>
      </w:r>
      <w:r w:rsidRPr="005C56C9">
        <w:rPr>
          <w:rFonts w:ascii="Times New Roman" w:hAnsi="Times New Roman"/>
          <w:color w:val="000000"/>
          <w:sz w:val="24"/>
          <w:szCs w:val="24"/>
        </w:rPr>
        <w:t>. Me gustaría saber exactamente la procedencia de esta cita; a diferencia de la mayoría de las citas directas de la versión en libro, carece de fuente, pero si es cierta, es memorable. No hemos avanzado mucho en los 10 años transcurridos desde que el luxemburgués Jacques Poos pronunciara, sobre una Bosnia en proceso de desintegración,</w:t>
      </w:r>
      <w:r w:rsidR="009D6F98">
        <w:rPr>
          <w:rFonts w:ascii="Times New Roman" w:hAnsi="Times New Roman"/>
          <w:color w:val="000000"/>
          <w:sz w:val="24"/>
          <w:szCs w:val="24"/>
        </w:rPr>
        <w:t xml:space="preserve"> su frase igualmente ridícula: “</w:t>
      </w:r>
      <w:r w:rsidRPr="005C56C9">
        <w:rPr>
          <w:rFonts w:ascii="Times New Roman" w:hAnsi="Times New Roman"/>
          <w:color w:val="000000"/>
          <w:sz w:val="24"/>
          <w:szCs w:val="24"/>
        </w:rPr>
        <w:t>Ha llegado la hora de Eur</w:t>
      </w:r>
      <w:r w:rsidR="009D6F98">
        <w:rPr>
          <w:rFonts w:ascii="Times New Roman" w:hAnsi="Times New Roman"/>
          <w:color w:val="000000"/>
          <w:sz w:val="24"/>
          <w:szCs w:val="24"/>
        </w:rPr>
        <w:t>opa”</w:t>
      </w:r>
      <w:r>
        <w:rPr>
          <w:rFonts w:ascii="Times New Roman" w:hAnsi="Times New Roman"/>
          <w:color w:val="000000"/>
          <w:sz w:val="24"/>
          <w:szCs w:val="24"/>
        </w:rPr>
        <w:t>.</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Kagan también tiene razón al recordarnos hasta qué punto el milagro europeo que comenzó con la reconciliación franco-alemana dependía, en realidad, del pacificador externo estadouni</w:t>
      </w:r>
      <w:r w:rsidR="009D6F98">
        <w:rPr>
          <w:rFonts w:ascii="Times New Roman" w:hAnsi="Times New Roman"/>
          <w:color w:val="000000"/>
          <w:sz w:val="24"/>
          <w:szCs w:val="24"/>
        </w:rPr>
        <w:t>dense. Incluso (hoy, 2003) insinúa, EEUU está “</w:t>
      </w:r>
      <w:r w:rsidRPr="005C56C9">
        <w:rPr>
          <w:rFonts w:ascii="Times New Roman" w:hAnsi="Times New Roman"/>
          <w:color w:val="000000"/>
          <w:sz w:val="24"/>
          <w:szCs w:val="24"/>
        </w:rPr>
        <w:t>guarneciendo los muros</w:t>
      </w:r>
      <w:r w:rsidR="009D6F98">
        <w:rPr>
          <w:rFonts w:ascii="Times New Roman" w:hAnsi="Times New Roman"/>
          <w:color w:val="000000"/>
          <w:sz w:val="24"/>
          <w:szCs w:val="24"/>
        </w:rPr>
        <w:t xml:space="preserve"> del orden posmoderno de Europa”</w:t>
      </w:r>
      <w:r w:rsidRPr="005C56C9">
        <w:rPr>
          <w:rFonts w:ascii="Times New Roman" w:hAnsi="Times New Roman"/>
          <w:color w:val="000000"/>
          <w:sz w:val="24"/>
          <w:szCs w:val="24"/>
        </w:rPr>
        <w:t>. De modo que, empleando la famosa frase de Kipling, los europeos nos burlamos de los uniformes que</w:t>
      </w:r>
      <w:r>
        <w:rPr>
          <w:rFonts w:ascii="Times New Roman" w:hAnsi="Times New Roman"/>
          <w:color w:val="000000"/>
          <w:sz w:val="24"/>
          <w:szCs w:val="24"/>
        </w:rPr>
        <w:t xml:space="preserve"> nos guardan mientras dormimos.</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 xml:space="preserve">Su remedio, en la medida en que lo tiene, es doble. En primer lugar, </w:t>
      </w:r>
      <w:r w:rsidR="009D6F98">
        <w:rPr>
          <w:rFonts w:ascii="Times New Roman" w:hAnsi="Times New Roman"/>
          <w:color w:val="000000"/>
          <w:sz w:val="24"/>
          <w:szCs w:val="24"/>
        </w:rPr>
        <w:t>Europa debería dejar de ser un “pigmeo militar”</w:t>
      </w:r>
      <w:r w:rsidRPr="005C56C9">
        <w:rPr>
          <w:rFonts w:ascii="Times New Roman" w:hAnsi="Times New Roman"/>
          <w:color w:val="000000"/>
          <w:sz w:val="24"/>
          <w:szCs w:val="24"/>
        </w:rPr>
        <w:t xml:space="preserve"> (la descripción procede de George Robertson, secretario general de la OTAN, nada menos). Eso significa que todos nosotros, pero Alemania especialmente, gastemos más en defensa y unamos nuestros ejércitos. En segundo lugar, deberíamos seguir el consejo de Robert Cooper y reconocer que, más allá de nuestro mundo posmoderno de la UE, hay un mundo moderno y un mundo premoderno ahí fuera. Podemos ser kantianos en nuestro pueblo, pero debemos ser hobbesianos en la jungla que nos rodea. Sadam Husein se rige por la ley de la jungla; por tanto, debemos amenazarle con lanzas. Las dos partes del remedio están obviamente relacionadas. Como el hombre del bosque, una vez que se tiene el rifle, se puede empezar a cazar el oso, y si se quiere cazar el oso, </w:t>
      </w:r>
      <w:r>
        <w:rPr>
          <w:rFonts w:ascii="Times New Roman" w:hAnsi="Times New Roman"/>
          <w:color w:val="000000"/>
          <w:sz w:val="24"/>
          <w:szCs w:val="24"/>
        </w:rPr>
        <w:t>habrá que ir a buscar un rifle.</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 xml:space="preserve">Hay, no obstante, algunos problemas evidentes con la tesis de Kagan. Una es ésta: si Europa no existe como un único y serio actor de política exterior, entonces ¿cómo demonios se puede generalizar sobre ella? Por ejemplo, Bélgica y Luxemburgo no son, desde luego, marcianos o marciales, usando los términos de Kagan, pero el Reino Unido y Francia sí lo son. Como reconoce en dos apartes ligeramente embarazosos, fue la Gran Bretaña de Blair la que presionó, </w:t>
      </w:r>
      <w:r w:rsidR="009D6F98">
        <w:rPr>
          <w:rFonts w:ascii="Times New Roman" w:hAnsi="Times New Roman"/>
          <w:color w:val="000000"/>
          <w:sz w:val="24"/>
          <w:szCs w:val="24"/>
        </w:rPr>
        <w:t>contra la resistencia de los EE</w:t>
      </w:r>
      <w:r w:rsidRPr="005C56C9">
        <w:rPr>
          <w:rFonts w:ascii="Times New Roman" w:hAnsi="Times New Roman"/>
          <w:color w:val="000000"/>
          <w:sz w:val="24"/>
          <w:szCs w:val="24"/>
        </w:rPr>
        <w:t xml:space="preserve">UU de Clinton, a favor del despliegue de tropas sobre el terreno en Kosovo. Eso en un momento en que los marciales estadounidenses seguían insistiendo en bombardear desde 15.000 pies de altura por si acaso uno de sus pilotos guerreros se quemaba el dedo meñique. Durante tres décadas, desde el final de la guerra de Vietnam hasta el 11 de septiembre de 2001, el Reino Unido y Francia estuvieron más </w:t>
      </w:r>
      <w:r w:rsidR="00B12533" w:rsidRPr="005C56C9">
        <w:rPr>
          <w:rFonts w:ascii="Times New Roman" w:hAnsi="Times New Roman"/>
          <w:color w:val="000000"/>
          <w:sz w:val="24"/>
          <w:szCs w:val="24"/>
        </w:rPr>
        <w:t>dispuestos</w:t>
      </w:r>
      <w:r w:rsidRPr="005C56C9">
        <w:rPr>
          <w:rFonts w:ascii="Times New Roman" w:hAnsi="Times New Roman"/>
          <w:color w:val="000000"/>
          <w:sz w:val="24"/>
          <w:szCs w:val="24"/>
        </w:rPr>
        <w:t xml:space="preserve"> a soportar bajas militares en el</w:t>
      </w:r>
      <w:r>
        <w:rPr>
          <w:rFonts w:ascii="Times New Roman" w:hAnsi="Times New Roman"/>
          <w:color w:val="000000"/>
          <w:sz w:val="24"/>
          <w:szCs w:val="24"/>
        </w:rPr>
        <w:t xml:space="preserve"> extranjero que Estados Unidos.</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Además, la reciente controversia sobre la guerra de Irak ha demostrado que no es precisamente un</w:t>
      </w:r>
      <w:r w:rsidR="00B12533">
        <w:rPr>
          <w:rFonts w:ascii="Times New Roman" w:hAnsi="Times New Roman"/>
          <w:color w:val="000000"/>
          <w:sz w:val="24"/>
          <w:szCs w:val="24"/>
        </w:rPr>
        <w:t>a simple línea divisoria entre “Europa” y “Estados Unidos”</w:t>
      </w:r>
      <w:r w:rsidRPr="005C56C9">
        <w:rPr>
          <w:rFonts w:ascii="Times New Roman" w:hAnsi="Times New Roman"/>
          <w:color w:val="000000"/>
          <w:sz w:val="24"/>
          <w:szCs w:val="24"/>
        </w:rPr>
        <w:t xml:space="preserve">. La opinión </w:t>
      </w:r>
      <w:r w:rsidRPr="005C56C9">
        <w:rPr>
          <w:rFonts w:ascii="Times New Roman" w:hAnsi="Times New Roman"/>
          <w:color w:val="000000"/>
          <w:sz w:val="24"/>
          <w:szCs w:val="24"/>
        </w:rPr>
        <w:lastRenderedPageBreak/>
        <w:t>pública estadounidense está desgarrada y los europeos están divididos. El comentario de Kagan en Washington Post fue suscitado por la pub</w:t>
      </w:r>
      <w:r w:rsidR="00B12533">
        <w:rPr>
          <w:rFonts w:ascii="Times New Roman" w:hAnsi="Times New Roman"/>
          <w:color w:val="000000"/>
          <w:sz w:val="24"/>
          <w:szCs w:val="24"/>
        </w:rPr>
        <w:t>licación de un artículo de una “banda de los ocho”</w:t>
      </w:r>
      <w:r w:rsidRPr="005C56C9">
        <w:rPr>
          <w:rFonts w:ascii="Times New Roman" w:hAnsi="Times New Roman"/>
          <w:color w:val="000000"/>
          <w:sz w:val="24"/>
          <w:szCs w:val="24"/>
        </w:rPr>
        <w:t xml:space="preserve"> europea en el que reafirmaban la solidaridad transatlántica contra Sadam como una reprimenda al eje francoalemán. L</w:t>
      </w:r>
      <w:r w:rsidR="00B12533">
        <w:rPr>
          <w:rFonts w:ascii="Times New Roman" w:hAnsi="Times New Roman"/>
          <w:color w:val="000000"/>
          <w:sz w:val="24"/>
          <w:szCs w:val="24"/>
        </w:rPr>
        <w:t>a “banda de los ocho”</w:t>
      </w:r>
      <w:r w:rsidRPr="005C56C9">
        <w:rPr>
          <w:rFonts w:ascii="Times New Roman" w:hAnsi="Times New Roman"/>
          <w:color w:val="000000"/>
          <w:sz w:val="24"/>
          <w:szCs w:val="24"/>
        </w:rPr>
        <w:t xml:space="preserve"> incluía a los primeros ministros del Reino Unido, España, Italia y Polonia, es decir, los cuatro países más importantes de Europa después de Francia y Alemania; así como Václav Havel, el todavía presidente de la República Checa y una de las mayores autoridades morales de Europa, y los líderes de Portugal, Dinamarca y Hungría. (Posteriormente se unió Eslovaquia, para convertirse en nueve). En su com</w:t>
      </w:r>
      <w:r w:rsidR="00B12533">
        <w:rPr>
          <w:rFonts w:ascii="Times New Roman" w:hAnsi="Times New Roman"/>
          <w:color w:val="000000"/>
          <w:sz w:val="24"/>
          <w:szCs w:val="24"/>
        </w:rPr>
        <w:t>entario, Kagan se alegraba del “</w:t>
      </w:r>
      <w:r w:rsidRPr="005C56C9">
        <w:rPr>
          <w:rFonts w:ascii="Times New Roman" w:hAnsi="Times New Roman"/>
          <w:color w:val="000000"/>
          <w:sz w:val="24"/>
          <w:szCs w:val="24"/>
        </w:rPr>
        <w:t>coraj</w:t>
      </w:r>
      <w:r w:rsidR="00B12533">
        <w:rPr>
          <w:rFonts w:ascii="Times New Roman" w:hAnsi="Times New Roman"/>
          <w:color w:val="000000"/>
          <w:sz w:val="24"/>
          <w:szCs w:val="24"/>
        </w:rPr>
        <w:t>e político y moral sin parangón”</w:t>
      </w:r>
      <w:r w:rsidRPr="005C56C9">
        <w:rPr>
          <w:rFonts w:ascii="Times New Roman" w:hAnsi="Times New Roman"/>
          <w:color w:val="000000"/>
          <w:sz w:val="24"/>
          <w:szCs w:val="24"/>
        </w:rPr>
        <w:t xml:space="preserve"> de estos líderes de lo que Donald Ru</w:t>
      </w:r>
      <w:r w:rsidR="00B12533">
        <w:rPr>
          <w:rFonts w:ascii="Times New Roman" w:hAnsi="Times New Roman"/>
          <w:color w:val="000000"/>
          <w:sz w:val="24"/>
          <w:szCs w:val="24"/>
        </w:rPr>
        <w:t>msfeld memorablemente llamó la “nueva Europa”, ya que rendían tributo a “</w:t>
      </w:r>
      <w:r w:rsidRPr="005C56C9">
        <w:rPr>
          <w:rFonts w:ascii="Times New Roman" w:hAnsi="Times New Roman"/>
          <w:color w:val="000000"/>
          <w:sz w:val="24"/>
          <w:szCs w:val="24"/>
        </w:rPr>
        <w:t>la valentía, la generosidad y la v</w:t>
      </w:r>
      <w:r w:rsidR="00B12533">
        <w:rPr>
          <w:rFonts w:ascii="Times New Roman" w:hAnsi="Times New Roman"/>
          <w:color w:val="000000"/>
          <w:sz w:val="24"/>
          <w:szCs w:val="24"/>
        </w:rPr>
        <w:t>isión de futuro estadounidenses”</w:t>
      </w:r>
      <w:r w:rsidRPr="005C56C9">
        <w:rPr>
          <w:rFonts w:ascii="Times New Roman" w:hAnsi="Times New Roman"/>
          <w:color w:val="000000"/>
          <w:sz w:val="24"/>
          <w:szCs w:val="24"/>
        </w:rPr>
        <w:t>, contra la tendencia enfebrecida del antiamericanismo europeo. Per</w:t>
      </w:r>
      <w:r w:rsidR="00B12533">
        <w:rPr>
          <w:rFonts w:ascii="Times New Roman" w:hAnsi="Times New Roman"/>
          <w:color w:val="000000"/>
          <w:sz w:val="24"/>
          <w:szCs w:val="24"/>
        </w:rPr>
        <w:t>o también podía haber escrito: “</w:t>
      </w:r>
      <w:r w:rsidRPr="005C56C9">
        <w:rPr>
          <w:rFonts w:ascii="Times New Roman" w:hAnsi="Times New Roman"/>
          <w:color w:val="000000"/>
          <w:sz w:val="24"/>
          <w:szCs w:val="24"/>
        </w:rPr>
        <w:t>¡Vaya!, ¿cómo demonios encaja esto en mi tesis? Si, como sostengo, Europa es tan absolutamente venusiana, ¿cómo es que una parte tan gr</w:t>
      </w:r>
      <w:r w:rsidR="00B12533">
        <w:rPr>
          <w:rFonts w:ascii="Times New Roman" w:hAnsi="Times New Roman"/>
          <w:color w:val="000000"/>
          <w:sz w:val="24"/>
          <w:szCs w:val="24"/>
        </w:rPr>
        <w:t>ande de ella aplaude a Marte?”</w:t>
      </w:r>
      <w:r>
        <w:rPr>
          <w:rFonts w:ascii="Times New Roman" w:hAnsi="Times New Roman"/>
          <w:color w:val="000000"/>
          <w:sz w:val="24"/>
          <w:szCs w:val="24"/>
        </w:rPr>
        <w:t>.</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Si yo quisiera ser polémico, diría: ¿dónde ha estado viviendo Robert Kagan todos estos años? La respuesta, tal como yo la entiendo, es Bruselas, o entre Bruselas y Washington. Y eso puede ser parte del problema. Sentado en Bruselas, escuchando tanta noble eurorretórica acompañada de tan pocas acciones militares o diplomáticas eficaces, uno podría fácilmente pensar como él. Pero en la Europa extendida de 25 Estados miembros a partir de 2004, una ampliación que apenas figura en su informe, el balance de actitudes será distinto. Es cierto que hay mucho antiamericanismo por todas partes, particularm</w:t>
      </w:r>
      <w:r w:rsidR="00B12533">
        <w:rPr>
          <w:rFonts w:ascii="Times New Roman" w:hAnsi="Times New Roman"/>
          <w:color w:val="000000"/>
          <w:sz w:val="24"/>
          <w:szCs w:val="24"/>
        </w:rPr>
        <w:t>ente en lo que Rumsfeld llamó “la vieja Europa”</w:t>
      </w:r>
      <w:r w:rsidRPr="005C56C9">
        <w:rPr>
          <w:rFonts w:ascii="Times New Roman" w:hAnsi="Times New Roman"/>
          <w:color w:val="000000"/>
          <w:sz w:val="24"/>
          <w:szCs w:val="24"/>
        </w:rPr>
        <w:t>: Francia, Alemania, Luxemburgo y Bélgica. Hay también mucho escepticismo razonable y moderado acerca de la política de Bush sobre Irak. Y luego hay una gran circunscripción electoral de americanizados y atlantistas, especialmente en las nuevas democracia</w:t>
      </w:r>
      <w:r>
        <w:rPr>
          <w:rFonts w:ascii="Times New Roman" w:hAnsi="Times New Roman"/>
          <w:color w:val="000000"/>
          <w:sz w:val="24"/>
          <w:szCs w:val="24"/>
        </w:rPr>
        <w:t>s de Europa Central y del Este.</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En resumen, el verdadero distintivo de Europa no es la debilidad, sino la diversidad. Es la pura diversidad de Estados, naciones y opiniones, tanto como la reticencia popular a gastar en defensa, y más que cualquier kantismo programático, la principal razón de la debilidad de Europa en política exterior y de seguridad. Si tan sólo fuéramos capaces de poner en común y redirigir lo que ya gastamos en defensa, tendríamos una formidable fuerza expedicionaria europea para mandar a Irak, o a donde quisiéramos mandarla. Pero no lo haremos, porque los franceses siempre serán franceses, los alemanes serán alemanes, los británicos serán británicos y los belg</w:t>
      </w:r>
      <w:r>
        <w:rPr>
          <w:rFonts w:ascii="Times New Roman" w:hAnsi="Times New Roman"/>
          <w:color w:val="000000"/>
          <w:sz w:val="24"/>
          <w:szCs w:val="24"/>
        </w:rPr>
        <w:t>as serán belgas.</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Otro problema que tiene el libro de Kagan es su énfasis casi exclusivo en el poder militar, sin prestar atención a las otras dos dimensiones principales del poder: la fuerza económica y el magnetismo cultural y social (el poder blando). Tiene razón al recordar a los europeos que el poder militar a la vieja usanza todavía cuenta: el continente posmoderno no vive en un mundo posmoderno. Pero descarta radicalmente el poder económico y blando de Europa. En un reciente viaje a Estados Unidos descubrí que aquello por lo que está más preocupada la mayoría de la gente no es la guerra contra Irak, sino la mala situación de la economía estadounidense. Por cierto, hay aquí una interdependencia de doble sentido -Europa no puede ser ec</w:t>
      </w:r>
      <w:r w:rsidR="005B6C88">
        <w:rPr>
          <w:rFonts w:ascii="Times New Roman" w:hAnsi="Times New Roman"/>
          <w:color w:val="000000"/>
          <w:sz w:val="24"/>
          <w:szCs w:val="24"/>
        </w:rPr>
        <w:t>onómicamente fuerte mientras EE</w:t>
      </w:r>
      <w:r w:rsidRPr="005C56C9">
        <w:rPr>
          <w:rFonts w:ascii="Times New Roman" w:hAnsi="Times New Roman"/>
          <w:color w:val="000000"/>
          <w:sz w:val="24"/>
          <w:szCs w:val="24"/>
        </w:rPr>
        <w:t xml:space="preserve">UU sea económicamente débil, y viceversa-, mientras que en la dimensión militar hay una dependencia unidireccional de Europa respecto de Estados Unidos. Y sí, la complacencia con el Estado del bienestar, las diferencias nacionales, el exceso de </w:t>
      </w:r>
      <w:r w:rsidRPr="005C56C9">
        <w:rPr>
          <w:rFonts w:ascii="Times New Roman" w:hAnsi="Times New Roman"/>
          <w:color w:val="000000"/>
          <w:sz w:val="24"/>
          <w:szCs w:val="24"/>
        </w:rPr>
        <w:lastRenderedPageBreak/>
        <w:t>reglamentación, el corporativismo, las poblaciones envejecidas y nuestra incompetencia moral para alentar la necesaria inmigración son todas fuentes en potencia de debilidad económica europea. Pero la llegada de los tigres eslavos dará a Europa un estímulo. La economía europea ya es aproximadamente del mismo tamaño que la estadounidense. Europa está crecie</w:t>
      </w:r>
      <w:r w:rsidR="005B6C88">
        <w:rPr>
          <w:rFonts w:ascii="Times New Roman" w:hAnsi="Times New Roman"/>
          <w:color w:val="000000"/>
          <w:sz w:val="24"/>
          <w:szCs w:val="24"/>
        </w:rPr>
        <w:t>ndo también de una forma que EE</w:t>
      </w:r>
      <w:r w:rsidRPr="005C56C9">
        <w:rPr>
          <w:rFonts w:ascii="Times New Roman" w:hAnsi="Times New Roman"/>
          <w:color w:val="000000"/>
          <w:sz w:val="24"/>
          <w:szCs w:val="24"/>
        </w:rPr>
        <w:t>UU no puede. Su poder blando continuado se demuestra por el hecho de que no sólo millones de personas, sino también Estados enteros, quieren entrar</w:t>
      </w:r>
      <w:r>
        <w:rPr>
          <w:rFonts w:ascii="Times New Roman" w:hAnsi="Times New Roman"/>
          <w:color w:val="000000"/>
          <w:sz w:val="24"/>
          <w:szCs w:val="24"/>
        </w:rPr>
        <w:t xml:space="preserve"> en ella. Turquía, por ejemplo</w:t>
      </w:r>
      <w:r w:rsidR="00B12533">
        <w:rPr>
          <w:rFonts w:ascii="Times New Roman" w:hAnsi="Times New Roman"/>
          <w:color w:val="000000"/>
          <w:sz w:val="24"/>
          <w:szCs w:val="24"/>
        </w:rPr>
        <w:t>..</w:t>
      </w:r>
      <w:r>
        <w:rPr>
          <w:rFonts w:ascii="Times New Roman" w:hAnsi="Times New Roman"/>
          <w:color w:val="000000"/>
          <w:sz w:val="24"/>
          <w:szCs w:val="24"/>
        </w:rPr>
        <w:t>.</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 xml:space="preserve">El propio Kagan concluye de manera conciliadora. A diferencia de otro especialista en política exterior estadounidense, Charles A. </w:t>
      </w:r>
      <w:r w:rsidR="00B12533">
        <w:rPr>
          <w:rFonts w:ascii="Times New Roman" w:hAnsi="Times New Roman"/>
          <w:color w:val="000000"/>
          <w:sz w:val="24"/>
          <w:szCs w:val="24"/>
        </w:rPr>
        <w:t>Kupchan, insiste en que no hay “choque de civilizaciones” entre Europa y EE</w:t>
      </w:r>
      <w:r w:rsidRPr="005C56C9">
        <w:rPr>
          <w:rFonts w:ascii="Times New Roman" w:hAnsi="Times New Roman"/>
          <w:color w:val="000000"/>
          <w:sz w:val="24"/>
          <w:szCs w:val="24"/>
        </w:rPr>
        <w:t>UU. Europa debería robustecer su poder militar y estar preparada para utilizarlo un poco más duramente e</w:t>
      </w:r>
      <w:r w:rsidR="00B12533">
        <w:rPr>
          <w:rFonts w:ascii="Times New Roman" w:hAnsi="Times New Roman"/>
          <w:color w:val="000000"/>
          <w:sz w:val="24"/>
          <w:szCs w:val="24"/>
        </w:rPr>
        <w:t>n la jungla que hay fuera, y EE</w:t>
      </w:r>
      <w:r w:rsidRPr="005C56C9">
        <w:rPr>
          <w:rFonts w:ascii="Times New Roman" w:hAnsi="Times New Roman"/>
          <w:color w:val="000000"/>
          <w:sz w:val="24"/>
          <w:szCs w:val="24"/>
        </w:rPr>
        <w:t>UU, afirma en la última página, debería manifestar un poco más de lo que los</w:t>
      </w:r>
      <w:r w:rsidR="00B12533">
        <w:rPr>
          <w:rFonts w:ascii="Times New Roman" w:hAnsi="Times New Roman"/>
          <w:color w:val="000000"/>
          <w:sz w:val="24"/>
          <w:szCs w:val="24"/>
        </w:rPr>
        <w:t xml:space="preserve"> padres fundadores denominaron “</w:t>
      </w:r>
      <w:r w:rsidRPr="005C56C9">
        <w:rPr>
          <w:rFonts w:ascii="Times New Roman" w:hAnsi="Times New Roman"/>
          <w:color w:val="000000"/>
          <w:sz w:val="24"/>
          <w:szCs w:val="24"/>
        </w:rPr>
        <w:t>un respeto decoroso</w:t>
      </w:r>
      <w:r w:rsidR="00B12533">
        <w:rPr>
          <w:rFonts w:ascii="Times New Roman" w:hAnsi="Times New Roman"/>
          <w:color w:val="000000"/>
          <w:sz w:val="24"/>
          <w:szCs w:val="24"/>
        </w:rPr>
        <w:t xml:space="preserve"> por la opinión de la humanidad”</w:t>
      </w:r>
      <w:r w:rsidRPr="005C56C9">
        <w:rPr>
          <w:rFonts w:ascii="Times New Roman" w:hAnsi="Times New Roman"/>
          <w:color w:val="000000"/>
          <w:sz w:val="24"/>
          <w:szCs w:val="24"/>
        </w:rPr>
        <w:t>. Estados Unidos necesita</w:t>
      </w:r>
      <w:r w:rsidR="00B12533">
        <w:rPr>
          <w:rFonts w:ascii="Times New Roman" w:hAnsi="Times New Roman"/>
          <w:color w:val="000000"/>
          <w:sz w:val="24"/>
          <w:szCs w:val="24"/>
        </w:rPr>
        <w:t xml:space="preserve"> a Europa, Europa necesita a EE</w:t>
      </w:r>
      <w:r w:rsidRPr="005C56C9">
        <w:rPr>
          <w:rFonts w:ascii="Times New Roman" w:hAnsi="Times New Roman"/>
          <w:color w:val="000000"/>
          <w:sz w:val="24"/>
          <w:szCs w:val="24"/>
        </w:rPr>
        <w:t>UU, y ambos compartimos los valores comunes de Occidente. Estoy de acuerdo. Su libro es un importante desafío para los europeos, especialmente, para que sea así. Pero eso no es lo que decía en la primera página, que es que los europeos y los estadounidenses ni siquiera ocupan el mismo mundo. Y por eso, no por su conclusión conciliadora, es por lo que se le está citando tanto. Con una amplia circulaci</w:t>
      </w:r>
      <w:r w:rsidR="00B12533">
        <w:rPr>
          <w:rFonts w:ascii="Times New Roman" w:hAnsi="Times New Roman"/>
          <w:color w:val="000000"/>
          <w:sz w:val="24"/>
          <w:szCs w:val="24"/>
        </w:rPr>
        <w:t>ón, esa es la “tesis de Kagan”</w:t>
      </w:r>
      <w:r>
        <w:rPr>
          <w:rFonts w:ascii="Times New Roman" w:hAnsi="Times New Roman"/>
          <w:color w:val="000000"/>
          <w:sz w:val="24"/>
          <w:szCs w:val="24"/>
        </w:rPr>
        <w:t>.</w:t>
      </w:r>
    </w:p>
    <w:p w:rsidR="0033285D" w:rsidRPr="005C56C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Por supuesto, esto es lo que tiende a ocurrir con esos artículos de opinión convertidos en libros que tratan grandes temas. Al igual que en el pasado teníamos marxismo vulgar, ahora tenemos fukuyamismo vulgar, huntingtonismo vulgar, y pronto tendremos kaganismo vulgar. Francis Fukuyama puede seguir insistiendo hasta que la cara se le ponga morada en que él se refería a la Historia, no a la historia, per</w:t>
      </w:r>
      <w:r w:rsidR="00B12533">
        <w:rPr>
          <w:rFonts w:ascii="Times New Roman" w:hAnsi="Times New Roman"/>
          <w:color w:val="000000"/>
          <w:sz w:val="24"/>
          <w:szCs w:val="24"/>
        </w:rPr>
        <w:t>o la gente seguirá bramando: “</w:t>
      </w:r>
      <w:r w:rsidRPr="005C56C9">
        <w:rPr>
          <w:rFonts w:ascii="Times New Roman" w:hAnsi="Times New Roman"/>
          <w:color w:val="000000"/>
          <w:sz w:val="24"/>
          <w:szCs w:val="24"/>
        </w:rPr>
        <w:t>¡Qué va</w:t>
      </w:r>
      <w:r w:rsidR="00B12533">
        <w:rPr>
          <w:rFonts w:ascii="Times New Roman" w:hAnsi="Times New Roman"/>
          <w:color w:val="000000"/>
          <w:sz w:val="24"/>
          <w:szCs w:val="24"/>
        </w:rPr>
        <w:t xml:space="preserve"> a ser el final de la historia!”</w:t>
      </w:r>
      <w:r w:rsidRPr="005C56C9">
        <w:rPr>
          <w:rFonts w:ascii="Times New Roman" w:hAnsi="Times New Roman"/>
          <w:color w:val="000000"/>
          <w:sz w:val="24"/>
          <w:szCs w:val="24"/>
        </w:rPr>
        <w:t>. Sin embargo, el autor es hasta cierto punto cómplice, ayudado e instigado por los redactores y editores, de hacer una descarada exageración para captar la atención sobre sus tesis... y vender. La ley hobbesiana de la jungla intelectual nos conduce, quizá a veces en contra de nuestro mejor criterio, a convertirnos en lo que Jakob Burkhardt llamó</w:t>
      </w:r>
      <w:r>
        <w:rPr>
          <w:rFonts w:ascii="Times New Roman" w:hAnsi="Times New Roman"/>
          <w:color w:val="000000"/>
          <w:sz w:val="24"/>
          <w:szCs w:val="24"/>
        </w:rPr>
        <w:t xml:space="preserve"> los terribles simplificateurs.</w:t>
      </w:r>
    </w:p>
    <w:p w:rsidR="0033285D" w:rsidRPr="00724B09" w:rsidRDefault="0033285D" w:rsidP="0033285D">
      <w:pPr>
        <w:spacing w:before="100" w:beforeAutospacing="1" w:after="100" w:afterAutospacing="1" w:line="240" w:lineRule="auto"/>
        <w:jc w:val="both"/>
        <w:rPr>
          <w:rFonts w:ascii="Times New Roman" w:hAnsi="Times New Roman"/>
          <w:color w:val="000000"/>
          <w:sz w:val="24"/>
          <w:szCs w:val="24"/>
        </w:rPr>
      </w:pPr>
      <w:r w:rsidRPr="005C56C9">
        <w:rPr>
          <w:rFonts w:ascii="Times New Roman" w:hAnsi="Times New Roman"/>
          <w:color w:val="000000"/>
          <w:sz w:val="24"/>
          <w:szCs w:val="24"/>
        </w:rPr>
        <w:t xml:space="preserve">El peligro real ahora es que el kaganismo vulgar se haga popular a ambos lados del </w:t>
      </w:r>
      <w:r w:rsidR="00AD27F4">
        <w:rPr>
          <w:rFonts w:ascii="Times New Roman" w:hAnsi="Times New Roman"/>
          <w:color w:val="000000"/>
          <w:sz w:val="24"/>
          <w:szCs w:val="24"/>
        </w:rPr>
        <w:t>Atlántico porque la gente en EE</w:t>
      </w:r>
      <w:r w:rsidRPr="005C56C9">
        <w:rPr>
          <w:rFonts w:ascii="Times New Roman" w:hAnsi="Times New Roman"/>
          <w:color w:val="000000"/>
          <w:sz w:val="24"/>
          <w:szCs w:val="24"/>
        </w:rPr>
        <w:t>UU y Europa,</w:t>
      </w:r>
      <w:r w:rsidR="00AD27F4">
        <w:rPr>
          <w:rFonts w:ascii="Times New Roman" w:hAnsi="Times New Roman"/>
          <w:color w:val="000000"/>
          <w:sz w:val="24"/>
          <w:szCs w:val="24"/>
        </w:rPr>
        <w:t xml:space="preserve"> o bien simplemente crea en la “caricatura dual”</w:t>
      </w:r>
      <w:r w:rsidRPr="005C56C9">
        <w:rPr>
          <w:rFonts w:ascii="Times New Roman" w:hAnsi="Times New Roman"/>
          <w:color w:val="000000"/>
          <w:sz w:val="24"/>
          <w:szCs w:val="24"/>
        </w:rPr>
        <w:t xml:space="preserve"> de Kagan, o, y creo que esto está ocurriendo, esté buscando activamente modos de expresar y resaltar la diferencia transatlántica. Kagan podría producir el efecto contrario al que claramente pretende producir. Su conclusión sólo demostrará estar en lo cierto si los estadounidenses y los europeos coinciden </w:t>
      </w:r>
      <w:r w:rsidRPr="00724B09">
        <w:rPr>
          <w:rFonts w:ascii="Times New Roman" w:hAnsi="Times New Roman"/>
          <w:color w:val="000000"/>
          <w:sz w:val="24"/>
          <w:szCs w:val="24"/>
        </w:rPr>
        <w:t>en que su comienzo está equivocado</w:t>
      </w:r>
      <w:r w:rsidR="00AD27F4">
        <w:rPr>
          <w:rFonts w:ascii="Times New Roman" w:hAnsi="Times New Roman"/>
          <w:color w:val="000000"/>
          <w:sz w:val="24"/>
          <w:szCs w:val="24"/>
        </w:rPr>
        <w:t>”</w:t>
      </w:r>
      <w:r w:rsidRPr="00724B09">
        <w:rPr>
          <w:rFonts w:ascii="Times New Roman" w:hAnsi="Times New Roman"/>
          <w:color w:val="000000"/>
          <w:sz w:val="24"/>
          <w:szCs w:val="24"/>
        </w:rPr>
        <w:t>.</w:t>
      </w:r>
    </w:p>
    <w:p w:rsidR="0033285D" w:rsidRPr="005C56C9" w:rsidRDefault="00AD27F4" w:rsidP="0033285D">
      <w:pPr>
        <w:spacing w:before="100" w:beforeAutospacing="1" w:after="100" w:afterAutospacing="1" w:line="240" w:lineRule="auto"/>
        <w:rPr>
          <w:rFonts w:ascii="Times New Roman" w:hAnsi="Times New Roman"/>
          <w:color w:val="000000"/>
          <w:sz w:val="24"/>
          <w:szCs w:val="24"/>
        </w:rPr>
      </w:pPr>
      <w:r>
        <w:rPr>
          <w:rFonts w:ascii="Times New Roman" w:hAnsi="Times New Roman"/>
          <w:color w:val="000000"/>
          <w:sz w:val="24"/>
          <w:szCs w:val="24"/>
          <w:u w:val="single"/>
        </w:rPr>
        <w:t>“</w:t>
      </w:r>
      <w:r w:rsidR="0033285D" w:rsidRPr="00724B09">
        <w:rPr>
          <w:rFonts w:ascii="Times New Roman" w:hAnsi="Times New Roman"/>
          <w:color w:val="000000"/>
          <w:sz w:val="24"/>
          <w:szCs w:val="24"/>
          <w:u w:val="single"/>
        </w:rPr>
        <w:t>Choque de civili</w:t>
      </w:r>
      <w:r>
        <w:rPr>
          <w:rFonts w:ascii="Times New Roman" w:hAnsi="Times New Roman"/>
          <w:color w:val="000000"/>
          <w:sz w:val="24"/>
          <w:szCs w:val="24"/>
          <w:u w:val="single"/>
        </w:rPr>
        <w:t>zaciones” dentro del</w:t>
      </w:r>
      <w:r w:rsidR="005B6C88">
        <w:rPr>
          <w:rFonts w:ascii="Times New Roman" w:hAnsi="Times New Roman"/>
          <w:color w:val="000000"/>
          <w:sz w:val="24"/>
          <w:szCs w:val="24"/>
          <w:u w:val="single"/>
        </w:rPr>
        <w:t xml:space="preserve"> seno de la UE (</w:t>
      </w:r>
      <w:r w:rsidR="00C70D04">
        <w:rPr>
          <w:rFonts w:ascii="Times New Roman" w:hAnsi="Times New Roman"/>
          <w:color w:val="000000"/>
          <w:sz w:val="24"/>
          <w:szCs w:val="24"/>
          <w:u w:val="single"/>
        </w:rPr>
        <w:t xml:space="preserve">y </w:t>
      </w:r>
      <w:r w:rsidR="005B6C88">
        <w:rPr>
          <w:rFonts w:ascii="Times New Roman" w:hAnsi="Times New Roman"/>
          <w:color w:val="000000"/>
          <w:sz w:val="24"/>
          <w:szCs w:val="24"/>
          <w:u w:val="single"/>
        </w:rPr>
        <w:t xml:space="preserve">Kagan nos vuelve a </w:t>
      </w:r>
      <w:r w:rsidR="00F83104">
        <w:rPr>
          <w:rFonts w:ascii="Times New Roman" w:hAnsi="Times New Roman"/>
          <w:color w:val="000000"/>
          <w:sz w:val="24"/>
          <w:szCs w:val="24"/>
          <w:u w:val="single"/>
        </w:rPr>
        <w:t>“</w:t>
      </w:r>
      <w:r w:rsidR="005B6C88">
        <w:rPr>
          <w:rFonts w:ascii="Times New Roman" w:hAnsi="Times New Roman"/>
          <w:color w:val="000000"/>
          <w:sz w:val="24"/>
          <w:szCs w:val="24"/>
          <w:u w:val="single"/>
        </w:rPr>
        <w:t>cagar</w:t>
      </w:r>
      <w:r w:rsidR="00F83104">
        <w:rPr>
          <w:rFonts w:ascii="Times New Roman" w:hAnsi="Times New Roman"/>
          <w:color w:val="000000"/>
          <w:sz w:val="24"/>
          <w:szCs w:val="24"/>
          <w:u w:val="single"/>
        </w:rPr>
        <w:t>”</w:t>
      </w:r>
      <w:r w:rsidR="005B6C88">
        <w:rPr>
          <w:rFonts w:ascii="Times New Roman" w:hAnsi="Times New Roman"/>
          <w:color w:val="000000"/>
          <w:sz w:val="24"/>
          <w:szCs w:val="24"/>
          <w:u w:val="single"/>
        </w:rPr>
        <w:t>)</w:t>
      </w:r>
    </w:p>
    <w:p w:rsidR="001A03D9" w:rsidRPr="00AD27F4" w:rsidRDefault="001A03D9" w:rsidP="0033285D">
      <w:pPr>
        <w:spacing w:before="100" w:beforeAutospacing="1" w:after="100" w:afterAutospacing="1" w:line="240" w:lineRule="auto"/>
        <w:jc w:val="both"/>
        <w:rPr>
          <w:rFonts w:ascii="Times New Roman" w:hAnsi="Times New Roman"/>
          <w:sz w:val="24"/>
          <w:szCs w:val="24"/>
        </w:rPr>
      </w:pPr>
      <w:r w:rsidRPr="00AD27F4">
        <w:rPr>
          <w:rFonts w:ascii="Times New Roman" w:hAnsi="Times New Roman"/>
          <w:sz w:val="24"/>
          <w:szCs w:val="24"/>
        </w:rPr>
        <w:t>El mismo Robert Kagan “cierra el círculo”</w:t>
      </w:r>
      <w:r w:rsidR="00AD27F4" w:rsidRPr="00AD27F4">
        <w:rPr>
          <w:rFonts w:ascii="Times New Roman" w:hAnsi="Times New Roman"/>
          <w:sz w:val="24"/>
          <w:szCs w:val="24"/>
        </w:rPr>
        <w:t xml:space="preserve"> de las </w:t>
      </w:r>
      <w:r w:rsidR="009D6F98" w:rsidRPr="00AD27F4">
        <w:rPr>
          <w:rFonts w:ascii="Times New Roman" w:hAnsi="Times New Roman"/>
          <w:sz w:val="24"/>
          <w:szCs w:val="24"/>
        </w:rPr>
        <w:t>mutuas desconfi</w:t>
      </w:r>
      <w:r w:rsidR="00C45AA4">
        <w:rPr>
          <w:rFonts w:ascii="Times New Roman" w:hAnsi="Times New Roman"/>
          <w:sz w:val="24"/>
          <w:szCs w:val="24"/>
        </w:rPr>
        <w:t>anzas</w:t>
      </w:r>
      <w:r w:rsidR="00893128">
        <w:rPr>
          <w:rFonts w:ascii="Times New Roman" w:hAnsi="Times New Roman"/>
          <w:sz w:val="24"/>
          <w:szCs w:val="24"/>
        </w:rPr>
        <w:t xml:space="preserve"> (Reino Unido, Alemania, Francia…)</w:t>
      </w:r>
      <w:r w:rsidR="00C45AA4">
        <w:rPr>
          <w:rFonts w:ascii="Times New Roman" w:hAnsi="Times New Roman"/>
          <w:sz w:val="24"/>
          <w:szCs w:val="24"/>
        </w:rPr>
        <w:t xml:space="preserve"> e histerias megalómanas</w:t>
      </w:r>
      <w:r w:rsidR="00893128">
        <w:rPr>
          <w:rFonts w:ascii="Times New Roman" w:hAnsi="Times New Roman"/>
          <w:sz w:val="24"/>
          <w:szCs w:val="24"/>
        </w:rPr>
        <w:t xml:space="preserve"> (</w:t>
      </w:r>
      <w:r w:rsidR="00893128" w:rsidRPr="00893128">
        <w:rPr>
          <w:rFonts w:ascii="Times New Roman" w:hAnsi="Times New Roman"/>
          <w:sz w:val="24"/>
          <w:szCs w:val="24"/>
        </w:rPr>
        <w:t>oh-la-la-g</w:t>
      </w:r>
      <w:r w:rsidR="00893128">
        <w:rPr>
          <w:rFonts w:ascii="Times New Roman" w:hAnsi="Times New Roman"/>
          <w:sz w:val="24"/>
          <w:szCs w:val="24"/>
        </w:rPr>
        <w:t>randeur-de-la-F</w:t>
      </w:r>
      <w:r w:rsidR="00893128" w:rsidRPr="00893128">
        <w:rPr>
          <w:rFonts w:ascii="Times New Roman" w:hAnsi="Times New Roman"/>
          <w:sz w:val="24"/>
          <w:szCs w:val="24"/>
        </w:rPr>
        <w:t>rance</w:t>
      </w:r>
      <w:r w:rsidR="00893128">
        <w:rPr>
          <w:rFonts w:ascii="Times New Roman" w:hAnsi="Times New Roman"/>
          <w:sz w:val="24"/>
          <w:szCs w:val="24"/>
        </w:rPr>
        <w:t>)</w:t>
      </w:r>
      <w:r w:rsidR="00C45AA4">
        <w:rPr>
          <w:rFonts w:ascii="Times New Roman" w:hAnsi="Times New Roman"/>
          <w:sz w:val="24"/>
          <w:szCs w:val="24"/>
        </w:rPr>
        <w:t xml:space="preserve">, dentro de la </w:t>
      </w:r>
      <w:r w:rsidR="00AD27F4" w:rsidRPr="00AD27F4">
        <w:rPr>
          <w:rFonts w:ascii="Times New Roman" w:hAnsi="Times New Roman"/>
          <w:sz w:val="24"/>
          <w:szCs w:val="24"/>
        </w:rPr>
        <w:t xml:space="preserve">Unión Europea (a veces no hay peor astilla que la del mismo palo). </w:t>
      </w:r>
      <w:r w:rsidR="00AD27F4">
        <w:rPr>
          <w:rFonts w:ascii="Times New Roman" w:hAnsi="Times New Roman"/>
          <w:sz w:val="24"/>
          <w:szCs w:val="24"/>
        </w:rPr>
        <w:t>En un artículo “riza el rizo”</w:t>
      </w:r>
      <w:r w:rsidR="00893128">
        <w:rPr>
          <w:rFonts w:ascii="Times New Roman" w:hAnsi="Times New Roman"/>
          <w:sz w:val="24"/>
          <w:szCs w:val="24"/>
        </w:rPr>
        <w:t xml:space="preserve"> sobre la Europa de los “mercaderes”</w:t>
      </w:r>
      <w:r w:rsidR="009319E7">
        <w:rPr>
          <w:rFonts w:ascii="Times New Roman" w:hAnsi="Times New Roman"/>
          <w:sz w:val="24"/>
          <w:szCs w:val="24"/>
        </w:rPr>
        <w:t xml:space="preserve"> (los países </w:t>
      </w:r>
      <w:r w:rsidR="009319E7" w:rsidRPr="009319E7">
        <w:rPr>
          <w:rFonts w:ascii="Times New Roman" w:hAnsi="Times New Roman"/>
          <w:sz w:val="24"/>
          <w:szCs w:val="24"/>
        </w:rPr>
        <w:t>no tiene</w:t>
      </w:r>
      <w:r w:rsidR="009319E7">
        <w:rPr>
          <w:rFonts w:ascii="Times New Roman" w:hAnsi="Times New Roman"/>
          <w:sz w:val="24"/>
          <w:szCs w:val="24"/>
        </w:rPr>
        <w:t>n</w:t>
      </w:r>
      <w:r w:rsidR="009319E7" w:rsidRPr="009319E7">
        <w:rPr>
          <w:rFonts w:ascii="Times New Roman" w:hAnsi="Times New Roman"/>
          <w:sz w:val="24"/>
          <w:szCs w:val="24"/>
        </w:rPr>
        <w:t xml:space="preserve"> amigos, sino intereses</w:t>
      </w:r>
      <w:r w:rsidR="009319E7">
        <w:rPr>
          <w:rFonts w:ascii="Times New Roman" w:hAnsi="Times New Roman"/>
          <w:sz w:val="24"/>
          <w:szCs w:val="24"/>
        </w:rPr>
        <w:t>).</w:t>
      </w:r>
    </w:p>
    <w:p w:rsidR="001A03D9" w:rsidRPr="009D137C" w:rsidRDefault="00C45AA4" w:rsidP="001A03D9">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w:t>
      </w:r>
      <w:r w:rsidR="001A03D9" w:rsidRPr="009D137C">
        <w:rPr>
          <w:rFonts w:ascii="Times New Roman" w:hAnsi="Times New Roman" w:cs="Times New Roman"/>
          <w:color w:val="222222"/>
          <w:sz w:val="24"/>
          <w:szCs w:val="24"/>
        </w:rPr>
        <w:t xml:space="preserve">La moderna cultura europea representa un rechazo consciente del pasado europeo, un rechazo de los males de la machtpolitik europea. Es un reflejo del ardiente y </w:t>
      </w:r>
      <w:r w:rsidR="001A03D9" w:rsidRPr="009D137C">
        <w:rPr>
          <w:rFonts w:ascii="Times New Roman" w:hAnsi="Times New Roman" w:cs="Times New Roman"/>
          <w:color w:val="222222"/>
          <w:sz w:val="24"/>
          <w:szCs w:val="24"/>
        </w:rPr>
        <w:lastRenderedPageBreak/>
        <w:t xml:space="preserve">comprensible deseo de los europeos de no regresar nunca a ese pasado. ¿Quién mejor que los europeos sabe de los peligros que se derivan de una ilimitada política de fuerza, de una excesiva </w:t>
      </w:r>
      <w:r w:rsidR="001A03D9">
        <w:rPr>
          <w:rFonts w:ascii="Times New Roman" w:hAnsi="Times New Roman" w:cs="Times New Roman"/>
          <w:color w:val="222222"/>
          <w:sz w:val="24"/>
          <w:szCs w:val="24"/>
        </w:rPr>
        <w:t>confianza en el poderío militar</w:t>
      </w:r>
      <w:r w:rsidR="001A03D9" w:rsidRPr="009D137C">
        <w:rPr>
          <w:rFonts w:ascii="Times New Roman" w:hAnsi="Times New Roman" w:cs="Times New Roman"/>
          <w:color w:val="222222"/>
          <w:sz w:val="24"/>
          <w:szCs w:val="24"/>
        </w:rPr>
        <w:t xml:space="preserve"> y, de las  políticas generadas por el </w:t>
      </w:r>
      <w:r w:rsidRPr="009D137C">
        <w:rPr>
          <w:rFonts w:ascii="Times New Roman" w:hAnsi="Times New Roman" w:cs="Times New Roman"/>
          <w:color w:val="222222"/>
          <w:sz w:val="24"/>
          <w:szCs w:val="24"/>
        </w:rPr>
        <w:t>egoísmo</w:t>
      </w:r>
      <w:r w:rsidR="001A03D9" w:rsidRPr="009D137C">
        <w:rPr>
          <w:rFonts w:ascii="Times New Roman" w:hAnsi="Times New Roman" w:cs="Times New Roman"/>
          <w:color w:val="222222"/>
          <w:sz w:val="24"/>
          <w:szCs w:val="24"/>
        </w:rPr>
        <w:t xml:space="preserve"> nacional y la ambición, incluyendo el balance del poder y la raison d’état? Como dijera el ministro de Relaciones Exteriores de Alemania Joschka Fischer en un discurso donde esbozaba su visión del futuro de Europa en la Universidad Humboldt en Berlín (</w:t>
      </w:r>
      <w:r>
        <w:rPr>
          <w:rFonts w:ascii="Times New Roman" w:hAnsi="Times New Roman" w:cs="Times New Roman"/>
          <w:color w:val="222222"/>
          <w:sz w:val="24"/>
          <w:szCs w:val="24"/>
        </w:rPr>
        <w:t>12/5/</w:t>
      </w:r>
      <w:r w:rsidR="00BB6E6A">
        <w:rPr>
          <w:rFonts w:ascii="Times New Roman" w:hAnsi="Times New Roman" w:cs="Times New Roman"/>
          <w:color w:val="222222"/>
          <w:sz w:val="24"/>
          <w:szCs w:val="24"/>
        </w:rPr>
        <w:t>2000):</w:t>
      </w:r>
      <w:r w:rsidR="001A03D9" w:rsidRPr="009D137C">
        <w:rPr>
          <w:rFonts w:ascii="Times New Roman" w:hAnsi="Times New Roman" w:cs="Times New Roman"/>
          <w:color w:val="222222"/>
          <w:sz w:val="24"/>
          <w:szCs w:val="24"/>
        </w:rPr>
        <w:t xml:space="preserve"> “El centro del concepto de Europa después de 1945 ha sido y sigue siendo un rechazo del principio europeo del balance del poder y de las  ambiciones hegemónicas de estados individuales que emergieron tr</w:t>
      </w:r>
      <w:r>
        <w:rPr>
          <w:rFonts w:ascii="Times New Roman" w:hAnsi="Times New Roman" w:cs="Times New Roman"/>
          <w:color w:val="222222"/>
          <w:sz w:val="24"/>
          <w:szCs w:val="24"/>
        </w:rPr>
        <w:t>as la Paz de Westfalia en 1648”.</w:t>
      </w:r>
      <w:r w:rsidR="001A03D9" w:rsidRPr="009D137C">
        <w:rPr>
          <w:rFonts w:ascii="Times New Roman" w:hAnsi="Times New Roman" w:cs="Times New Roman"/>
          <w:color w:val="222222"/>
          <w:sz w:val="24"/>
          <w:szCs w:val="24"/>
        </w:rPr>
        <w:t xml:space="preserve"> La Unión Europea es en </w:t>
      </w:r>
      <w:r w:rsidRPr="009D137C">
        <w:rPr>
          <w:rFonts w:ascii="Times New Roman" w:hAnsi="Times New Roman" w:cs="Times New Roman"/>
          <w:color w:val="222222"/>
          <w:sz w:val="24"/>
          <w:szCs w:val="24"/>
        </w:rPr>
        <w:t>sí</w:t>
      </w:r>
      <w:r w:rsidR="001A03D9" w:rsidRPr="009D137C">
        <w:rPr>
          <w:rFonts w:ascii="Times New Roman" w:hAnsi="Times New Roman" w:cs="Times New Roman"/>
          <w:color w:val="222222"/>
          <w:sz w:val="24"/>
          <w:szCs w:val="24"/>
        </w:rPr>
        <w:t xml:space="preserve"> misma el producto de un terrible siglo de guerras europeas.</w:t>
      </w:r>
      <w:r>
        <w:rPr>
          <w:rFonts w:ascii="Times New Roman" w:hAnsi="Times New Roman" w:cs="Times New Roman"/>
          <w:color w:val="222222"/>
          <w:sz w:val="24"/>
          <w:szCs w:val="24"/>
        </w:rPr>
        <w:t xml:space="preserve">  </w:t>
      </w:r>
    </w:p>
    <w:p w:rsidR="001A03D9" w:rsidRPr="009D137C" w:rsidRDefault="001A03D9" w:rsidP="001A03D9">
      <w:pPr>
        <w:spacing w:before="100" w:beforeAutospacing="1" w:after="100" w:afterAutospacing="1" w:line="240" w:lineRule="auto"/>
        <w:jc w:val="both"/>
        <w:rPr>
          <w:rFonts w:ascii="Times New Roman" w:hAnsi="Times New Roman" w:cs="Times New Roman"/>
          <w:color w:val="222222"/>
          <w:sz w:val="24"/>
          <w:szCs w:val="24"/>
        </w:rPr>
      </w:pPr>
      <w:r w:rsidRPr="009D137C">
        <w:rPr>
          <w:rFonts w:ascii="Times New Roman" w:hAnsi="Times New Roman" w:cs="Times New Roman"/>
          <w:color w:val="222222"/>
          <w:sz w:val="24"/>
          <w:szCs w:val="24"/>
        </w:rPr>
        <w:t xml:space="preserve">Por supuesto, fueron las “ambiciones hegemónicas” de una nación en particular lo que la integración europea ha querido contener. Y la integración y la domesticación de Alemania es la mayor conquista de Europa. Visto históricamente, quizás sea la mayor hazaña de la política internacional que se haya conseguido nunca. Algunos europeos recuerdan, al igual que Fischer, el papel central jugado por Estados Unidos en la solución del  “problema alemán.” A pocos les gusta reconocer que la destrucción de la Alemania nazi fue el prerrequisito de la paz europea que vino después. La mayoría de los europeos cree que fue la transformación de la política europea, el deliberado rechazo y la renuncia a siglos de machtpolitik, lo  que hizo posible el “nuevo orden.” Los europeos, que inventaron la política de fuerza, han vuelto a nacer como idealistas por un acto de voluntad, dejando atrás lo que Fischer llamó “el viejo sistema de balance con su </w:t>
      </w:r>
      <w:r w:rsidR="00C45AA4" w:rsidRPr="009D137C">
        <w:rPr>
          <w:rFonts w:ascii="Times New Roman" w:hAnsi="Times New Roman" w:cs="Times New Roman"/>
          <w:color w:val="222222"/>
          <w:sz w:val="24"/>
          <w:szCs w:val="24"/>
        </w:rPr>
        <w:t>continua</w:t>
      </w:r>
      <w:r w:rsidRPr="009D137C">
        <w:rPr>
          <w:rFonts w:ascii="Times New Roman" w:hAnsi="Times New Roman" w:cs="Times New Roman"/>
          <w:color w:val="222222"/>
          <w:sz w:val="24"/>
          <w:szCs w:val="24"/>
        </w:rPr>
        <w:t xml:space="preserve"> orientación nacional, sus limitaciones de coalición, su tradición de política de intereses y el permanente peligro de ideologías nacionalistas y de confrontaciones.”</w:t>
      </w:r>
    </w:p>
    <w:p w:rsidR="001A03D9" w:rsidRPr="009D137C" w:rsidRDefault="001A03D9" w:rsidP="001A03D9">
      <w:pPr>
        <w:spacing w:before="100" w:beforeAutospacing="1" w:after="100" w:afterAutospacing="1" w:line="240" w:lineRule="auto"/>
        <w:jc w:val="both"/>
        <w:rPr>
          <w:rFonts w:ascii="Times New Roman" w:hAnsi="Times New Roman" w:cs="Times New Roman"/>
          <w:color w:val="222222"/>
          <w:sz w:val="24"/>
          <w:szCs w:val="24"/>
        </w:rPr>
      </w:pPr>
      <w:r w:rsidRPr="009D137C">
        <w:rPr>
          <w:rFonts w:ascii="Times New Roman" w:hAnsi="Times New Roman" w:cs="Times New Roman"/>
          <w:color w:val="222222"/>
          <w:sz w:val="24"/>
          <w:szCs w:val="24"/>
        </w:rPr>
        <w:t>Fischer está cerca de un extremo del espectro del idealismo europeo.  Pero esto no es realmente un tema derecha-izquierda en Europa. La p</w:t>
      </w:r>
      <w:r w:rsidR="00C45AA4">
        <w:rPr>
          <w:rFonts w:ascii="Times New Roman" w:hAnsi="Times New Roman" w:cs="Times New Roman"/>
          <w:color w:val="222222"/>
          <w:sz w:val="24"/>
          <w:szCs w:val="24"/>
        </w:rPr>
        <w:t>rincipal alegación de Fischer -</w:t>
      </w:r>
      <w:r w:rsidRPr="009D137C">
        <w:rPr>
          <w:rFonts w:ascii="Times New Roman" w:hAnsi="Times New Roman" w:cs="Times New Roman"/>
          <w:color w:val="222222"/>
          <w:sz w:val="24"/>
          <w:szCs w:val="24"/>
        </w:rPr>
        <w:t xml:space="preserve">que Europa se ha movido más allá del viejo sistema de la política del poder y ha descubierto un nuevo sistema para </w:t>
      </w:r>
      <w:r w:rsidR="00C45AA4" w:rsidRPr="009D137C">
        <w:rPr>
          <w:rFonts w:ascii="Times New Roman" w:hAnsi="Times New Roman" w:cs="Times New Roman"/>
          <w:color w:val="222222"/>
          <w:sz w:val="24"/>
          <w:szCs w:val="24"/>
        </w:rPr>
        <w:t>preservar</w:t>
      </w:r>
      <w:r w:rsidRPr="009D137C">
        <w:rPr>
          <w:rFonts w:ascii="Times New Roman" w:hAnsi="Times New Roman" w:cs="Times New Roman"/>
          <w:color w:val="222222"/>
          <w:sz w:val="24"/>
          <w:szCs w:val="24"/>
        </w:rPr>
        <w:t xml:space="preserve"> la paz en </w:t>
      </w:r>
      <w:r w:rsidR="00C45AA4">
        <w:rPr>
          <w:rFonts w:ascii="Times New Roman" w:hAnsi="Times New Roman" w:cs="Times New Roman"/>
          <w:color w:val="222222"/>
          <w:sz w:val="24"/>
          <w:szCs w:val="24"/>
        </w:rPr>
        <w:t>las relaciones internacionales-</w:t>
      </w:r>
      <w:r w:rsidRPr="009D137C">
        <w:rPr>
          <w:rFonts w:ascii="Times New Roman" w:hAnsi="Times New Roman" w:cs="Times New Roman"/>
          <w:color w:val="222222"/>
          <w:sz w:val="24"/>
          <w:szCs w:val="24"/>
        </w:rPr>
        <w:t xml:space="preserve"> es ampliamente compartida en toda Europa. Como escribiera recientemente el veterano diplomático británico Robert </w:t>
      </w:r>
      <w:r w:rsidR="00443BB5">
        <w:rPr>
          <w:rFonts w:ascii="Times New Roman" w:hAnsi="Times New Roman" w:cs="Times New Roman"/>
          <w:color w:val="222222"/>
          <w:sz w:val="24"/>
          <w:szCs w:val="24"/>
        </w:rPr>
        <w:t>Cooper en el Observer (7/4/</w:t>
      </w:r>
      <w:r w:rsidRPr="009D137C">
        <w:rPr>
          <w:rFonts w:ascii="Times New Roman" w:hAnsi="Times New Roman" w:cs="Times New Roman"/>
          <w:color w:val="222222"/>
          <w:sz w:val="24"/>
          <w:szCs w:val="24"/>
        </w:rPr>
        <w:t xml:space="preserve">2002), la Europa de hoy vive en un “sistema postmoderno” que no descansa sobre el balance del poder sino en “el rechazo de la fuerza” y en “normas de comportamiento auto-impuestas.” En el “mundo postmoderno,” escribe Cooper, “raison d’état y la amoralidad de las teorías sobre </w:t>
      </w:r>
      <w:r w:rsidR="00443BB5">
        <w:rPr>
          <w:rFonts w:ascii="Times New Roman" w:hAnsi="Times New Roman" w:cs="Times New Roman"/>
          <w:color w:val="222222"/>
          <w:sz w:val="24"/>
          <w:szCs w:val="24"/>
        </w:rPr>
        <w:t xml:space="preserve">el gobierno de Maquiavelo… </w:t>
      </w:r>
      <w:r w:rsidRPr="009D137C">
        <w:rPr>
          <w:rFonts w:ascii="Times New Roman" w:hAnsi="Times New Roman" w:cs="Times New Roman"/>
          <w:color w:val="222222"/>
          <w:sz w:val="24"/>
          <w:szCs w:val="24"/>
        </w:rPr>
        <w:t xml:space="preserve">han sido </w:t>
      </w:r>
      <w:r w:rsidR="00443BB5" w:rsidRPr="009D137C">
        <w:rPr>
          <w:rFonts w:ascii="Times New Roman" w:hAnsi="Times New Roman" w:cs="Times New Roman"/>
          <w:color w:val="222222"/>
          <w:sz w:val="24"/>
          <w:szCs w:val="24"/>
        </w:rPr>
        <w:t>reemplazadas</w:t>
      </w:r>
      <w:r w:rsidRPr="009D137C">
        <w:rPr>
          <w:rFonts w:ascii="Times New Roman" w:hAnsi="Times New Roman" w:cs="Times New Roman"/>
          <w:color w:val="222222"/>
          <w:sz w:val="24"/>
          <w:szCs w:val="24"/>
        </w:rPr>
        <w:t xml:space="preserve"> por una conciencia moral” en asuntos internacionales.</w:t>
      </w:r>
    </w:p>
    <w:p w:rsidR="001A03D9" w:rsidRDefault="001A03D9" w:rsidP="001A03D9">
      <w:pPr>
        <w:spacing w:before="100" w:beforeAutospacing="1" w:after="100" w:afterAutospacing="1" w:line="240" w:lineRule="auto"/>
        <w:jc w:val="both"/>
        <w:rPr>
          <w:rFonts w:ascii="Times New Roman" w:hAnsi="Times New Roman" w:cs="Times New Roman"/>
          <w:color w:val="222222"/>
          <w:sz w:val="24"/>
          <w:szCs w:val="24"/>
        </w:rPr>
      </w:pPr>
      <w:r w:rsidRPr="009D137C">
        <w:rPr>
          <w:rFonts w:ascii="Times New Roman" w:hAnsi="Times New Roman" w:cs="Times New Roman"/>
          <w:color w:val="222222"/>
          <w:sz w:val="24"/>
          <w:szCs w:val="24"/>
        </w:rPr>
        <w:t xml:space="preserve">La evolución de Europa a su presente estado ocurrió bajo el manto de la garantía de seguridad de EEUU, y no hubiera podido existir sin ella. No sólo Estados Unidos suministró un escudo durante casi medio siglo, un escudo contra amenazas externas como la Unión Soviética y contra amenazas internas como las que hubieran planteado </w:t>
      </w:r>
      <w:r w:rsidR="00443BB5" w:rsidRPr="009D137C">
        <w:rPr>
          <w:rFonts w:ascii="Times New Roman" w:hAnsi="Times New Roman" w:cs="Times New Roman"/>
          <w:color w:val="222222"/>
          <w:sz w:val="24"/>
          <w:szCs w:val="24"/>
        </w:rPr>
        <w:t>conflictos</w:t>
      </w:r>
      <w:r w:rsidRPr="009D137C">
        <w:rPr>
          <w:rFonts w:ascii="Times New Roman" w:hAnsi="Times New Roman" w:cs="Times New Roman"/>
          <w:color w:val="222222"/>
          <w:sz w:val="24"/>
          <w:szCs w:val="24"/>
        </w:rPr>
        <w:t xml:space="preserve"> étnicos en lugares como los Balcanes.  Más importante aún, los Estados Unidos fueron  la clave para la solución del problema alemán y quizás lo sigan siendo.  En el discurso de la Universidad de Humboldt, Fischer observó dos “decision</w:t>
      </w:r>
      <w:r w:rsidR="00443BB5">
        <w:rPr>
          <w:rFonts w:ascii="Times New Roman" w:hAnsi="Times New Roman" w:cs="Times New Roman"/>
          <w:color w:val="222222"/>
          <w:sz w:val="24"/>
          <w:szCs w:val="24"/>
        </w:rPr>
        <w:t>es históricas” que hicieron po</w:t>
      </w:r>
      <w:r w:rsidRPr="009D137C">
        <w:rPr>
          <w:rFonts w:ascii="Times New Roman" w:hAnsi="Times New Roman" w:cs="Times New Roman"/>
          <w:color w:val="222222"/>
          <w:sz w:val="24"/>
          <w:szCs w:val="24"/>
        </w:rPr>
        <w:t>sible la nueva Europa: “la decisión de EEUU de permanecer en Europa” y “el compromiso de Francia y de Alemania con el principio de la integración, empezan</w:t>
      </w:r>
      <w:r w:rsidR="00443BB5">
        <w:rPr>
          <w:rFonts w:ascii="Times New Roman" w:hAnsi="Times New Roman" w:cs="Times New Roman"/>
          <w:color w:val="222222"/>
          <w:sz w:val="24"/>
          <w:szCs w:val="24"/>
        </w:rPr>
        <w:t>do por los vínculos económicos”.</w:t>
      </w:r>
      <w:r w:rsidRPr="009D137C">
        <w:rPr>
          <w:rFonts w:ascii="Times New Roman" w:hAnsi="Times New Roman" w:cs="Times New Roman"/>
          <w:color w:val="222222"/>
          <w:sz w:val="24"/>
          <w:szCs w:val="24"/>
        </w:rPr>
        <w:t xml:space="preserve"> Pero por supuesto,  lo segundo no hubiera podido  haber ocurrido sin lo primero. La disposición de Francia para arriesgarse a la reint</w:t>
      </w:r>
      <w:r w:rsidR="00443BB5">
        <w:rPr>
          <w:rFonts w:ascii="Times New Roman" w:hAnsi="Times New Roman" w:cs="Times New Roman"/>
          <w:color w:val="222222"/>
          <w:sz w:val="24"/>
          <w:szCs w:val="24"/>
        </w:rPr>
        <w:t xml:space="preserve">egración de Alemania en Europa </w:t>
      </w:r>
      <w:r w:rsidRPr="009D137C">
        <w:rPr>
          <w:rFonts w:ascii="Times New Roman" w:hAnsi="Times New Roman" w:cs="Times New Roman"/>
          <w:color w:val="222222"/>
          <w:sz w:val="24"/>
          <w:szCs w:val="24"/>
        </w:rPr>
        <w:t xml:space="preserve"> </w:t>
      </w:r>
      <w:r w:rsidR="00443BB5">
        <w:rPr>
          <w:rFonts w:ascii="Times New Roman" w:hAnsi="Times New Roman" w:cs="Times New Roman"/>
          <w:color w:val="222222"/>
          <w:sz w:val="24"/>
          <w:szCs w:val="24"/>
        </w:rPr>
        <w:t>-</w:t>
      </w:r>
      <w:r w:rsidRPr="009D137C">
        <w:rPr>
          <w:rFonts w:ascii="Times New Roman" w:hAnsi="Times New Roman" w:cs="Times New Roman"/>
          <w:color w:val="222222"/>
          <w:sz w:val="24"/>
          <w:szCs w:val="24"/>
        </w:rPr>
        <w:t>y Francia, estaba, por decirlo a</w:t>
      </w:r>
      <w:r w:rsidR="00443BB5">
        <w:rPr>
          <w:rFonts w:ascii="Times New Roman" w:hAnsi="Times New Roman" w:cs="Times New Roman"/>
          <w:color w:val="222222"/>
          <w:sz w:val="24"/>
          <w:szCs w:val="24"/>
        </w:rPr>
        <w:t>sí, extremadamente dubitativa-</w:t>
      </w:r>
      <w:r w:rsidRPr="009D137C">
        <w:rPr>
          <w:rFonts w:ascii="Times New Roman" w:hAnsi="Times New Roman" w:cs="Times New Roman"/>
          <w:color w:val="222222"/>
          <w:sz w:val="24"/>
          <w:szCs w:val="24"/>
        </w:rPr>
        <w:t xml:space="preserve"> dependió de la promesa de continua participación </w:t>
      </w:r>
      <w:r w:rsidRPr="009D137C">
        <w:rPr>
          <w:rFonts w:ascii="Times New Roman" w:hAnsi="Times New Roman" w:cs="Times New Roman"/>
          <w:color w:val="222222"/>
          <w:sz w:val="24"/>
          <w:szCs w:val="24"/>
        </w:rPr>
        <w:lastRenderedPageBreak/>
        <w:t>americana en Europa como una garantía contra cualquier resurgimiento del militarismo alemán. Ni la Alemania de la posguerra ignoraba que su propio futuro en Europa dependía de la tranquilizante presencia de las tropas americanas</w:t>
      </w:r>
      <w:r w:rsidR="00443BB5">
        <w:rPr>
          <w:rFonts w:ascii="Times New Roman" w:hAnsi="Times New Roman" w:cs="Times New Roman"/>
          <w:color w:val="222222"/>
          <w:sz w:val="24"/>
          <w:szCs w:val="24"/>
        </w:rPr>
        <w:t>”</w:t>
      </w:r>
      <w:r w:rsidRPr="009D137C">
        <w:rPr>
          <w:rFonts w:ascii="Times New Roman" w:hAnsi="Times New Roman" w:cs="Times New Roman"/>
          <w:color w:val="222222"/>
          <w:sz w:val="24"/>
          <w:szCs w:val="24"/>
        </w:rPr>
        <w:t>.</w:t>
      </w:r>
    </w:p>
    <w:p w:rsidR="00443BB5" w:rsidRDefault="00443BB5" w:rsidP="001A03D9">
      <w:pPr>
        <w:spacing w:before="100" w:beforeAutospacing="1" w:after="100" w:afterAutospacing="1" w:line="240" w:lineRule="auto"/>
        <w:jc w:val="both"/>
        <w:rPr>
          <w:rFonts w:ascii="Times New Roman" w:hAnsi="Times New Roman" w:cs="Times New Roman"/>
          <w:b/>
          <w:sz w:val="24"/>
          <w:szCs w:val="24"/>
        </w:rPr>
      </w:pPr>
      <w:r w:rsidRPr="00443BB5">
        <w:rPr>
          <w:rFonts w:ascii="Times New Roman" w:hAnsi="Times New Roman" w:cs="Times New Roman"/>
          <w:b/>
          <w:sz w:val="24"/>
          <w:szCs w:val="24"/>
        </w:rPr>
        <w:t xml:space="preserve">- </w:t>
      </w:r>
      <w:r w:rsidR="009319E7">
        <w:rPr>
          <w:rFonts w:ascii="Times New Roman" w:hAnsi="Times New Roman" w:cs="Times New Roman"/>
          <w:b/>
          <w:sz w:val="24"/>
          <w:szCs w:val="24"/>
        </w:rPr>
        <w:t>La “tanguedia” europea</w:t>
      </w:r>
      <w:r w:rsidR="002A5380">
        <w:rPr>
          <w:rFonts w:ascii="Times New Roman" w:hAnsi="Times New Roman" w:cs="Times New Roman"/>
          <w:b/>
          <w:sz w:val="24"/>
          <w:szCs w:val="24"/>
        </w:rPr>
        <w:t>:</w:t>
      </w:r>
      <w:r w:rsidR="00F83104">
        <w:rPr>
          <w:rFonts w:ascii="Times New Roman" w:hAnsi="Times New Roman" w:cs="Times New Roman"/>
          <w:b/>
          <w:sz w:val="24"/>
          <w:szCs w:val="24"/>
        </w:rPr>
        <w:t xml:space="preserve"> “Cuesta abajo” -</w:t>
      </w:r>
      <w:r w:rsidR="002A5380">
        <w:rPr>
          <w:rFonts w:ascii="Times New Roman" w:hAnsi="Times New Roman" w:cs="Times New Roman"/>
          <w:b/>
          <w:sz w:val="24"/>
          <w:szCs w:val="24"/>
        </w:rPr>
        <w:t xml:space="preserve"> l</w:t>
      </w:r>
      <w:r w:rsidRPr="00443BB5">
        <w:rPr>
          <w:rFonts w:ascii="Times New Roman" w:hAnsi="Times New Roman" w:cs="Times New Roman"/>
          <w:b/>
          <w:sz w:val="24"/>
          <w:szCs w:val="24"/>
        </w:rPr>
        <w:t>a vergüenza de haber sido y el dolor de ya no ser</w:t>
      </w:r>
      <w:r>
        <w:rPr>
          <w:rFonts w:ascii="Times New Roman" w:hAnsi="Times New Roman" w:cs="Times New Roman"/>
          <w:b/>
          <w:sz w:val="24"/>
          <w:szCs w:val="24"/>
        </w:rPr>
        <w:t xml:space="preserve"> (entre el Síndrome de Estocolmo y el Complejo de Satu</w:t>
      </w:r>
      <w:r w:rsidR="002A5380">
        <w:rPr>
          <w:rFonts w:ascii="Times New Roman" w:hAnsi="Times New Roman" w:cs="Times New Roman"/>
          <w:b/>
          <w:sz w:val="24"/>
          <w:szCs w:val="24"/>
        </w:rPr>
        <w:t>r</w:t>
      </w:r>
      <w:r>
        <w:rPr>
          <w:rFonts w:ascii="Times New Roman" w:hAnsi="Times New Roman" w:cs="Times New Roman"/>
          <w:b/>
          <w:sz w:val="24"/>
          <w:szCs w:val="24"/>
        </w:rPr>
        <w:t>no)</w:t>
      </w:r>
    </w:p>
    <w:p w:rsidR="000B0587" w:rsidRPr="000B0587" w:rsidRDefault="000B0587" w:rsidP="000B0587">
      <w:pPr>
        <w:spacing w:before="100" w:beforeAutospacing="1" w:after="100" w:afterAutospacing="1" w:line="240" w:lineRule="auto"/>
        <w:jc w:val="both"/>
        <w:rPr>
          <w:rFonts w:ascii="Times New Roman" w:hAnsi="Times New Roman" w:cs="Times New Roman"/>
          <w:sz w:val="24"/>
          <w:szCs w:val="24"/>
        </w:rPr>
      </w:pPr>
      <w:r w:rsidRPr="000B0587">
        <w:rPr>
          <w:rFonts w:ascii="Times New Roman" w:hAnsi="Times New Roman" w:cs="Times New Roman"/>
          <w:sz w:val="24"/>
          <w:szCs w:val="24"/>
        </w:rPr>
        <w:t xml:space="preserve">El </w:t>
      </w:r>
      <w:r w:rsidRPr="000B0587">
        <w:rPr>
          <w:rFonts w:ascii="Times New Roman" w:hAnsi="Times New Roman" w:cs="Times New Roman"/>
          <w:b/>
          <w:sz w:val="24"/>
          <w:szCs w:val="24"/>
        </w:rPr>
        <w:t>síndrome de Estocolmo</w:t>
      </w:r>
      <w:r w:rsidRPr="000B0587">
        <w:rPr>
          <w:rFonts w:ascii="Times New Roman" w:hAnsi="Times New Roman" w:cs="Times New Roman"/>
          <w:sz w:val="24"/>
          <w:szCs w:val="24"/>
        </w:rPr>
        <w:t xml:space="preserve"> se refiere a un grupo de síntomas psicológicos que se producen en algunas personas en cautiverio </w:t>
      </w:r>
      <w:r>
        <w:rPr>
          <w:rFonts w:ascii="Times New Roman" w:hAnsi="Times New Roman" w:cs="Times New Roman"/>
          <w:sz w:val="24"/>
          <w:szCs w:val="24"/>
        </w:rPr>
        <w:t>o situación de los rehenes. H</w:t>
      </w:r>
      <w:r w:rsidRPr="000B0587">
        <w:rPr>
          <w:rFonts w:ascii="Times New Roman" w:hAnsi="Times New Roman" w:cs="Times New Roman"/>
          <w:sz w:val="24"/>
          <w:szCs w:val="24"/>
        </w:rPr>
        <w:t>a recibido una publicidad considerable de los medios en los últimos años, ya que se ha utilizado para exp</w:t>
      </w:r>
      <w:r>
        <w:rPr>
          <w:rFonts w:ascii="Times New Roman" w:hAnsi="Times New Roman" w:cs="Times New Roman"/>
          <w:sz w:val="24"/>
          <w:szCs w:val="24"/>
        </w:rPr>
        <w:t>licar el comportamiento de las</w:t>
      </w:r>
      <w:r w:rsidRPr="000B0587">
        <w:rPr>
          <w:rFonts w:ascii="Times New Roman" w:hAnsi="Times New Roman" w:cs="Times New Roman"/>
          <w:sz w:val="24"/>
          <w:szCs w:val="24"/>
        </w:rPr>
        <w:t xml:space="preserve"> víctimas de</w:t>
      </w:r>
      <w:r>
        <w:rPr>
          <w:rFonts w:ascii="Times New Roman" w:hAnsi="Times New Roman" w:cs="Times New Roman"/>
          <w:sz w:val="24"/>
          <w:szCs w:val="24"/>
        </w:rPr>
        <w:t xml:space="preserve"> algunos</w:t>
      </w:r>
      <w:r w:rsidRPr="000B0587">
        <w:rPr>
          <w:rFonts w:ascii="Times New Roman" w:hAnsi="Times New Roman" w:cs="Times New Roman"/>
          <w:sz w:val="24"/>
          <w:szCs w:val="24"/>
        </w:rPr>
        <w:t xml:space="preserve"> secuestro</w:t>
      </w:r>
      <w:r>
        <w:rPr>
          <w:rFonts w:ascii="Times New Roman" w:hAnsi="Times New Roman" w:cs="Times New Roman"/>
          <w:sz w:val="24"/>
          <w:szCs w:val="24"/>
        </w:rPr>
        <w:t>s</w:t>
      </w:r>
      <w:r w:rsidRPr="000B0587">
        <w:rPr>
          <w:rFonts w:ascii="Times New Roman" w:hAnsi="Times New Roman" w:cs="Times New Roman"/>
          <w:sz w:val="24"/>
          <w:szCs w:val="24"/>
        </w:rPr>
        <w:t xml:space="preserve"> conocidos como Patty Hearst (1974) y Elizabeth Smart (2002). El término toma su nombre de un atraco a un banco en Estocolmo, Suecia, en agosto de 1973. El ladrón tomó cuatro empleados del banco (tres mujeres y un hombre) en la caja fuerte con él y los mantuvo como rehene</w:t>
      </w:r>
      <w:r>
        <w:rPr>
          <w:rFonts w:ascii="Times New Roman" w:hAnsi="Times New Roman" w:cs="Times New Roman"/>
          <w:sz w:val="24"/>
          <w:szCs w:val="24"/>
        </w:rPr>
        <w:t>s durante 131 horas. Después que los empleados fuera</w:t>
      </w:r>
      <w:r w:rsidRPr="000B0587">
        <w:rPr>
          <w:rFonts w:ascii="Times New Roman" w:hAnsi="Times New Roman" w:cs="Times New Roman"/>
          <w:sz w:val="24"/>
          <w:szCs w:val="24"/>
        </w:rPr>
        <w:t>n puest</w:t>
      </w:r>
      <w:r>
        <w:rPr>
          <w:rFonts w:ascii="Times New Roman" w:hAnsi="Times New Roman" w:cs="Times New Roman"/>
          <w:sz w:val="24"/>
          <w:szCs w:val="24"/>
        </w:rPr>
        <w:t xml:space="preserve">os en libertad, </w:t>
      </w:r>
      <w:r w:rsidRPr="000B0587">
        <w:rPr>
          <w:rFonts w:ascii="Times New Roman" w:hAnsi="Times New Roman" w:cs="Times New Roman"/>
          <w:sz w:val="24"/>
          <w:szCs w:val="24"/>
        </w:rPr>
        <w:t xml:space="preserve">parecían haber formado un vínculo </w:t>
      </w:r>
      <w:r>
        <w:rPr>
          <w:rFonts w:ascii="Times New Roman" w:hAnsi="Times New Roman" w:cs="Times New Roman"/>
          <w:sz w:val="24"/>
          <w:szCs w:val="24"/>
        </w:rPr>
        <w:t xml:space="preserve">emocional con su </w:t>
      </w:r>
      <w:r w:rsidRPr="000B0587">
        <w:rPr>
          <w:rFonts w:ascii="Times New Roman" w:hAnsi="Times New Roman" w:cs="Times New Roman"/>
          <w:sz w:val="24"/>
          <w:szCs w:val="24"/>
        </w:rPr>
        <w:t>captor, que dijo a los periodistas que vieron a la pol</w:t>
      </w:r>
      <w:r>
        <w:rPr>
          <w:rFonts w:ascii="Times New Roman" w:hAnsi="Times New Roman" w:cs="Times New Roman"/>
          <w:sz w:val="24"/>
          <w:szCs w:val="24"/>
        </w:rPr>
        <w:t>icía como su enemigo en vez de a</w:t>
      </w:r>
      <w:r w:rsidRPr="000B0587">
        <w:rPr>
          <w:rFonts w:ascii="Times New Roman" w:hAnsi="Times New Roman" w:cs="Times New Roman"/>
          <w:sz w:val="24"/>
          <w:szCs w:val="24"/>
        </w:rPr>
        <w:t>l ladrón de bancos, y que no tenían senti</w:t>
      </w:r>
      <w:r>
        <w:rPr>
          <w:rFonts w:ascii="Times New Roman" w:hAnsi="Times New Roman" w:cs="Times New Roman"/>
          <w:sz w:val="24"/>
          <w:szCs w:val="24"/>
        </w:rPr>
        <w:t>mientos positivos hacia su penalización</w:t>
      </w:r>
      <w:r w:rsidRPr="000B0587">
        <w:rPr>
          <w:rFonts w:ascii="Times New Roman" w:hAnsi="Times New Roman" w:cs="Times New Roman"/>
          <w:sz w:val="24"/>
          <w:szCs w:val="24"/>
        </w:rPr>
        <w:t>. El síndrome fue nombrado por primera vez por Nils Bejerot (1921-1988), profeso</w:t>
      </w:r>
      <w:r>
        <w:rPr>
          <w:rFonts w:ascii="Times New Roman" w:hAnsi="Times New Roman" w:cs="Times New Roman"/>
          <w:sz w:val="24"/>
          <w:szCs w:val="24"/>
        </w:rPr>
        <w:t>r de medicina que se especializó</w:t>
      </w:r>
      <w:r w:rsidRPr="000B0587">
        <w:rPr>
          <w:rFonts w:ascii="Times New Roman" w:hAnsi="Times New Roman" w:cs="Times New Roman"/>
          <w:sz w:val="24"/>
          <w:szCs w:val="24"/>
        </w:rPr>
        <w:t xml:space="preserve"> en la investigación de la adicción y se desempeñó como consultor psiquiátrico de la policía sueca durante el enfrentamiento en el banco. Síndrome </w:t>
      </w:r>
      <w:r>
        <w:rPr>
          <w:rFonts w:ascii="Times New Roman" w:hAnsi="Times New Roman" w:cs="Times New Roman"/>
          <w:sz w:val="24"/>
          <w:szCs w:val="24"/>
        </w:rPr>
        <w:t>de Estocolmo es también conocido</w:t>
      </w:r>
      <w:r w:rsidRPr="000B0587">
        <w:rPr>
          <w:rFonts w:ascii="Times New Roman" w:hAnsi="Times New Roman" w:cs="Times New Roman"/>
          <w:sz w:val="24"/>
          <w:szCs w:val="24"/>
        </w:rPr>
        <w:t xml:space="preserve"> como Síndrome de S</w:t>
      </w:r>
      <w:r>
        <w:rPr>
          <w:rFonts w:ascii="Times New Roman" w:hAnsi="Times New Roman" w:cs="Times New Roman"/>
          <w:sz w:val="24"/>
          <w:szCs w:val="24"/>
        </w:rPr>
        <w:t>upervivencia de identificación.</w:t>
      </w:r>
    </w:p>
    <w:p w:rsidR="000B0587" w:rsidRPr="000B0587" w:rsidRDefault="000B0587" w:rsidP="000B0587">
      <w:pPr>
        <w:spacing w:before="100" w:beforeAutospacing="1" w:after="100" w:afterAutospacing="1" w:line="240" w:lineRule="auto"/>
        <w:jc w:val="both"/>
        <w:rPr>
          <w:rFonts w:ascii="Times New Roman" w:hAnsi="Times New Roman" w:cs="Times New Roman"/>
          <w:sz w:val="24"/>
          <w:szCs w:val="24"/>
        </w:rPr>
      </w:pPr>
      <w:r w:rsidRPr="000B0587">
        <w:rPr>
          <w:rFonts w:ascii="Times New Roman" w:hAnsi="Times New Roman" w:cs="Times New Roman"/>
          <w:sz w:val="24"/>
          <w:szCs w:val="24"/>
        </w:rPr>
        <w:t>Síndrome de Estocolmo se considera una reacción compleja a una situación alarmante, y los expertos no se ponen de acuerdo por completo en todos sus rasgos característicos, o de los factores que hacen que algunas personas sean más susceptibles que otras a desarrollarlo. Una de las razones para el desacuerdo es que no sería ético para poner a prueba las teorías sobre el síndrome mediante la experimentación en seres humanos. Los datos para la comprensión del síndrome se derivan de situaciones de rehenes reales desde 1973, que difieren considerablemente de unos a otros en términos de ubicación, el número de personas involucradas, y los plazos. Otra fuente de desacuerdo se refiere a la medida en que puede ser el síndrome utilizado para explicar otros fenómenos históricos o más tipos comunes de las relaciones abusivas. Muchos investigadores creen que el síndrome de Estocolmo, ayuda a explicar ciertos comportamientos de los sobrevivientes de los campos de concentración de la Segunda Guerra, miembros de cultos religiosos, mujeres maltratadas, víctimas de incesto, y físicamente o emocionalmente los niños maltratados, así como a las personas tomadas como rehene</w:t>
      </w:r>
      <w:r>
        <w:rPr>
          <w:rFonts w:ascii="Times New Roman" w:hAnsi="Times New Roman" w:cs="Times New Roman"/>
          <w:sz w:val="24"/>
          <w:szCs w:val="24"/>
        </w:rPr>
        <w:t>s por criminales o terroristas.</w:t>
      </w:r>
    </w:p>
    <w:p w:rsidR="000B0587" w:rsidRPr="000B0587" w:rsidRDefault="000B0587" w:rsidP="000B0587">
      <w:pPr>
        <w:spacing w:before="100" w:beforeAutospacing="1" w:after="100" w:afterAutospacing="1" w:line="240" w:lineRule="auto"/>
        <w:jc w:val="both"/>
        <w:rPr>
          <w:rFonts w:ascii="Times New Roman" w:hAnsi="Times New Roman" w:cs="Times New Roman"/>
          <w:sz w:val="24"/>
          <w:szCs w:val="24"/>
        </w:rPr>
      </w:pPr>
      <w:r w:rsidRPr="000B0587">
        <w:rPr>
          <w:rFonts w:ascii="Times New Roman" w:hAnsi="Times New Roman" w:cs="Times New Roman"/>
          <w:sz w:val="24"/>
          <w:szCs w:val="24"/>
        </w:rPr>
        <w:t>La mayoría de los expertos, sin embargo, coinciden en que síndrome de Estocolmo tiene tres características centrales:</w:t>
      </w:r>
    </w:p>
    <w:p w:rsidR="000B0587" w:rsidRPr="000B0587" w:rsidRDefault="000B0587" w:rsidP="000B0587">
      <w:pPr>
        <w:spacing w:before="100" w:beforeAutospacing="1" w:after="100" w:afterAutospacing="1" w:line="240" w:lineRule="auto"/>
        <w:jc w:val="both"/>
        <w:rPr>
          <w:rFonts w:ascii="Times New Roman" w:hAnsi="Times New Roman" w:cs="Times New Roman"/>
          <w:sz w:val="24"/>
          <w:szCs w:val="24"/>
        </w:rPr>
      </w:pPr>
      <w:r w:rsidRPr="000B0587">
        <w:rPr>
          <w:rFonts w:ascii="Times New Roman" w:hAnsi="Times New Roman" w:cs="Times New Roman"/>
          <w:sz w:val="24"/>
          <w:szCs w:val="24"/>
        </w:rPr>
        <w:t>◾Los rehenes tienen sentimientos negativos acerca de la policía u otras autoridades.</w:t>
      </w:r>
    </w:p>
    <w:p w:rsidR="000B0587" w:rsidRPr="000B0587" w:rsidRDefault="000B0587" w:rsidP="000B0587">
      <w:pPr>
        <w:spacing w:before="100" w:beforeAutospacing="1" w:after="100" w:afterAutospacing="1" w:line="240" w:lineRule="auto"/>
        <w:jc w:val="both"/>
        <w:rPr>
          <w:rFonts w:ascii="Times New Roman" w:hAnsi="Times New Roman" w:cs="Times New Roman"/>
          <w:sz w:val="24"/>
          <w:szCs w:val="24"/>
        </w:rPr>
      </w:pPr>
      <w:r w:rsidRPr="000B0587">
        <w:rPr>
          <w:rFonts w:ascii="Times New Roman" w:hAnsi="Times New Roman" w:cs="Times New Roman"/>
          <w:sz w:val="24"/>
          <w:szCs w:val="24"/>
        </w:rPr>
        <w:t>◾Los rehenes tienen sentimientos positivos hacia su captor.</w:t>
      </w:r>
    </w:p>
    <w:p w:rsidR="000B0587" w:rsidRPr="000B0587" w:rsidRDefault="000B0587" w:rsidP="000B0587">
      <w:pPr>
        <w:spacing w:before="100" w:beforeAutospacing="1" w:after="100" w:afterAutospacing="1" w:line="240" w:lineRule="auto"/>
        <w:jc w:val="both"/>
        <w:rPr>
          <w:rFonts w:ascii="Times New Roman" w:hAnsi="Times New Roman" w:cs="Times New Roman"/>
          <w:sz w:val="24"/>
          <w:szCs w:val="24"/>
        </w:rPr>
      </w:pPr>
      <w:r w:rsidRPr="000B0587">
        <w:rPr>
          <w:rFonts w:ascii="Times New Roman" w:hAnsi="Times New Roman" w:cs="Times New Roman"/>
          <w:sz w:val="24"/>
          <w:szCs w:val="24"/>
        </w:rPr>
        <w:t>◾Los captores desarrollar sentimientos positivos hacia los rehenes.</w:t>
      </w:r>
    </w:p>
    <w:p w:rsidR="000B0587" w:rsidRPr="000B0587" w:rsidRDefault="000B0587" w:rsidP="000B0587">
      <w:pPr>
        <w:spacing w:before="100" w:beforeAutospacing="1" w:after="100" w:afterAutospacing="1" w:line="240" w:lineRule="auto"/>
        <w:jc w:val="both"/>
        <w:rPr>
          <w:rFonts w:ascii="Times New Roman" w:hAnsi="Times New Roman" w:cs="Times New Roman"/>
          <w:sz w:val="24"/>
          <w:szCs w:val="24"/>
        </w:rPr>
      </w:pPr>
      <w:r w:rsidRPr="000B0587">
        <w:rPr>
          <w:rFonts w:ascii="Times New Roman" w:hAnsi="Times New Roman" w:cs="Times New Roman"/>
          <w:sz w:val="24"/>
          <w:szCs w:val="24"/>
        </w:rPr>
        <w:t>Los investigadores del FBI entrevistaron a los asistentes de vuelo que habían sido tomados como rehenes durante el secuestro de aviones, y concluyó que tres factores son necesarios para el síndrome de desarrollar:</w:t>
      </w:r>
    </w:p>
    <w:p w:rsidR="000B0587" w:rsidRPr="000B0587" w:rsidRDefault="000B0587" w:rsidP="000B0587">
      <w:pPr>
        <w:spacing w:before="100" w:beforeAutospacing="1" w:after="100" w:afterAutospacing="1" w:line="240" w:lineRule="auto"/>
        <w:jc w:val="both"/>
        <w:rPr>
          <w:rFonts w:ascii="Times New Roman" w:hAnsi="Times New Roman" w:cs="Times New Roman"/>
          <w:sz w:val="24"/>
          <w:szCs w:val="24"/>
        </w:rPr>
      </w:pPr>
      <w:r w:rsidRPr="000B0587">
        <w:rPr>
          <w:rFonts w:ascii="Times New Roman" w:hAnsi="Times New Roman" w:cs="Times New Roman"/>
          <w:sz w:val="24"/>
          <w:szCs w:val="24"/>
        </w:rPr>
        <w:lastRenderedPageBreak/>
        <w:t>◾La situación de crisis tiene una duración de varios días o más.</w:t>
      </w:r>
    </w:p>
    <w:p w:rsidR="000B0587" w:rsidRPr="000B0587" w:rsidRDefault="000B0587" w:rsidP="000B0587">
      <w:pPr>
        <w:spacing w:before="100" w:beforeAutospacing="1" w:after="100" w:afterAutospacing="1" w:line="240" w:lineRule="auto"/>
        <w:jc w:val="both"/>
        <w:rPr>
          <w:rFonts w:ascii="Times New Roman" w:hAnsi="Times New Roman" w:cs="Times New Roman"/>
          <w:sz w:val="24"/>
          <w:szCs w:val="24"/>
        </w:rPr>
      </w:pPr>
      <w:r w:rsidRPr="000B0587">
        <w:rPr>
          <w:rFonts w:ascii="Times New Roman" w:hAnsi="Times New Roman" w:cs="Times New Roman"/>
          <w:sz w:val="24"/>
          <w:szCs w:val="24"/>
        </w:rPr>
        <w:t>◾Los secuestradores permanecen en contacto con los rehenes, es decir, los rehenes no se colocan en una habitación separada.</w:t>
      </w:r>
    </w:p>
    <w:p w:rsidR="000B0587" w:rsidRPr="000B0587" w:rsidRDefault="000B0587" w:rsidP="000B0587">
      <w:pPr>
        <w:spacing w:before="100" w:beforeAutospacing="1" w:after="100" w:afterAutospacing="1" w:line="240" w:lineRule="auto"/>
        <w:jc w:val="both"/>
        <w:rPr>
          <w:rFonts w:ascii="Times New Roman" w:hAnsi="Times New Roman" w:cs="Times New Roman"/>
          <w:sz w:val="24"/>
          <w:szCs w:val="24"/>
        </w:rPr>
      </w:pPr>
      <w:r w:rsidRPr="000B0587">
        <w:rPr>
          <w:rFonts w:ascii="Times New Roman" w:hAnsi="Times New Roman" w:cs="Times New Roman"/>
          <w:sz w:val="24"/>
          <w:szCs w:val="24"/>
        </w:rPr>
        <w:t>◾Los secuestradores muestran cierta bondad para con los rehenes o se abstenga, al menos de hacerles daño. Los rehenes maltratados por sus captores suelen sentir ira hacia ellos y por lo gene</w:t>
      </w:r>
      <w:r w:rsidR="00702CC3">
        <w:rPr>
          <w:rFonts w:ascii="Times New Roman" w:hAnsi="Times New Roman" w:cs="Times New Roman"/>
          <w:sz w:val="24"/>
          <w:szCs w:val="24"/>
        </w:rPr>
        <w:t>ral no desarrollan el síndrome.</w:t>
      </w:r>
    </w:p>
    <w:p w:rsidR="000B0587" w:rsidRDefault="000B0587" w:rsidP="000B0587">
      <w:pPr>
        <w:spacing w:before="100" w:beforeAutospacing="1" w:after="100" w:afterAutospacing="1" w:line="240" w:lineRule="auto"/>
        <w:jc w:val="both"/>
        <w:rPr>
          <w:rFonts w:ascii="Times New Roman" w:hAnsi="Times New Roman" w:cs="Times New Roman"/>
          <w:sz w:val="24"/>
          <w:szCs w:val="24"/>
        </w:rPr>
      </w:pPr>
      <w:r w:rsidRPr="000B0587">
        <w:rPr>
          <w:rFonts w:ascii="Times New Roman" w:hAnsi="Times New Roman" w:cs="Times New Roman"/>
          <w:sz w:val="24"/>
          <w:szCs w:val="24"/>
        </w:rPr>
        <w:t>Además, las personas que a menudo se sienten impotentes en otras situaciones estresantes de la vida o están dispuestos a hacer cualquier cosa para sobrevivir parecen ser más susceptibles a desarrollar el síndrome de Estocolmo, si son tomados como rehenes.</w:t>
      </w:r>
    </w:p>
    <w:p w:rsidR="005E400B" w:rsidRPr="005E400B" w:rsidRDefault="005E400B" w:rsidP="005E400B">
      <w:pPr>
        <w:spacing w:before="100" w:beforeAutospacing="1" w:after="100" w:afterAutospacing="1" w:line="240" w:lineRule="auto"/>
        <w:jc w:val="both"/>
        <w:rPr>
          <w:rFonts w:ascii="Times New Roman" w:hAnsi="Times New Roman" w:cs="Times New Roman"/>
          <w:sz w:val="24"/>
          <w:szCs w:val="24"/>
        </w:rPr>
      </w:pPr>
      <w:r w:rsidRPr="00D70C1B">
        <w:rPr>
          <w:rFonts w:ascii="Times New Roman" w:hAnsi="Times New Roman" w:cs="Times New Roman"/>
          <w:b/>
          <w:sz w:val="24"/>
          <w:szCs w:val="24"/>
        </w:rPr>
        <w:t>Saturno es la versión romana del dios Cronos en la mitología griega</w:t>
      </w:r>
      <w:r w:rsidRPr="005E400B">
        <w:rPr>
          <w:rFonts w:ascii="Times New Roman" w:hAnsi="Times New Roman" w:cs="Times New Roman"/>
          <w:sz w:val="24"/>
          <w:szCs w:val="24"/>
        </w:rPr>
        <w:t>. Cronos es uno de los doce titanes que nacen de la unión de Urano (el cielo) y Gea (la tierra). En un principio el papel de Urano será cubrir y así proteger a Gea, la tierra, pero al unirse a ella se convertirán en la pareja de dioses que gobernarán el mundo. Ungido de ese poder, Urano no verá con buenos ojos a sus hijos, temiendo que al crecer le arrebataran su trono. Así que Gea se verá obligada a sepultar a cada uno de los hijos que nacen en sus entrañas, aunque llevada por su instinto maternal hará uso de su astucia y engañará a su marido con el menor de sus hijos, precisamente Cronos. Armará a Cronos con una hoz, y con ella el vástago conseguirá cortarle los genitales a su padre. Del esperma de Urano, que cayó al mar, nacería Afrodita, y de las gotas de sangre caídas en la tierra, nacerían los Gigantes, además de las</w:t>
      </w:r>
      <w:r w:rsidR="00D70C1B">
        <w:rPr>
          <w:rFonts w:ascii="Times New Roman" w:hAnsi="Times New Roman" w:cs="Times New Roman"/>
          <w:sz w:val="24"/>
          <w:szCs w:val="24"/>
        </w:rPr>
        <w:t xml:space="preserve"> Erinias y las ninfas Melíades.</w:t>
      </w:r>
    </w:p>
    <w:p w:rsidR="005E400B" w:rsidRPr="005E400B" w:rsidRDefault="005E400B" w:rsidP="005E400B">
      <w:pPr>
        <w:spacing w:before="100" w:beforeAutospacing="1" w:after="100" w:afterAutospacing="1" w:line="240" w:lineRule="auto"/>
        <w:jc w:val="both"/>
        <w:rPr>
          <w:rFonts w:ascii="Times New Roman" w:hAnsi="Times New Roman" w:cs="Times New Roman"/>
          <w:sz w:val="24"/>
          <w:szCs w:val="24"/>
        </w:rPr>
      </w:pPr>
      <w:r w:rsidRPr="005E400B">
        <w:rPr>
          <w:rFonts w:ascii="Times New Roman" w:hAnsi="Times New Roman" w:cs="Times New Roman"/>
          <w:sz w:val="24"/>
          <w:szCs w:val="24"/>
        </w:rPr>
        <w:t>Así mutilado, Urano perderá el trono, que como él temía, será heredado por su hijo Cronos, que de paso liberará de las entrañas de Gea, de la tierra, al resto de sus hermanos, casándose con uno de ellos, su hermana Rea. Pero la historia se repite, y ahora es Cronos quien sufre los mismos recelos que su padre, y temeroso como él de que uno de sus hijos pudiera arrebatarle el trono, los devora uno a uno según Rea los va pariendo: a Hestia, Deméter, Hera, Hades y Poseidón. Y otra vez, es el instinto maternal, en este caso el de Rea, el que vuelve a engañar al padre, Cronos esta vez, pues para salvar al último de los hijos, Zeus, le entrega a Cronos una piedra envuelta en los pañales, que el padre ignorante se la traga sin sospechar el engaño. De esta forma Zeus creció a salvo en el monte Dicte, en Creta, protegido por las ninfas. Con el paso del tiempo, Zeus se enfrentaría a su padre, logrando destronarlo y consiguiendo también en este caso, que Cronos regurgitara a todos los hijos que se había tragado, logrando así la formación de los dioses del Olimpo, desde donde reinar</w:t>
      </w:r>
      <w:r w:rsidR="00D70C1B">
        <w:rPr>
          <w:rFonts w:ascii="Times New Roman" w:hAnsi="Times New Roman" w:cs="Times New Roman"/>
          <w:sz w:val="24"/>
          <w:szCs w:val="24"/>
        </w:rPr>
        <w:t>á Zeus en unión a sus hermanos.</w:t>
      </w:r>
    </w:p>
    <w:p w:rsidR="005E400B" w:rsidRPr="005E400B" w:rsidRDefault="005E400B" w:rsidP="005E400B">
      <w:pPr>
        <w:spacing w:before="100" w:beforeAutospacing="1" w:after="100" w:afterAutospacing="1" w:line="240" w:lineRule="auto"/>
        <w:jc w:val="both"/>
        <w:rPr>
          <w:rFonts w:ascii="Times New Roman" w:hAnsi="Times New Roman" w:cs="Times New Roman"/>
          <w:sz w:val="24"/>
          <w:szCs w:val="24"/>
        </w:rPr>
      </w:pPr>
      <w:r w:rsidRPr="005E400B">
        <w:rPr>
          <w:rFonts w:ascii="Times New Roman" w:hAnsi="Times New Roman" w:cs="Times New Roman"/>
          <w:sz w:val="24"/>
          <w:szCs w:val="24"/>
        </w:rPr>
        <w:t>Crono quedaría desde entonces encerrado en el Tártaro (el lugar del infierno y el tormento eternos). Su estrecha vinculación con Gea le asoció en la mitología griega como un dios relacionado con el mundo de la agricultura, protector de los cultivos y benefactor de las buenas cosechas. Su atributo más habitual será una hoz, por ser el arma con el que acabaría con el poder de Urano, pero también por su vinculación con la agricultura. No obstante, su relación con los titanes lo convirtió en una divinidad relacionada con el caos y el desorden, antítesis de lo que representan los dioses del Olimpo que acabaron con él, símbolo de la civilización y el orden. No es por tanto una divinidad muy favorable en Grecia, todo lo contrario que el Saturno de los romanos.</w:t>
      </w:r>
    </w:p>
    <w:p w:rsidR="005E400B" w:rsidRPr="005E400B" w:rsidRDefault="005E400B" w:rsidP="005E400B">
      <w:pPr>
        <w:spacing w:before="100" w:beforeAutospacing="1" w:after="100" w:afterAutospacing="1" w:line="240" w:lineRule="auto"/>
        <w:jc w:val="both"/>
        <w:rPr>
          <w:rFonts w:ascii="Times New Roman" w:hAnsi="Times New Roman" w:cs="Times New Roman"/>
          <w:sz w:val="24"/>
          <w:szCs w:val="24"/>
        </w:rPr>
      </w:pPr>
      <w:r w:rsidRPr="005E400B">
        <w:rPr>
          <w:rFonts w:ascii="Times New Roman" w:hAnsi="Times New Roman" w:cs="Times New Roman"/>
          <w:sz w:val="24"/>
          <w:szCs w:val="24"/>
        </w:rPr>
        <w:lastRenderedPageBreak/>
        <w:t>Iconográficamente, Saturno es probable que asumiera ese carácter tremebundo de padre devorador de sus propios hijos como una imagen relacionada con antiguas prácticas de bárbaros sacrificios, que el propio mito de Cronos trataba de desterrar. Es además una visión simbólica del paso del tiempo, que todo lo arrasa y lo devora si</w:t>
      </w:r>
      <w:r w:rsidR="00D70C1B">
        <w:rPr>
          <w:rFonts w:ascii="Times New Roman" w:hAnsi="Times New Roman" w:cs="Times New Roman"/>
          <w:sz w:val="24"/>
          <w:szCs w:val="24"/>
        </w:rPr>
        <w:t>n que nada ni nadie lo detenga.</w:t>
      </w:r>
    </w:p>
    <w:p w:rsidR="00443BB5" w:rsidRPr="00443BB5" w:rsidRDefault="005E400B" w:rsidP="00443BB5">
      <w:pPr>
        <w:spacing w:before="100" w:beforeAutospacing="1" w:after="100" w:afterAutospacing="1" w:line="240" w:lineRule="auto"/>
        <w:jc w:val="both"/>
        <w:rPr>
          <w:rFonts w:ascii="Times New Roman" w:hAnsi="Times New Roman" w:cs="Times New Roman"/>
          <w:sz w:val="24"/>
          <w:szCs w:val="24"/>
        </w:rPr>
      </w:pPr>
      <w:r w:rsidRPr="005E400B">
        <w:rPr>
          <w:rFonts w:ascii="Times New Roman" w:hAnsi="Times New Roman" w:cs="Times New Roman"/>
          <w:sz w:val="24"/>
          <w:szCs w:val="24"/>
        </w:rPr>
        <w:t xml:space="preserve">Entre las representaciones de Saturno en el mundo del arte destaca la iconografía que nos ofrece su imagen más macabra, la del padre que devora a sus hijos. Dos obras resultan las más conocidas de esta representación, la versión de Rubens, muy propia por su carga dramática y espeluznante, del tremendismo barroco, y la de Goya, aún más escabrosa en su solución formal y mucho más desgarradora y terrorífica, en la que más allá de la representación del dios y su iconografía, se trata también de una imagen con la que ironizar sobre la mitología y la pintura clásica y su concepto de belleza. Al fin y al cabo el </w:t>
      </w:r>
      <w:r w:rsidR="00D70C1B" w:rsidRPr="005E400B">
        <w:rPr>
          <w:rFonts w:ascii="Times New Roman" w:hAnsi="Times New Roman" w:cs="Times New Roman"/>
          <w:sz w:val="24"/>
          <w:szCs w:val="24"/>
        </w:rPr>
        <w:t>Saturno</w:t>
      </w:r>
      <w:r w:rsidRPr="005E400B">
        <w:rPr>
          <w:rFonts w:ascii="Times New Roman" w:hAnsi="Times New Roman" w:cs="Times New Roman"/>
          <w:sz w:val="24"/>
          <w:szCs w:val="24"/>
        </w:rPr>
        <w:t xml:space="preserve"> de Goya es un gañán monstruoso, cuya deformidad y técnica descarnada están anunciando el expresionismo pictórico.</w:t>
      </w:r>
    </w:p>
    <w:p w:rsidR="00443BB5" w:rsidRPr="00443BB5" w:rsidRDefault="00443BB5" w:rsidP="00443BB5">
      <w:pPr>
        <w:spacing w:before="100" w:beforeAutospacing="1" w:after="100" w:afterAutospacing="1" w:line="240" w:lineRule="auto"/>
        <w:jc w:val="both"/>
        <w:rPr>
          <w:rFonts w:ascii="Times New Roman" w:hAnsi="Times New Roman" w:cs="Times New Roman"/>
          <w:sz w:val="24"/>
          <w:szCs w:val="24"/>
        </w:rPr>
      </w:pPr>
      <w:r w:rsidRPr="00443BB5">
        <w:rPr>
          <w:rFonts w:ascii="Times New Roman" w:hAnsi="Times New Roman" w:cs="Times New Roman"/>
          <w:sz w:val="24"/>
          <w:szCs w:val="24"/>
        </w:rPr>
        <w:t xml:space="preserve">El </w:t>
      </w:r>
      <w:r w:rsidRPr="000B0587">
        <w:rPr>
          <w:rFonts w:ascii="Times New Roman" w:hAnsi="Times New Roman" w:cs="Times New Roman"/>
          <w:b/>
          <w:sz w:val="24"/>
          <w:szCs w:val="24"/>
        </w:rPr>
        <w:t>complejo de Saturno</w:t>
      </w:r>
      <w:r w:rsidRPr="00443BB5">
        <w:rPr>
          <w:rFonts w:ascii="Times New Roman" w:hAnsi="Times New Roman" w:cs="Times New Roman"/>
          <w:sz w:val="24"/>
          <w:szCs w:val="24"/>
        </w:rPr>
        <w:t xml:space="preserve"> es desarrollado por los hombres para dismi</w:t>
      </w:r>
      <w:r w:rsidR="00702CC3">
        <w:rPr>
          <w:rFonts w:ascii="Times New Roman" w:hAnsi="Times New Roman" w:cs="Times New Roman"/>
          <w:sz w:val="24"/>
          <w:szCs w:val="24"/>
        </w:rPr>
        <w:t>nuir la competencia. Ha</w:t>
      </w:r>
      <w:r w:rsidRPr="00443BB5">
        <w:rPr>
          <w:rFonts w:ascii="Times New Roman" w:hAnsi="Times New Roman" w:cs="Times New Roman"/>
          <w:sz w:val="24"/>
          <w:szCs w:val="24"/>
        </w:rPr>
        <w:t xml:space="preserve"> sido elaborado a parir de una leyenda mitológica, la cual habla de Saturno, referido a Crono, y </w:t>
      </w:r>
      <w:r>
        <w:rPr>
          <w:rFonts w:ascii="Times New Roman" w:hAnsi="Times New Roman" w:cs="Times New Roman"/>
          <w:sz w:val="24"/>
          <w:szCs w:val="24"/>
        </w:rPr>
        <w:t>de cómo apareció este complejo.</w:t>
      </w:r>
    </w:p>
    <w:p w:rsidR="005E400B" w:rsidRDefault="005E400B" w:rsidP="001A03D9">
      <w:pPr>
        <w:spacing w:before="100" w:beforeAutospacing="1" w:after="100" w:afterAutospacing="1" w:line="240" w:lineRule="auto"/>
        <w:jc w:val="both"/>
        <w:rPr>
          <w:rFonts w:ascii="Times New Roman" w:hAnsi="Times New Roman" w:cs="Times New Roman"/>
          <w:color w:val="222222"/>
          <w:sz w:val="24"/>
          <w:szCs w:val="24"/>
        </w:rPr>
      </w:pPr>
      <w:r w:rsidRPr="005E400B">
        <w:rPr>
          <w:rFonts w:ascii="Times New Roman" w:hAnsi="Times New Roman" w:cs="Times New Roman"/>
          <w:color w:val="222222"/>
          <w:sz w:val="24"/>
          <w:szCs w:val="24"/>
        </w:rPr>
        <w:t>En psiquiatría es una enfermedad mental que lleva a los padres a causar  daño, incluso la muerte, de sus hijos en la convicción de que e</w:t>
      </w:r>
      <w:r>
        <w:rPr>
          <w:rFonts w:ascii="Times New Roman" w:hAnsi="Times New Roman" w:cs="Times New Roman"/>
          <w:color w:val="222222"/>
          <w:sz w:val="24"/>
          <w:szCs w:val="24"/>
        </w:rPr>
        <w:t>s la única solución para evitar</w:t>
      </w:r>
      <w:r w:rsidRPr="005E400B">
        <w:rPr>
          <w:rFonts w:ascii="Times New Roman" w:hAnsi="Times New Roman" w:cs="Times New Roman"/>
          <w:color w:val="222222"/>
          <w:sz w:val="24"/>
          <w:szCs w:val="24"/>
        </w:rPr>
        <w:t>les los problemas que tendrán en la vida.</w:t>
      </w:r>
    </w:p>
    <w:p w:rsidR="00874AC1" w:rsidRDefault="008F2F60" w:rsidP="001A03D9">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Sin hacer transversales</w:t>
      </w:r>
      <w:r w:rsidR="00290009">
        <w:rPr>
          <w:rFonts w:ascii="Times New Roman" w:hAnsi="Times New Roman" w:cs="Times New Roman"/>
          <w:color w:val="222222"/>
          <w:sz w:val="24"/>
          <w:szCs w:val="24"/>
        </w:rPr>
        <w:t xml:space="preserve"> interpretaciones psicológicas</w:t>
      </w:r>
      <w:r>
        <w:rPr>
          <w:rFonts w:ascii="Times New Roman" w:hAnsi="Times New Roman" w:cs="Times New Roman"/>
          <w:color w:val="222222"/>
          <w:sz w:val="24"/>
          <w:szCs w:val="24"/>
        </w:rPr>
        <w:t xml:space="preserve"> u</w:t>
      </w:r>
      <w:r w:rsidR="00874AC1">
        <w:rPr>
          <w:rFonts w:ascii="Times New Roman" w:hAnsi="Times New Roman" w:cs="Times New Roman"/>
          <w:color w:val="222222"/>
          <w:sz w:val="24"/>
          <w:szCs w:val="24"/>
        </w:rPr>
        <w:t xml:space="preserve"> </w:t>
      </w:r>
      <w:r>
        <w:rPr>
          <w:rFonts w:ascii="Times New Roman" w:hAnsi="Times New Roman" w:cs="Times New Roman"/>
          <w:color w:val="222222"/>
          <w:sz w:val="24"/>
          <w:szCs w:val="24"/>
        </w:rPr>
        <w:t xml:space="preserve">oblicuas </w:t>
      </w:r>
      <w:r w:rsidR="00874AC1">
        <w:rPr>
          <w:rFonts w:ascii="Times New Roman" w:hAnsi="Times New Roman" w:cs="Times New Roman"/>
          <w:color w:val="222222"/>
          <w:sz w:val="24"/>
          <w:szCs w:val="24"/>
        </w:rPr>
        <w:t>conjeturas</w:t>
      </w:r>
      <w:r w:rsidR="00290009">
        <w:rPr>
          <w:rFonts w:ascii="Times New Roman" w:hAnsi="Times New Roman" w:cs="Times New Roman"/>
          <w:color w:val="222222"/>
          <w:sz w:val="24"/>
          <w:szCs w:val="24"/>
        </w:rPr>
        <w:t xml:space="preserve"> mitológicas</w:t>
      </w:r>
      <w:r w:rsidR="00874AC1">
        <w:rPr>
          <w:rFonts w:ascii="Times New Roman" w:hAnsi="Times New Roman" w:cs="Times New Roman"/>
          <w:color w:val="222222"/>
          <w:sz w:val="24"/>
          <w:szCs w:val="24"/>
        </w:rPr>
        <w:t>, es posible asimilar el comportamiento europeo a una mezcla (cóctel letal) de</w:t>
      </w:r>
      <w:r w:rsidR="00F83104">
        <w:rPr>
          <w:rFonts w:ascii="Times New Roman" w:hAnsi="Times New Roman" w:cs="Times New Roman"/>
          <w:color w:val="222222"/>
          <w:sz w:val="24"/>
          <w:szCs w:val="24"/>
        </w:rPr>
        <w:t>l Síndrome de Estocolmo con el</w:t>
      </w:r>
      <w:r w:rsidR="00874AC1">
        <w:rPr>
          <w:rFonts w:ascii="Times New Roman" w:hAnsi="Times New Roman" w:cs="Times New Roman"/>
          <w:color w:val="222222"/>
          <w:sz w:val="24"/>
          <w:szCs w:val="24"/>
        </w:rPr>
        <w:t xml:space="preserve"> Complejo de Saturno.</w:t>
      </w:r>
    </w:p>
    <w:p w:rsidR="00874AC1" w:rsidRDefault="00874AC1" w:rsidP="001A03D9">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Desde que leí</w:t>
      </w:r>
      <w:r w:rsidR="00F83104">
        <w:rPr>
          <w:rFonts w:ascii="Times New Roman" w:hAnsi="Times New Roman" w:cs="Times New Roman"/>
          <w:color w:val="222222"/>
          <w:sz w:val="24"/>
          <w:szCs w:val="24"/>
        </w:rPr>
        <w:t xml:space="preserve"> en la prensa</w:t>
      </w:r>
      <w:r>
        <w:rPr>
          <w:rFonts w:ascii="Times New Roman" w:hAnsi="Times New Roman" w:cs="Times New Roman"/>
          <w:color w:val="222222"/>
          <w:sz w:val="24"/>
          <w:szCs w:val="24"/>
        </w:rPr>
        <w:t xml:space="preserve"> el relato de algunos alemanes que habían sobrevivido a la guerra, </w:t>
      </w:r>
      <w:r w:rsidR="0086584D">
        <w:rPr>
          <w:rFonts w:ascii="Times New Roman" w:hAnsi="Times New Roman" w:cs="Times New Roman"/>
          <w:color w:val="222222"/>
          <w:sz w:val="24"/>
          <w:szCs w:val="24"/>
        </w:rPr>
        <w:t xml:space="preserve">recordando (con agradecimiento) que </w:t>
      </w:r>
      <w:r>
        <w:rPr>
          <w:rFonts w:ascii="Times New Roman" w:hAnsi="Times New Roman" w:cs="Times New Roman"/>
          <w:color w:val="222222"/>
          <w:sz w:val="24"/>
          <w:szCs w:val="24"/>
        </w:rPr>
        <w:t xml:space="preserve">cuando el ejército americano </w:t>
      </w:r>
      <w:r w:rsidR="0086584D">
        <w:rPr>
          <w:rFonts w:ascii="Times New Roman" w:hAnsi="Times New Roman" w:cs="Times New Roman"/>
          <w:color w:val="222222"/>
          <w:sz w:val="24"/>
          <w:szCs w:val="24"/>
        </w:rPr>
        <w:t>(vencedor e invasor), ocupaba</w:t>
      </w:r>
      <w:r>
        <w:rPr>
          <w:rFonts w:ascii="Times New Roman" w:hAnsi="Times New Roman" w:cs="Times New Roman"/>
          <w:color w:val="222222"/>
          <w:sz w:val="24"/>
          <w:szCs w:val="24"/>
        </w:rPr>
        <w:t xml:space="preserve"> las ciudades</w:t>
      </w:r>
      <w:r w:rsidR="0086584D">
        <w:rPr>
          <w:rFonts w:ascii="Times New Roman" w:hAnsi="Times New Roman" w:cs="Times New Roman"/>
          <w:color w:val="222222"/>
          <w:sz w:val="24"/>
          <w:szCs w:val="24"/>
        </w:rPr>
        <w:t xml:space="preserve"> (en su desfile triunfal)</w:t>
      </w:r>
      <w:r>
        <w:rPr>
          <w:rFonts w:ascii="Times New Roman" w:hAnsi="Times New Roman" w:cs="Times New Roman"/>
          <w:color w:val="222222"/>
          <w:sz w:val="24"/>
          <w:szCs w:val="24"/>
        </w:rPr>
        <w:t xml:space="preserve"> les regalan “chocolatinas”</w:t>
      </w:r>
      <w:r w:rsidR="0086584D">
        <w:rPr>
          <w:rFonts w:ascii="Times New Roman" w:hAnsi="Times New Roman" w:cs="Times New Roman"/>
          <w:color w:val="222222"/>
          <w:sz w:val="24"/>
          <w:szCs w:val="24"/>
        </w:rPr>
        <w:t xml:space="preserve"> a los niños</w:t>
      </w:r>
      <w:r w:rsidR="00E36986">
        <w:rPr>
          <w:rFonts w:ascii="Times New Roman" w:hAnsi="Times New Roman" w:cs="Times New Roman"/>
          <w:color w:val="222222"/>
          <w:sz w:val="24"/>
          <w:szCs w:val="24"/>
        </w:rPr>
        <w:t>, com</w:t>
      </w:r>
      <w:r w:rsidR="00407BC4">
        <w:rPr>
          <w:rFonts w:ascii="Times New Roman" w:hAnsi="Times New Roman" w:cs="Times New Roman"/>
          <w:color w:val="222222"/>
          <w:sz w:val="24"/>
          <w:szCs w:val="24"/>
        </w:rPr>
        <w:t>prendo</w:t>
      </w:r>
      <w:r w:rsidR="00E36986">
        <w:rPr>
          <w:rFonts w:ascii="Times New Roman" w:hAnsi="Times New Roman" w:cs="Times New Roman"/>
          <w:color w:val="222222"/>
          <w:sz w:val="24"/>
          <w:szCs w:val="24"/>
        </w:rPr>
        <w:t>, aunque no comparto</w:t>
      </w:r>
      <w:r w:rsidR="008F2F60">
        <w:rPr>
          <w:rFonts w:ascii="Times New Roman" w:hAnsi="Times New Roman" w:cs="Times New Roman"/>
          <w:color w:val="222222"/>
          <w:sz w:val="24"/>
          <w:szCs w:val="24"/>
        </w:rPr>
        <w:t>,</w:t>
      </w:r>
      <w:r w:rsidR="0086584D">
        <w:rPr>
          <w:rFonts w:ascii="Times New Roman" w:hAnsi="Times New Roman" w:cs="Times New Roman"/>
          <w:color w:val="222222"/>
          <w:sz w:val="24"/>
          <w:szCs w:val="24"/>
        </w:rPr>
        <w:t xml:space="preserve"> ese Síndrome de Estocolmo del que hablo.</w:t>
      </w:r>
    </w:p>
    <w:p w:rsidR="0086584D" w:rsidRDefault="0086584D" w:rsidP="001A03D9">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Alemania ha estado agradecida a los Estados Unidos por haber sido vencida en la guerra (fin del nazismo). Alemania ha estado agradecida a los Estados Unidos por la aplicación del Plan Marshall</w:t>
      </w:r>
      <w:r w:rsidR="008F2F60">
        <w:rPr>
          <w:rFonts w:ascii="Times New Roman" w:hAnsi="Times New Roman" w:cs="Times New Roman"/>
          <w:color w:val="222222"/>
          <w:sz w:val="24"/>
          <w:szCs w:val="24"/>
        </w:rPr>
        <w:t xml:space="preserve"> (reconstrucción y cooperación)</w:t>
      </w:r>
      <w:r>
        <w:rPr>
          <w:rFonts w:ascii="Times New Roman" w:hAnsi="Times New Roman" w:cs="Times New Roman"/>
          <w:color w:val="222222"/>
          <w:sz w:val="24"/>
          <w:szCs w:val="24"/>
        </w:rPr>
        <w:t>.  Alemania ha estado agradecida a los Estados Unidos por haberla protegido (durante la guerra fría) del riesgo de invasión so</w:t>
      </w:r>
      <w:r w:rsidR="008F2F60">
        <w:rPr>
          <w:rFonts w:ascii="Times New Roman" w:hAnsi="Times New Roman" w:cs="Times New Roman"/>
          <w:color w:val="222222"/>
          <w:sz w:val="24"/>
          <w:szCs w:val="24"/>
        </w:rPr>
        <w:t>viética (“Yo también soy berlinés”</w:t>
      </w:r>
      <w:r w:rsidR="00E57D24">
        <w:rPr>
          <w:rFonts w:ascii="Times New Roman" w:hAnsi="Times New Roman" w:cs="Times New Roman"/>
          <w:color w:val="222222"/>
          <w:sz w:val="24"/>
          <w:szCs w:val="24"/>
        </w:rPr>
        <w:t>,</w:t>
      </w:r>
      <w:r w:rsidR="008F2F60" w:rsidRPr="008F2F60">
        <w:rPr>
          <w:rFonts w:ascii="Times New Roman" w:hAnsi="Times New Roman" w:cs="Times New Roman"/>
          <w:color w:val="222222"/>
          <w:sz w:val="24"/>
          <w:szCs w:val="24"/>
        </w:rPr>
        <w:t xml:space="preserve"> Kennedy</w:t>
      </w:r>
      <w:r w:rsidR="008F2F60">
        <w:rPr>
          <w:rFonts w:ascii="Times New Roman" w:hAnsi="Times New Roman" w:cs="Times New Roman"/>
          <w:color w:val="222222"/>
          <w:sz w:val="24"/>
          <w:szCs w:val="24"/>
        </w:rPr>
        <w:t xml:space="preserve"> - 1963).</w:t>
      </w:r>
    </w:p>
    <w:p w:rsidR="008B7CD9" w:rsidRDefault="008F2F60" w:rsidP="008B7CD9">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Finalmente, Alemania ha estado (y está) agradecida a los Estados Unidos por permiti</w:t>
      </w:r>
      <w:r w:rsidR="003275A2">
        <w:rPr>
          <w:rFonts w:ascii="Times New Roman" w:hAnsi="Times New Roman" w:cs="Times New Roman"/>
          <w:color w:val="222222"/>
          <w:sz w:val="24"/>
          <w:szCs w:val="24"/>
        </w:rPr>
        <w:t>rle vender en el mercado americano sus Mercedes, BMW, Audi, VW,</w:t>
      </w:r>
      <w:r w:rsidR="008B7CD9">
        <w:rPr>
          <w:rFonts w:ascii="Times New Roman" w:hAnsi="Times New Roman" w:cs="Times New Roman"/>
          <w:color w:val="222222"/>
          <w:sz w:val="24"/>
          <w:szCs w:val="24"/>
        </w:rPr>
        <w:t xml:space="preserve"> </w:t>
      </w:r>
      <w:r w:rsidR="00407BC4">
        <w:rPr>
          <w:rFonts w:ascii="Times New Roman" w:hAnsi="Times New Roman" w:cs="Times New Roman"/>
          <w:color w:val="222222"/>
          <w:sz w:val="24"/>
          <w:szCs w:val="24"/>
        </w:rPr>
        <w:t xml:space="preserve">instrumentos </w:t>
      </w:r>
      <w:r w:rsidR="008B7CD9" w:rsidRPr="003275A2">
        <w:rPr>
          <w:rFonts w:ascii="Times New Roman" w:hAnsi="Times New Roman" w:cs="Times New Roman"/>
          <w:color w:val="222222"/>
          <w:sz w:val="24"/>
          <w:szCs w:val="24"/>
        </w:rPr>
        <w:t>m</w:t>
      </w:r>
      <w:r w:rsidR="008B7CD9">
        <w:rPr>
          <w:rFonts w:ascii="Times New Roman" w:hAnsi="Times New Roman" w:cs="Times New Roman"/>
          <w:color w:val="222222"/>
          <w:sz w:val="24"/>
          <w:szCs w:val="24"/>
        </w:rPr>
        <w:t xml:space="preserve">édicos, ópticos y de precisión, productos químicos, </w:t>
      </w:r>
      <w:r w:rsidR="008B7CD9" w:rsidRPr="003275A2">
        <w:rPr>
          <w:rFonts w:ascii="Times New Roman" w:hAnsi="Times New Roman" w:cs="Times New Roman"/>
          <w:color w:val="222222"/>
          <w:sz w:val="24"/>
          <w:szCs w:val="24"/>
        </w:rPr>
        <w:t>electrotécnica y electrónica</w:t>
      </w:r>
      <w:r w:rsidR="008B7CD9">
        <w:rPr>
          <w:rFonts w:ascii="Times New Roman" w:hAnsi="Times New Roman" w:cs="Times New Roman"/>
          <w:color w:val="222222"/>
          <w:sz w:val="24"/>
          <w:szCs w:val="24"/>
        </w:rPr>
        <w:t>, máquinas e instalaciones…</w:t>
      </w:r>
      <w:r w:rsidR="008B7CD9" w:rsidRPr="003275A2">
        <w:rPr>
          <w:rFonts w:ascii="Times New Roman" w:hAnsi="Times New Roman" w:cs="Times New Roman"/>
          <w:color w:val="222222"/>
          <w:sz w:val="24"/>
          <w:szCs w:val="24"/>
        </w:rPr>
        <w:t xml:space="preserve"> </w:t>
      </w:r>
      <w:r w:rsidR="00E57D24">
        <w:rPr>
          <w:rFonts w:ascii="Times New Roman" w:hAnsi="Times New Roman" w:cs="Times New Roman"/>
          <w:color w:val="222222"/>
          <w:sz w:val="24"/>
          <w:szCs w:val="24"/>
        </w:rPr>
        <w:t>(agradecidos al Diablo por</w:t>
      </w:r>
      <w:r w:rsidR="00407BC4">
        <w:rPr>
          <w:rFonts w:ascii="Times New Roman" w:hAnsi="Times New Roman" w:cs="Times New Roman"/>
          <w:color w:val="222222"/>
          <w:sz w:val="24"/>
          <w:szCs w:val="24"/>
        </w:rPr>
        <w:t xml:space="preserve"> haberles “comprado”</w:t>
      </w:r>
      <w:r w:rsidR="00E57D24">
        <w:rPr>
          <w:rFonts w:ascii="Times New Roman" w:hAnsi="Times New Roman" w:cs="Times New Roman"/>
          <w:color w:val="222222"/>
          <w:sz w:val="24"/>
          <w:szCs w:val="24"/>
        </w:rPr>
        <w:t xml:space="preserve"> el alma).</w:t>
      </w:r>
    </w:p>
    <w:p w:rsidR="008B7CD9" w:rsidRDefault="00E36986" w:rsidP="008B7CD9">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Y si para eso hay</w:t>
      </w:r>
      <w:r w:rsidR="008B7CD9">
        <w:rPr>
          <w:rFonts w:ascii="Times New Roman" w:hAnsi="Times New Roman" w:cs="Times New Roman"/>
          <w:color w:val="222222"/>
          <w:sz w:val="24"/>
          <w:szCs w:val="24"/>
        </w:rPr>
        <w:t xml:space="preserve"> que “abjurar” del Modelo Renano, se hace. Y si para eso hay que “renegar” de las enseñanzas de Friedrich List </w:t>
      </w:r>
      <w:r>
        <w:rPr>
          <w:rFonts w:ascii="Times New Roman" w:hAnsi="Times New Roman" w:cs="Times New Roman"/>
          <w:color w:val="222222"/>
          <w:sz w:val="24"/>
          <w:szCs w:val="24"/>
        </w:rPr>
        <w:t xml:space="preserve">(1) “Sistema Nacional de Economía Política” - 1841, se hace. </w:t>
      </w:r>
    </w:p>
    <w:p w:rsidR="00E36986" w:rsidRDefault="00E36986" w:rsidP="00E36986">
      <w:pPr>
        <w:spacing w:before="100" w:beforeAutospacing="1" w:after="100" w:afterAutospacing="1" w:line="240" w:lineRule="auto"/>
        <w:jc w:val="both"/>
        <w:rPr>
          <w:rFonts w:ascii="Times New Roman" w:hAnsi="Times New Roman" w:cs="Times New Roman"/>
          <w:color w:val="222222"/>
          <w:sz w:val="20"/>
          <w:szCs w:val="20"/>
        </w:rPr>
      </w:pPr>
      <w:r>
        <w:rPr>
          <w:rFonts w:ascii="Times New Roman" w:hAnsi="Times New Roman" w:cs="Times New Roman"/>
          <w:color w:val="222222"/>
          <w:sz w:val="20"/>
          <w:szCs w:val="20"/>
        </w:rPr>
        <w:t xml:space="preserve">(1) </w:t>
      </w:r>
      <w:r w:rsidRPr="00E36986">
        <w:rPr>
          <w:rFonts w:ascii="Times New Roman" w:hAnsi="Times New Roman" w:cs="Times New Roman"/>
          <w:color w:val="222222"/>
          <w:sz w:val="20"/>
          <w:szCs w:val="20"/>
        </w:rPr>
        <w:t>Resaltó la idea nacional e insistió en los requisitos específicos de cada nación de acuerdo a sus circunstancias y, especialmente, su grado de desarrollo. Se le conoce por dudar de la sinceridad de las llamadas al libre comercio de los países desarrollados, en particular Gran Bretaña.</w:t>
      </w:r>
    </w:p>
    <w:p w:rsidR="00E36986" w:rsidRDefault="00E36986" w:rsidP="00E36986">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lastRenderedPageBreak/>
        <w:t>Con una Alemania (la locomotora de la Unión Europea) sometida y agradecida (como una mujer maltratada) a los</w:t>
      </w:r>
      <w:r w:rsidR="00E8388D">
        <w:rPr>
          <w:rFonts w:ascii="Times New Roman" w:hAnsi="Times New Roman" w:cs="Times New Roman"/>
          <w:color w:val="222222"/>
          <w:sz w:val="24"/>
          <w:szCs w:val="24"/>
        </w:rPr>
        <w:t xml:space="preserve"> </w:t>
      </w:r>
      <w:r>
        <w:rPr>
          <w:rFonts w:ascii="Times New Roman" w:hAnsi="Times New Roman" w:cs="Times New Roman"/>
          <w:color w:val="222222"/>
          <w:sz w:val="24"/>
          <w:szCs w:val="24"/>
        </w:rPr>
        <w:t>EEUU, ya me dirán ustedes</w:t>
      </w:r>
      <w:r w:rsidR="00E8388D">
        <w:rPr>
          <w:rFonts w:ascii="Times New Roman" w:hAnsi="Times New Roman" w:cs="Times New Roman"/>
          <w:color w:val="222222"/>
          <w:sz w:val="24"/>
          <w:szCs w:val="24"/>
        </w:rPr>
        <w:t xml:space="preserve"> donde están los intereses (el raptor) y donde quedan los amigos (los socios europeos).</w:t>
      </w:r>
    </w:p>
    <w:p w:rsidR="0009500C" w:rsidRDefault="00E8388D" w:rsidP="00E36986">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Si a ese “síndrome”, agregamos la actitud permanente de sabotaje</w:t>
      </w:r>
      <w:r w:rsidR="00573C01">
        <w:rPr>
          <w:rFonts w:ascii="Times New Roman" w:hAnsi="Times New Roman" w:cs="Times New Roman"/>
          <w:color w:val="222222"/>
          <w:sz w:val="24"/>
          <w:szCs w:val="24"/>
        </w:rPr>
        <w:t xml:space="preserve"> (y vileza)</w:t>
      </w:r>
      <w:r>
        <w:rPr>
          <w:rFonts w:ascii="Times New Roman" w:hAnsi="Times New Roman" w:cs="Times New Roman"/>
          <w:color w:val="222222"/>
          <w:sz w:val="24"/>
          <w:szCs w:val="24"/>
        </w:rPr>
        <w:t xml:space="preserve"> del Reino Unido</w:t>
      </w:r>
      <w:r w:rsidR="00573C01">
        <w:rPr>
          <w:rFonts w:ascii="Times New Roman" w:hAnsi="Times New Roman" w:cs="Times New Roman"/>
          <w:color w:val="222222"/>
          <w:sz w:val="24"/>
          <w:szCs w:val="24"/>
        </w:rPr>
        <w:t xml:space="preserve"> con los proyectos de unidad europea</w:t>
      </w:r>
      <w:r>
        <w:rPr>
          <w:rFonts w:ascii="Times New Roman" w:hAnsi="Times New Roman" w:cs="Times New Roman"/>
          <w:color w:val="222222"/>
          <w:sz w:val="24"/>
          <w:szCs w:val="24"/>
        </w:rPr>
        <w:t xml:space="preserve"> (el “submarino” de los EEUU en Europa)</w:t>
      </w:r>
      <w:r w:rsidR="00573C01">
        <w:rPr>
          <w:rFonts w:ascii="Times New Roman" w:hAnsi="Times New Roman" w:cs="Times New Roman"/>
          <w:color w:val="222222"/>
          <w:sz w:val="24"/>
          <w:szCs w:val="24"/>
        </w:rPr>
        <w:t xml:space="preserve">, la megalomanía francesa (el último país comunista del viejo continente), el sistema de “sense and sensibility” de los países del centro y norte de Europa, las “debilidades” de los PIGS (más “pigs” que nunca), la “bisoñez” de los nuevos socios del este, la presión migratoria, los conflictos </w:t>
      </w:r>
      <w:r w:rsidR="0009500C">
        <w:rPr>
          <w:rFonts w:ascii="Times New Roman" w:hAnsi="Times New Roman" w:cs="Times New Roman"/>
          <w:color w:val="222222"/>
          <w:sz w:val="24"/>
          <w:szCs w:val="24"/>
        </w:rPr>
        <w:t>de integración o multiculturalidad</w:t>
      </w:r>
      <w:r w:rsidR="00573C01">
        <w:rPr>
          <w:rFonts w:ascii="Times New Roman" w:hAnsi="Times New Roman" w:cs="Times New Roman"/>
          <w:color w:val="222222"/>
          <w:sz w:val="24"/>
          <w:szCs w:val="24"/>
        </w:rPr>
        <w:t>, más</w:t>
      </w:r>
      <w:r w:rsidR="0009500C">
        <w:rPr>
          <w:rFonts w:ascii="Times New Roman" w:hAnsi="Times New Roman" w:cs="Times New Roman"/>
          <w:color w:val="222222"/>
          <w:sz w:val="24"/>
          <w:szCs w:val="24"/>
        </w:rPr>
        <w:t xml:space="preserve"> la crisis</w:t>
      </w:r>
      <w:r w:rsidR="00943722">
        <w:rPr>
          <w:rFonts w:ascii="Times New Roman" w:hAnsi="Times New Roman" w:cs="Times New Roman"/>
          <w:color w:val="222222"/>
          <w:sz w:val="24"/>
          <w:szCs w:val="24"/>
        </w:rPr>
        <w:t xml:space="preserve"> financiera</w:t>
      </w:r>
      <w:r w:rsidR="0009500C">
        <w:rPr>
          <w:rFonts w:ascii="Times New Roman" w:hAnsi="Times New Roman" w:cs="Times New Roman"/>
          <w:color w:val="222222"/>
          <w:sz w:val="24"/>
          <w:szCs w:val="24"/>
        </w:rPr>
        <w:t xml:space="preserve"> y el “sálvese quien pueda”</w:t>
      </w:r>
      <w:r w:rsidR="00B70E2E">
        <w:rPr>
          <w:rFonts w:ascii="Times New Roman" w:hAnsi="Times New Roman" w:cs="Times New Roman"/>
          <w:color w:val="222222"/>
          <w:sz w:val="24"/>
          <w:szCs w:val="24"/>
        </w:rPr>
        <w:t xml:space="preserve">, </w:t>
      </w:r>
      <w:r w:rsidR="0009500C">
        <w:rPr>
          <w:rFonts w:ascii="Times New Roman" w:hAnsi="Times New Roman" w:cs="Times New Roman"/>
          <w:color w:val="222222"/>
          <w:sz w:val="24"/>
          <w:szCs w:val="24"/>
        </w:rPr>
        <w:t>ya tenemos “servido” el “complejo” de Saturno.</w:t>
      </w:r>
    </w:p>
    <w:p w:rsidR="0009500C" w:rsidRDefault="0009500C" w:rsidP="00E36986">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Vamos, que hay que separarlos para que no se coman los unos a los otros, para regocijo de los terceros países</w:t>
      </w:r>
      <w:r w:rsidR="00943722">
        <w:rPr>
          <w:rFonts w:ascii="Times New Roman" w:hAnsi="Times New Roman" w:cs="Times New Roman"/>
          <w:color w:val="222222"/>
          <w:sz w:val="24"/>
          <w:szCs w:val="24"/>
        </w:rPr>
        <w:t xml:space="preserve"> (EEUU, China)</w:t>
      </w:r>
      <w:r>
        <w:rPr>
          <w:rFonts w:ascii="Times New Roman" w:hAnsi="Times New Roman" w:cs="Times New Roman"/>
          <w:color w:val="222222"/>
          <w:sz w:val="24"/>
          <w:szCs w:val="24"/>
        </w:rPr>
        <w:t xml:space="preserve"> que se disputan el liderazgo mundial. Si no se matan (como en las antiguas guerras) al menos se neutralizan, tornando inoperante cualquier proyecto de unidad. En el “mejor” de los casos, un final en “tablas” por jaque continuo, </w:t>
      </w:r>
      <w:r w:rsidR="00E57D24">
        <w:rPr>
          <w:rFonts w:ascii="Times New Roman" w:hAnsi="Times New Roman" w:cs="Times New Roman"/>
          <w:color w:val="222222"/>
          <w:sz w:val="24"/>
          <w:szCs w:val="24"/>
        </w:rPr>
        <w:t>“</w:t>
      </w:r>
      <w:r>
        <w:rPr>
          <w:rFonts w:ascii="Times New Roman" w:hAnsi="Times New Roman" w:cs="Times New Roman"/>
          <w:color w:val="222222"/>
          <w:sz w:val="24"/>
          <w:szCs w:val="24"/>
        </w:rPr>
        <w:t>and  the game is over</w:t>
      </w:r>
      <w:r w:rsidR="00E57D24">
        <w:rPr>
          <w:rFonts w:ascii="Times New Roman" w:hAnsi="Times New Roman" w:cs="Times New Roman"/>
          <w:color w:val="222222"/>
          <w:sz w:val="24"/>
          <w:szCs w:val="24"/>
        </w:rPr>
        <w:t>”</w:t>
      </w:r>
      <w:r>
        <w:rPr>
          <w:rFonts w:ascii="Times New Roman" w:hAnsi="Times New Roman" w:cs="Times New Roman"/>
          <w:color w:val="222222"/>
          <w:sz w:val="24"/>
          <w:szCs w:val="24"/>
        </w:rPr>
        <w:t>.</w:t>
      </w:r>
      <w:r w:rsidR="00A427E4">
        <w:rPr>
          <w:rFonts w:ascii="Times New Roman" w:hAnsi="Times New Roman" w:cs="Times New Roman"/>
          <w:color w:val="222222"/>
          <w:sz w:val="24"/>
          <w:szCs w:val="24"/>
        </w:rPr>
        <w:t xml:space="preserve"> Por favor Saturno, trágame sin masticar ni morder…</w:t>
      </w:r>
    </w:p>
    <w:p w:rsidR="00A427E4" w:rsidRDefault="00A427E4" w:rsidP="00E36986">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En ese camino de perdición</w:t>
      </w:r>
      <w:r w:rsidR="00B70E2E">
        <w:rPr>
          <w:rFonts w:ascii="Times New Roman" w:hAnsi="Times New Roman" w:cs="Times New Roman"/>
          <w:color w:val="222222"/>
          <w:sz w:val="24"/>
          <w:szCs w:val="24"/>
        </w:rPr>
        <w:t>,</w:t>
      </w:r>
      <w:r>
        <w:rPr>
          <w:rFonts w:ascii="Times New Roman" w:hAnsi="Times New Roman" w:cs="Times New Roman"/>
          <w:color w:val="222222"/>
          <w:sz w:val="24"/>
          <w:szCs w:val="24"/>
        </w:rPr>
        <w:t xml:space="preserve"> Europa adopta e</w:t>
      </w:r>
      <w:r w:rsidR="00B70E2E">
        <w:rPr>
          <w:rFonts w:ascii="Times New Roman" w:hAnsi="Times New Roman" w:cs="Times New Roman"/>
          <w:color w:val="222222"/>
          <w:sz w:val="24"/>
          <w:szCs w:val="24"/>
        </w:rPr>
        <w:t>l</w:t>
      </w:r>
      <w:r w:rsidR="00E57D24">
        <w:rPr>
          <w:rFonts w:ascii="Times New Roman" w:hAnsi="Times New Roman" w:cs="Times New Roman"/>
          <w:color w:val="222222"/>
          <w:sz w:val="24"/>
          <w:szCs w:val="24"/>
        </w:rPr>
        <w:t xml:space="preserve"> modelo del</w:t>
      </w:r>
      <w:r w:rsidR="00B70E2E">
        <w:rPr>
          <w:rFonts w:ascii="Times New Roman" w:hAnsi="Times New Roman" w:cs="Times New Roman"/>
          <w:color w:val="222222"/>
          <w:sz w:val="24"/>
          <w:szCs w:val="24"/>
        </w:rPr>
        <w:t xml:space="preserve"> conservadurismo (EEUU, </w:t>
      </w:r>
      <w:r>
        <w:rPr>
          <w:rFonts w:ascii="Times New Roman" w:hAnsi="Times New Roman" w:cs="Times New Roman"/>
          <w:color w:val="222222"/>
          <w:sz w:val="24"/>
          <w:szCs w:val="24"/>
        </w:rPr>
        <w:t>UK), que considera el bien común como un error y a los pobres como una patología. Tras la estela de los Estados Unidos</w:t>
      </w:r>
      <w:r w:rsidR="00006F75">
        <w:rPr>
          <w:rFonts w:ascii="Times New Roman" w:hAnsi="Times New Roman" w:cs="Times New Roman"/>
          <w:color w:val="222222"/>
          <w:sz w:val="24"/>
          <w:szCs w:val="24"/>
        </w:rPr>
        <w:t>,</w:t>
      </w:r>
      <w:r>
        <w:rPr>
          <w:rFonts w:ascii="Times New Roman" w:hAnsi="Times New Roman" w:cs="Times New Roman"/>
          <w:color w:val="222222"/>
          <w:sz w:val="24"/>
          <w:szCs w:val="24"/>
        </w:rPr>
        <w:t xml:space="preserve"> Europa tiene el fu</w:t>
      </w:r>
      <w:r w:rsidR="00006F75">
        <w:rPr>
          <w:rFonts w:ascii="Times New Roman" w:hAnsi="Times New Roman" w:cs="Times New Roman"/>
          <w:color w:val="222222"/>
          <w:sz w:val="24"/>
          <w:szCs w:val="24"/>
        </w:rPr>
        <w:t>turo a la espalda,</w:t>
      </w:r>
      <w:r w:rsidR="00943722">
        <w:rPr>
          <w:rFonts w:ascii="Times New Roman" w:hAnsi="Times New Roman" w:cs="Times New Roman"/>
          <w:color w:val="222222"/>
          <w:sz w:val="24"/>
          <w:szCs w:val="24"/>
        </w:rPr>
        <w:t xml:space="preserve"> y perece.</w:t>
      </w:r>
    </w:p>
    <w:p w:rsidR="00006F75" w:rsidRDefault="00006F75" w:rsidP="00E36986">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 xml:space="preserve">El gran salto delante de la Unión Europea (desafío socialdemócrata) se ha quedado en un salto hacia atrás (vergonzante y acomplejado) de liberalismo posmoderno. </w:t>
      </w:r>
    </w:p>
    <w:p w:rsidR="0031624F" w:rsidRDefault="0031624F" w:rsidP="00E36986">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 xml:space="preserve">Sus </w:t>
      </w:r>
      <w:r w:rsidR="00B70E2E">
        <w:rPr>
          <w:rFonts w:ascii="Times New Roman" w:hAnsi="Times New Roman" w:cs="Times New Roman"/>
          <w:color w:val="222222"/>
          <w:sz w:val="24"/>
          <w:szCs w:val="24"/>
        </w:rPr>
        <w:t>“</w:t>
      </w:r>
      <w:r>
        <w:rPr>
          <w:rFonts w:ascii="Times New Roman" w:hAnsi="Times New Roman" w:cs="Times New Roman"/>
          <w:color w:val="222222"/>
          <w:sz w:val="24"/>
          <w:szCs w:val="24"/>
        </w:rPr>
        <w:t>líderes</w:t>
      </w:r>
      <w:r w:rsidR="00B70E2E">
        <w:rPr>
          <w:rFonts w:ascii="Times New Roman" w:hAnsi="Times New Roman" w:cs="Times New Roman"/>
          <w:color w:val="222222"/>
          <w:sz w:val="24"/>
          <w:szCs w:val="24"/>
        </w:rPr>
        <w:t>”</w:t>
      </w:r>
      <w:r>
        <w:rPr>
          <w:rFonts w:ascii="Times New Roman" w:hAnsi="Times New Roman" w:cs="Times New Roman"/>
          <w:color w:val="222222"/>
          <w:sz w:val="24"/>
          <w:szCs w:val="24"/>
        </w:rPr>
        <w:t xml:space="preserve"> políticos</w:t>
      </w:r>
      <w:r w:rsidR="00B70E2E">
        <w:rPr>
          <w:rFonts w:ascii="Times New Roman" w:hAnsi="Times New Roman" w:cs="Times New Roman"/>
          <w:color w:val="222222"/>
          <w:sz w:val="24"/>
          <w:szCs w:val="24"/>
        </w:rPr>
        <w:t xml:space="preserve"> </w:t>
      </w:r>
      <w:r w:rsidR="0067098C">
        <w:rPr>
          <w:rFonts w:ascii="Times New Roman" w:hAnsi="Times New Roman" w:cs="Times New Roman"/>
          <w:color w:val="222222"/>
          <w:sz w:val="24"/>
          <w:szCs w:val="24"/>
        </w:rPr>
        <w:t>(indocumentados y arrogantes</w:t>
      </w:r>
      <w:r>
        <w:rPr>
          <w:rFonts w:ascii="Times New Roman" w:hAnsi="Times New Roman" w:cs="Times New Roman"/>
          <w:color w:val="222222"/>
          <w:sz w:val="24"/>
          <w:szCs w:val="24"/>
        </w:rPr>
        <w:t>), a</w:t>
      </w:r>
      <w:r w:rsidR="00006F75">
        <w:rPr>
          <w:rFonts w:ascii="Times New Roman" w:hAnsi="Times New Roman" w:cs="Times New Roman"/>
          <w:color w:val="222222"/>
          <w:sz w:val="24"/>
          <w:szCs w:val="24"/>
        </w:rPr>
        <w:t>trapados por la pereza y la cobardía</w:t>
      </w:r>
      <w:r w:rsidR="00E57D24">
        <w:rPr>
          <w:rFonts w:ascii="Times New Roman" w:hAnsi="Times New Roman" w:cs="Times New Roman"/>
          <w:color w:val="222222"/>
          <w:sz w:val="24"/>
          <w:szCs w:val="24"/>
        </w:rPr>
        <w:t xml:space="preserve">, lastrados por </w:t>
      </w:r>
      <w:r w:rsidR="00006F75">
        <w:rPr>
          <w:rFonts w:ascii="Times New Roman" w:hAnsi="Times New Roman" w:cs="Times New Roman"/>
          <w:color w:val="222222"/>
          <w:sz w:val="24"/>
          <w:szCs w:val="24"/>
        </w:rPr>
        <w:t>l</w:t>
      </w:r>
      <w:r w:rsidR="00E57D24">
        <w:rPr>
          <w:rFonts w:ascii="Times New Roman" w:hAnsi="Times New Roman" w:cs="Times New Roman"/>
          <w:color w:val="222222"/>
          <w:sz w:val="24"/>
          <w:szCs w:val="24"/>
        </w:rPr>
        <w:t>a corrupción</w:t>
      </w:r>
      <w:r>
        <w:rPr>
          <w:rFonts w:ascii="Times New Roman" w:hAnsi="Times New Roman" w:cs="Times New Roman"/>
          <w:color w:val="222222"/>
          <w:sz w:val="24"/>
          <w:szCs w:val="24"/>
        </w:rPr>
        <w:t>, hundidos por e</w:t>
      </w:r>
      <w:r w:rsidR="00006F75">
        <w:rPr>
          <w:rFonts w:ascii="Times New Roman" w:hAnsi="Times New Roman" w:cs="Times New Roman"/>
          <w:color w:val="222222"/>
          <w:sz w:val="24"/>
          <w:szCs w:val="24"/>
        </w:rPr>
        <w:t>l descrédito moral o ético (y hasta estético)</w:t>
      </w:r>
      <w:r>
        <w:rPr>
          <w:rFonts w:ascii="Times New Roman" w:hAnsi="Times New Roman" w:cs="Times New Roman"/>
          <w:color w:val="222222"/>
          <w:sz w:val="24"/>
          <w:szCs w:val="24"/>
        </w:rPr>
        <w:t xml:space="preserve">,  continúan demostrando un gran desamparo ideológico. </w:t>
      </w:r>
      <w:r w:rsidR="00BC3D9E">
        <w:rPr>
          <w:rFonts w:ascii="Times New Roman" w:hAnsi="Times New Roman" w:cs="Times New Roman"/>
          <w:color w:val="222222"/>
          <w:sz w:val="24"/>
          <w:szCs w:val="24"/>
        </w:rPr>
        <w:t>Están</w:t>
      </w:r>
      <w:r w:rsidR="00B70E2E" w:rsidRPr="00B70E2E">
        <w:rPr>
          <w:rFonts w:ascii="Times New Roman" w:hAnsi="Times New Roman" w:cs="Times New Roman"/>
          <w:color w:val="222222"/>
          <w:sz w:val="24"/>
          <w:szCs w:val="24"/>
        </w:rPr>
        <w:t xml:space="preserve"> muerto</w:t>
      </w:r>
      <w:r w:rsidR="00BC3D9E">
        <w:rPr>
          <w:rFonts w:ascii="Times New Roman" w:hAnsi="Times New Roman" w:cs="Times New Roman"/>
          <w:color w:val="222222"/>
          <w:sz w:val="24"/>
          <w:szCs w:val="24"/>
        </w:rPr>
        <w:t>s</w:t>
      </w:r>
      <w:r w:rsidR="00B70E2E" w:rsidRPr="00B70E2E">
        <w:rPr>
          <w:rFonts w:ascii="Times New Roman" w:hAnsi="Times New Roman" w:cs="Times New Roman"/>
          <w:color w:val="222222"/>
          <w:sz w:val="24"/>
          <w:szCs w:val="24"/>
        </w:rPr>
        <w:t xml:space="preserve">: </w:t>
      </w:r>
      <w:r w:rsidR="00BC3D9E">
        <w:rPr>
          <w:rFonts w:ascii="Times New Roman" w:hAnsi="Times New Roman" w:cs="Times New Roman"/>
          <w:color w:val="222222"/>
          <w:sz w:val="24"/>
          <w:szCs w:val="24"/>
        </w:rPr>
        <w:t>“</w:t>
      </w:r>
      <w:r w:rsidR="00B70E2E" w:rsidRPr="00B70E2E">
        <w:rPr>
          <w:rFonts w:ascii="Times New Roman" w:hAnsi="Times New Roman" w:cs="Times New Roman"/>
          <w:color w:val="222222"/>
          <w:sz w:val="24"/>
          <w:szCs w:val="24"/>
        </w:rPr>
        <w:t xml:space="preserve">a ver </w:t>
      </w:r>
      <w:r w:rsidR="00BC3D9E" w:rsidRPr="00B70E2E">
        <w:rPr>
          <w:rFonts w:ascii="Times New Roman" w:hAnsi="Times New Roman" w:cs="Times New Roman"/>
          <w:color w:val="222222"/>
          <w:sz w:val="24"/>
          <w:szCs w:val="24"/>
        </w:rPr>
        <w:t>quién</w:t>
      </w:r>
      <w:r w:rsidR="00B70E2E" w:rsidRPr="00B70E2E">
        <w:rPr>
          <w:rFonts w:ascii="Times New Roman" w:hAnsi="Times New Roman" w:cs="Times New Roman"/>
          <w:color w:val="222222"/>
          <w:sz w:val="24"/>
          <w:szCs w:val="24"/>
        </w:rPr>
        <w:t xml:space="preserve"> se atreve ahora a decírselo</w:t>
      </w:r>
      <w:r w:rsidR="00BC3D9E">
        <w:rPr>
          <w:rFonts w:ascii="Times New Roman" w:hAnsi="Times New Roman" w:cs="Times New Roman"/>
          <w:color w:val="222222"/>
          <w:sz w:val="24"/>
          <w:szCs w:val="24"/>
        </w:rPr>
        <w:t xml:space="preserve">”. </w:t>
      </w:r>
      <w:r>
        <w:rPr>
          <w:rFonts w:ascii="Times New Roman" w:hAnsi="Times New Roman" w:cs="Times New Roman"/>
          <w:color w:val="222222"/>
          <w:sz w:val="24"/>
          <w:szCs w:val="24"/>
        </w:rPr>
        <w:t xml:space="preserve">Y ellos siguen como un ejército de </w:t>
      </w:r>
      <w:r w:rsidR="005F1A99">
        <w:rPr>
          <w:rFonts w:ascii="Times New Roman" w:hAnsi="Times New Roman" w:cs="Times New Roman"/>
          <w:color w:val="222222"/>
          <w:sz w:val="24"/>
          <w:szCs w:val="24"/>
        </w:rPr>
        <w:t>zombis</w:t>
      </w:r>
      <w:r>
        <w:rPr>
          <w:rFonts w:ascii="Times New Roman" w:hAnsi="Times New Roman" w:cs="Times New Roman"/>
          <w:color w:val="222222"/>
          <w:sz w:val="24"/>
          <w:szCs w:val="24"/>
        </w:rPr>
        <w:t xml:space="preserve"> por</w:t>
      </w:r>
      <w:r w:rsidR="0067098C">
        <w:rPr>
          <w:rFonts w:ascii="Times New Roman" w:hAnsi="Times New Roman" w:cs="Times New Roman"/>
          <w:color w:val="222222"/>
          <w:sz w:val="24"/>
          <w:szCs w:val="24"/>
        </w:rPr>
        <w:t xml:space="preserve"> los salones</w:t>
      </w:r>
      <w:r>
        <w:rPr>
          <w:rFonts w:ascii="Times New Roman" w:hAnsi="Times New Roman" w:cs="Times New Roman"/>
          <w:color w:val="222222"/>
          <w:sz w:val="24"/>
          <w:szCs w:val="24"/>
        </w:rPr>
        <w:t xml:space="preserve"> </w:t>
      </w:r>
      <w:r w:rsidR="0067098C">
        <w:rPr>
          <w:rFonts w:ascii="Times New Roman" w:hAnsi="Times New Roman" w:cs="Times New Roman"/>
          <w:color w:val="222222"/>
          <w:sz w:val="24"/>
          <w:szCs w:val="24"/>
        </w:rPr>
        <w:t>d</w:t>
      </w:r>
      <w:r>
        <w:rPr>
          <w:rFonts w:ascii="Times New Roman" w:hAnsi="Times New Roman" w:cs="Times New Roman"/>
          <w:color w:val="222222"/>
          <w:sz w:val="24"/>
          <w:szCs w:val="24"/>
        </w:rPr>
        <w:t>el Consejo Europeo</w:t>
      </w:r>
      <w:r w:rsidR="00BC3D9E">
        <w:rPr>
          <w:rFonts w:ascii="Times New Roman" w:hAnsi="Times New Roman" w:cs="Times New Roman"/>
          <w:color w:val="222222"/>
          <w:sz w:val="24"/>
          <w:szCs w:val="24"/>
        </w:rPr>
        <w:t xml:space="preserve"> (felices de haberse conocido)</w:t>
      </w:r>
      <w:r>
        <w:rPr>
          <w:rFonts w:ascii="Times New Roman" w:hAnsi="Times New Roman" w:cs="Times New Roman"/>
          <w:color w:val="222222"/>
          <w:sz w:val="24"/>
          <w:szCs w:val="24"/>
        </w:rPr>
        <w:t xml:space="preserve">. </w:t>
      </w:r>
      <w:r w:rsidR="00E57D24">
        <w:rPr>
          <w:rFonts w:ascii="Times New Roman" w:hAnsi="Times New Roman" w:cs="Times New Roman"/>
          <w:color w:val="222222"/>
          <w:sz w:val="24"/>
          <w:szCs w:val="24"/>
        </w:rPr>
        <w:t>“</w:t>
      </w:r>
      <w:r>
        <w:rPr>
          <w:rFonts w:ascii="Times New Roman" w:hAnsi="Times New Roman" w:cs="Times New Roman"/>
          <w:color w:val="222222"/>
          <w:sz w:val="24"/>
          <w:szCs w:val="24"/>
        </w:rPr>
        <w:t>The Walking Dead</w:t>
      </w:r>
      <w:r w:rsidR="00E57D24">
        <w:rPr>
          <w:rFonts w:ascii="Times New Roman" w:hAnsi="Times New Roman" w:cs="Times New Roman"/>
          <w:color w:val="222222"/>
          <w:sz w:val="24"/>
          <w:szCs w:val="24"/>
        </w:rPr>
        <w:t>”</w:t>
      </w:r>
      <w:r>
        <w:rPr>
          <w:rFonts w:ascii="Times New Roman" w:hAnsi="Times New Roman" w:cs="Times New Roman"/>
          <w:color w:val="222222"/>
          <w:sz w:val="24"/>
          <w:szCs w:val="24"/>
        </w:rPr>
        <w:t>.</w:t>
      </w:r>
    </w:p>
    <w:p w:rsidR="00BC3D9E" w:rsidRDefault="00BC3D9E" w:rsidP="004111BB">
      <w:pPr>
        <w:spacing w:before="100" w:beforeAutospacing="1" w:after="100" w:afterAutospacing="1"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 xml:space="preserve">En un Ensayo anterior: </w:t>
      </w:r>
      <w:r w:rsidRPr="007E0330">
        <w:rPr>
          <w:rFonts w:ascii="Times New Roman" w:hAnsi="Times New Roman" w:cs="Times New Roman"/>
          <w:b/>
          <w:color w:val="222222"/>
          <w:sz w:val="24"/>
          <w:szCs w:val="24"/>
        </w:rPr>
        <w:t>El “alma” de Europa</w:t>
      </w:r>
      <w:r>
        <w:rPr>
          <w:rFonts w:ascii="Times New Roman" w:hAnsi="Times New Roman" w:cs="Times New Roman"/>
          <w:color w:val="222222"/>
          <w:sz w:val="24"/>
          <w:szCs w:val="24"/>
        </w:rPr>
        <w:t xml:space="preserve">, publicado en </w:t>
      </w:r>
      <w:r w:rsidR="007E0330">
        <w:rPr>
          <w:rFonts w:ascii="Times New Roman" w:hAnsi="Times New Roman" w:cs="Times New Roman"/>
          <w:color w:val="222222"/>
          <w:sz w:val="24"/>
          <w:szCs w:val="24"/>
        </w:rPr>
        <w:t xml:space="preserve">diciembre de </w:t>
      </w:r>
      <w:r w:rsidR="007E0330" w:rsidRPr="005F1A99">
        <w:rPr>
          <w:rFonts w:ascii="Times New Roman" w:hAnsi="Times New Roman" w:cs="Times New Roman"/>
          <w:b/>
          <w:color w:val="222222"/>
          <w:sz w:val="24"/>
          <w:szCs w:val="24"/>
        </w:rPr>
        <w:t>2004</w:t>
      </w:r>
      <w:r w:rsidR="007E0330">
        <w:rPr>
          <w:rFonts w:ascii="Times New Roman" w:hAnsi="Times New Roman" w:cs="Times New Roman"/>
          <w:color w:val="222222"/>
          <w:sz w:val="24"/>
          <w:szCs w:val="24"/>
        </w:rPr>
        <w:t>, escribí:</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Europa tiene un déficit de inversión y de esfuerzo necesarios para construir el futuro. Nos hemos resignado a pensar que ya no podemos atraer inversión extranjera porque somos caros y, desgraciadamente, tampoco conseguimos que la inversión doméstica despegue. Los mercados parecen saturados. Y, sin embargo, el mundo sigue avanzando y otros países están descubriendo y diseñando los productos que aquí compraremos dentro de pocos años. La posición de Europa después de la Segunda Guerra Mundial era peor que la actual, pero hubo una movilización colectiva para mejorar.</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Necesitamos que quienes tienen posiciones de liderazgo en nuestra sociedad dejen de ver los males en los demás, reconozcan que tenemos problem</w:t>
      </w:r>
      <w:r w:rsidR="007E0330">
        <w:rPr>
          <w:rFonts w:ascii="Times New Roman" w:hAnsi="Times New Roman" w:cs="Times New Roman"/>
          <w:sz w:val="24"/>
          <w:szCs w:val="24"/>
        </w:rPr>
        <w:t>as en casa, y alienten a todos -</w:t>
      </w:r>
      <w:r w:rsidRPr="007E0330">
        <w:rPr>
          <w:rFonts w:ascii="Times New Roman" w:hAnsi="Times New Roman" w:cs="Times New Roman"/>
          <w:sz w:val="24"/>
          <w:szCs w:val="24"/>
        </w:rPr>
        <w:t>yendo por delante- a actuar con rapidez. El declive sólo es inevitable para quién no lucha.</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El concepto de “libertad duradera” sólo podría haber sido soñado por el Pentágono. Pero si la UE se dedicase a este tipo de tareas, ese podría ser el título ideal para describir su expansión hacia Europa central (que espero, y deseo, que continúe).</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lastRenderedPageBreak/>
        <w:t>Los estadounidenses dejan caer bombas desde 30.000 pies de altura. Europa puede, y debe, seguir un método más sutil.</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La Unión Europea se basa en los valores de respeto a la dignidad humana, a la libertad, a la democracia, a la igualdad, a la ley y a los derechos humanos. No es cierto (todo lo contrario) que la Constitución Europea se mete en aguas pantanosas al absorber por completo la carta de los derechos fundamentales, que abarca el derecho de manifestación, la seguridad social y la vivienda.</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Son derechos de este tipo los que distinguen a Europa de Estados Unidos. Si el tema causa cierta inquietud en Gran Bretaña puede salirse de la Unión Europea e incorporarse al ALCA, donde su papel de mayordomo puede no requerir tantas sutilezas. En su momento, la ex primera ministra británica Margaret Thatcher calificó a la carta de la UE sobre los Derechos Humanos Fundamentales como “socialista” y se negó a firmarla.</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La Unión Europea ha despegado y está volando rumbo al este, sin tener muy claro cuándo o dónde va a aterrizar. El 1 de mayo llegó a las fronteras con la antigua Unión Soviética. Después incluirá los Balcanes, en 2007, y en teoría, podría aterrizar en Turquía en diez años. Pero este podría no ser el final. Hay quien incluso ve a Rusia como futuro miembro.</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¿Cómo sería una Europa ampliada? ¿Quo vadis, Europa?</w:t>
      </w:r>
      <w:r w:rsidR="00DB24DA">
        <w:rPr>
          <w:rFonts w:ascii="Times New Roman" w:hAnsi="Times New Roman" w:cs="Times New Roman"/>
          <w:sz w:val="24"/>
          <w:szCs w:val="24"/>
        </w:rPr>
        <w:t xml:space="preserve"> </w:t>
      </w:r>
      <w:r w:rsidR="007E0330">
        <w:rPr>
          <w:rFonts w:ascii="Times New Roman" w:hAnsi="Times New Roman" w:cs="Times New Roman"/>
          <w:sz w:val="24"/>
          <w:szCs w:val="24"/>
        </w:rPr>
        <w:t>¿</w:t>
      </w:r>
      <w:r w:rsidRPr="007E0330">
        <w:rPr>
          <w:rFonts w:ascii="Times New Roman" w:hAnsi="Times New Roman" w:cs="Times New Roman"/>
          <w:sz w:val="24"/>
          <w:szCs w:val="24"/>
        </w:rPr>
        <w:t>Puede la Unión Europea modificar su deslizamiento hacia un liberalismo acrítico, que asume la globalización como el único escenario posible a pesar de la inseguridad social que crea?...</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El miedo sólo empequeñece y debilita. El miedo es reduccionista y castrador. El miedo atonta y acobarda en una perpetua profecía autocumplida. El miedo es pavoroso para todos, menos para quienes lo convierten en negocio o mercancía.</w:t>
      </w:r>
    </w:p>
    <w:p w:rsidR="00BC3D9E" w:rsidRPr="007E0330" w:rsidRDefault="007E0330" w:rsidP="004111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BC3D9E" w:rsidRPr="007E0330">
        <w:rPr>
          <w:rFonts w:ascii="Times New Roman" w:hAnsi="Times New Roman" w:cs="Times New Roman"/>
          <w:sz w:val="24"/>
          <w:szCs w:val="24"/>
        </w:rPr>
        <w:t>Cuál es el “modelo” económico que se intenta imponer en Europa (y por lo que se observa, se está imponiendo)?</w:t>
      </w:r>
      <w:r w:rsidR="00DB24DA">
        <w:rPr>
          <w:rFonts w:ascii="Times New Roman" w:hAnsi="Times New Roman" w:cs="Times New Roman"/>
          <w:sz w:val="24"/>
          <w:szCs w:val="24"/>
        </w:rPr>
        <w:t xml:space="preserve"> </w:t>
      </w:r>
      <w:r>
        <w:rPr>
          <w:rFonts w:ascii="Times New Roman" w:hAnsi="Times New Roman" w:cs="Times New Roman"/>
          <w:sz w:val="24"/>
          <w:szCs w:val="24"/>
        </w:rPr>
        <w:t>¿</w:t>
      </w:r>
      <w:r w:rsidR="00BC3D9E" w:rsidRPr="007E0330">
        <w:rPr>
          <w:rFonts w:ascii="Times New Roman" w:hAnsi="Times New Roman" w:cs="Times New Roman"/>
          <w:sz w:val="24"/>
          <w:szCs w:val="24"/>
        </w:rPr>
        <w:t>El del “conservadurismo compasivo”?</w:t>
      </w:r>
    </w:p>
    <w:p w:rsidR="00BC3D9E" w:rsidRPr="007E0330" w:rsidRDefault="007E0330" w:rsidP="004111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BC3D9E" w:rsidRPr="007E0330">
        <w:rPr>
          <w:rFonts w:ascii="Times New Roman" w:hAnsi="Times New Roman" w:cs="Times New Roman"/>
          <w:sz w:val="24"/>
          <w:szCs w:val="24"/>
        </w:rPr>
        <w:t xml:space="preserve">Qué es el conservadurismo compasivo? </w:t>
      </w:r>
      <w:r w:rsidR="00DB24DA">
        <w:rPr>
          <w:rFonts w:ascii="Times New Roman" w:hAnsi="Times New Roman" w:cs="Times New Roman"/>
          <w:sz w:val="24"/>
          <w:szCs w:val="24"/>
        </w:rPr>
        <w:t>¿</w:t>
      </w:r>
      <w:r w:rsidR="00BC3D9E" w:rsidRPr="007E0330">
        <w:rPr>
          <w:rFonts w:ascii="Times New Roman" w:hAnsi="Times New Roman" w:cs="Times New Roman"/>
          <w:sz w:val="24"/>
          <w:szCs w:val="24"/>
        </w:rPr>
        <w:t xml:space="preserve">Eliminar a 500.000 niños de los programas escolares, como en EEUU? </w:t>
      </w:r>
      <w:r>
        <w:rPr>
          <w:rFonts w:ascii="Times New Roman" w:hAnsi="Times New Roman" w:cs="Times New Roman"/>
          <w:sz w:val="24"/>
          <w:szCs w:val="24"/>
        </w:rPr>
        <w:t>¿</w:t>
      </w:r>
      <w:r w:rsidR="00BC3D9E" w:rsidRPr="007E0330">
        <w:rPr>
          <w:rFonts w:ascii="Times New Roman" w:hAnsi="Times New Roman" w:cs="Times New Roman"/>
          <w:sz w:val="24"/>
          <w:szCs w:val="24"/>
        </w:rPr>
        <w:t>Eliminar a 365.000 niños de la asistencia sanitaria, como en EEUU?</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El bache entre ricos y pobres en EEUU se ha duplicado en los últimos treinta años y ya es comparable al de los años previos a la Gran Depresión. El 5% de la población tiene en sus manos el 60% de la riqueza…</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La Administración Bush ha saboteado desde dentro la Agencia de Medio Ambiente (EPA), ha “retocado” decenas de normas para servir los intereses de la industria y ha dado un paso atrás de 30 años en los niveles de protección. La Casa Blanca llegó a censurar el término “calentamiento global” en los informes de la EPA. Más de 60 científi</w:t>
      </w:r>
      <w:r w:rsidR="007E0330">
        <w:rPr>
          <w:rFonts w:ascii="Times New Roman" w:hAnsi="Times New Roman" w:cs="Times New Roman"/>
          <w:sz w:val="24"/>
          <w:szCs w:val="24"/>
        </w:rPr>
        <w:t>cos, incluidos varios Premios No</w:t>
      </w:r>
      <w:r w:rsidRPr="007E0330">
        <w:rPr>
          <w:rFonts w:ascii="Times New Roman" w:hAnsi="Times New Roman" w:cs="Times New Roman"/>
          <w:sz w:val="24"/>
          <w:szCs w:val="24"/>
        </w:rPr>
        <w:t>bel, dirigieron una carta abierta al presidente pidiéndole que “deje de distorsionar la ciencia con fines políticos”…</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El “modelo” renano vive. Por mucho que le desagrade a los Grandes Bonetes (Dahrendorf, Giddens, Donges, Sinn, Hartz,…). Una economía de mercado que sujeta el éxito económico a la causa de la justicia social.</w:t>
      </w:r>
    </w:p>
    <w:p w:rsidR="00BC3D9E" w:rsidRPr="007E0330"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 xml:space="preserve">Es necesario hacer reformas. Aunque la gente desconfía del término reforma, porque para la mayoría significa reducciones en los beneficios y niveles de vida. De cualquier </w:t>
      </w:r>
      <w:r w:rsidRPr="007E0330">
        <w:rPr>
          <w:rFonts w:ascii="Times New Roman" w:hAnsi="Times New Roman" w:cs="Times New Roman"/>
          <w:sz w:val="24"/>
          <w:szCs w:val="24"/>
        </w:rPr>
        <w:lastRenderedPageBreak/>
        <w:t>manera, construir un Estado de Bienestar adaptado a las nuevas condiciones económicas es una tarea que se debe emprender.</w:t>
      </w:r>
    </w:p>
    <w:p w:rsidR="00BC3D9E" w:rsidRDefault="00BC3D9E" w:rsidP="004111BB">
      <w:pPr>
        <w:spacing w:line="240" w:lineRule="auto"/>
        <w:jc w:val="both"/>
        <w:rPr>
          <w:rFonts w:ascii="Times New Roman" w:hAnsi="Times New Roman" w:cs="Times New Roman"/>
          <w:sz w:val="24"/>
          <w:szCs w:val="24"/>
        </w:rPr>
      </w:pPr>
      <w:r w:rsidRPr="007E0330">
        <w:rPr>
          <w:rFonts w:ascii="Times New Roman" w:hAnsi="Times New Roman" w:cs="Times New Roman"/>
          <w:sz w:val="24"/>
          <w:szCs w:val="24"/>
        </w:rPr>
        <w:t>Se tratará de un Estado de Bienestar basado en un nuevo equilibrio entre la solid</w:t>
      </w:r>
      <w:r w:rsidR="007E0330">
        <w:rPr>
          <w:rFonts w:ascii="Times New Roman" w:hAnsi="Times New Roman" w:cs="Times New Roman"/>
          <w:sz w:val="24"/>
          <w:szCs w:val="24"/>
        </w:rPr>
        <w:t>aridad y el esfuerzo individual…</w:t>
      </w:r>
    </w:p>
    <w:p w:rsidR="007E0330" w:rsidRPr="004111BB" w:rsidRDefault="007E0330" w:rsidP="004111BB">
      <w:pPr>
        <w:spacing w:line="240" w:lineRule="auto"/>
        <w:jc w:val="both"/>
        <w:rPr>
          <w:rFonts w:ascii="Times New Roman" w:hAnsi="Times New Roman" w:cs="Times New Roman"/>
          <w:sz w:val="24"/>
          <w:szCs w:val="24"/>
        </w:rPr>
      </w:pPr>
      <w:r w:rsidRPr="004111BB">
        <w:rPr>
          <w:rFonts w:ascii="Times New Roman" w:hAnsi="Times New Roman" w:cs="Times New Roman"/>
          <w:sz w:val="24"/>
          <w:szCs w:val="24"/>
        </w:rPr>
        <w:t>¿Aunque hoy siga formalmente fragmentado el espíritu que ha animado y anima a Europa, por qué no aventurar un futuro en el que la unidad y diversidad no sean terminológicamente excluyentes, sino conjugables?</w:t>
      </w:r>
    </w:p>
    <w:p w:rsidR="004111BB" w:rsidRPr="004111BB" w:rsidRDefault="004111BB" w:rsidP="004111BB">
      <w:pPr>
        <w:spacing w:line="240" w:lineRule="auto"/>
        <w:jc w:val="both"/>
        <w:rPr>
          <w:rFonts w:ascii="Times New Roman" w:hAnsi="Times New Roman" w:cs="Times New Roman"/>
          <w:sz w:val="24"/>
          <w:szCs w:val="24"/>
        </w:rPr>
      </w:pPr>
      <w:r w:rsidRPr="004111BB">
        <w:rPr>
          <w:rFonts w:ascii="Times New Roman" w:hAnsi="Times New Roman" w:cs="Times New Roman"/>
          <w:sz w:val="24"/>
          <w:szCs w:val="24"/>
        </w:rPr>
        <w:t>En la visión de sus fundadores, Europa está destinada a ser una familia de pueblos hermanos, no cerrada en si misma sino abierta a una misión universal, Europa busca su propia identidad para después poder contribuir a la unidad de la familia humana.</w:t>
      </w:r>
    </w:p>
    <w:p w:rsidR="004111BB" w:rsidRPr="004111BB" w:rsidRDefault="004111BB" w:rsidP="004111BB">
      <w:pPr>
        <w:spacing w:line="240" w:lineRule="auto"/>
        <w:jc w:val="both"/>
        <w:rPr>
          <w:rFonts w:ascii="Times New Roman" w:hAnsi="Times New Roman" w:cs="Times New Roman"/>
          <w:sz w:val="24"/>
          <w:szCs w:val="24"/>
        </w:rPr>
      </w:pPr>
      <w:r w:rsidRPr="004111BB">
        <w:rPr>
          <w:rFonts w:ascii="Times New Roman" w:hAnsi="Times New Roman" w:cs="Times New Roman"/>
          <w:sz w:val="24"/>
          <w:szCs w:val="24"/>
        </w:rPr>
        <w:t xml:space="preserve">Europa ha llegado a un momento decisivo de su existencia y su proyecto futuro. No puede limitarse a ser un mercado o una unión para la seguridad de sus ciudadanos. </w:t>
      </w:r>
    </w:p>
    <w:p w:rsidR="004111BB" w:rsidRPr="004111BB" w:rsidRDefault="004111BB" w:rsidP="004111BB">
      <w:pPr>
        <w:spacing w:line="240" w:lineRule="auto"/>
        <w:jc w:val="both"/>
        <w:rPr>
          <w:rFonts w:ascii="Times New Roman" w:hAnsi="Times New Roman" w:cs="Times New Roman"/>
          <w:sz w:val="24"/>
          <w:szCs w:val="24"/>
        </w:rPr>
      </w:pPr>
      <w:r w:rsidRPr="004111BB">
        <w:rPr>
          <w:rFonts w:ascii="Times New Roman" w:hAnsi="Times New Roman" w:cs="Times New Roman"/>
          <w:sz w:val="24"/>
          <w:szCs w:val="24"/>
        </w:rPr>
        <w:t>Es el continente de la variedad y la belleza y ha vivido momentos de esplendor y crecimiento, pero también ha experimentado la amarga verdad de que el hombre, si no tiene como referencia profundos valores, se desarraiga de su humanidad y se vuelve capaz de los peores males. En el último siglo dos guerras mundiales, campos de concentración, gulag y en especial la Shoah han sido testigos de las tinieblas que han cubierto nuestro continente e influido dolorosamente en el resto del mundo. Y ahora marginaciones, injusticias, explotaciones y la plaga del terrorismo reclaman soluciones.</w:t>
      </w:r>
    </w:p>
    <w:p w:rsidR="004111BB" w:rsidRPr="004111BB" w:rsidRDefault="004111BB" w:rsidP="004111BB">
      <w:pPr>
        <w:spacing w:line="240" w:lineRule="auto"/>
        <w:jc w:val="both"/>
        <w:rPr>
          <w:rFonts w:ascii="Times New Roman" w:hAnsi="Times New Roman" w:cs="Times New Roman"/>
          <w:sz w:val="24"/>
          <w:szCs w:val="24"/>
        </w:rPr>
      </w:pPr>
      <w:r w:rsidRPr="004111BB">
        <w:rPr>
          <w:rFonts w:ascii="Times New Roman" w:hAnsi="Times New Roman" w:cs="Times New Roman"/>
          <w:sz w:val="24"/>
          <w:szCs w:val="24"/>
        </w:rPr>
        <w:t>Los carismas, los dones, nos impulsan a seguir por el camino de la fraternidad universal, que debe representar la vocación más profunda de Europa. La fraternidad es: distribución de bienes y recursos, igualdad y libertad para todos, conocimiento del patrimonio cultural común, apertura a los portadores de otras culturas y tradiciones religiosas, amor solidario con los débiles y pobres de nuestras ciudades, profundo sentido de la familia, atención a la vida en toda su trayectoria natural, cuidado de la naturaleza y del medio ambiente, desarrollo armonioso de los medios de comunicación.</w:t>
      </w:r>
    </w:p>
    <w:p w:rsidR="00BC3D9E" w:rsidRDefault="004111BB" w:rsidP="007E0330">
      <w:pPr>
        <w:spacing w:line="240" w:lineRule="auto"/>
        <w:jc w:val="both"/>
        <w:rPr>
          <w:rFonts w:ascii="Times New Roman" w:hAnsi="Times New Roman" w:cs="Times New Roman"/>
          <w:sz w:val="24"/>
          <w:szCs w:val="24"/>
        </w:rPr>
      </w:pPr>
      <w:r w:rsidRPr="004111BB">
        <w:rPr>
          <w:rFonts w:ascii="Times New Roman" w:hAnsi="Times New Roman" w:cs="Times New Roman"/>
          <w:sz w:val="24"/>
          <w:szCs w:val="24"/>
        </w:rPr>
        <w:t>A través de esta fraternidad  vivida, Europa misma se convierte en un mensaje de paz, una paz activa, que se construye cotidianamente, teniendo como base el perdón que se concede y se pide. Una paz que quiere construir puentes entre los pueblos, “globalizando” la solidaridad y la justicia</w:t>
      </w:r>
      <w:r>
        <w:rPr>
          <w:rFonts w:ascii="Times New Roman" w:hAnsi="Times New Roman" w:cs="Times New Roman"/>
          <w:sz w:val="24"/>
          <w:szCs w:val="24"/>
        </w:rPr>
        <w:t>..</w:t>
      </w:r>
      <w:r w:rsidRPr="004111BB">
        <w:rPr>
          <w:rFonts w:ascii="Times New Roman" w:hAnsi="Times New Roman" w:cs="Times New Roman"/>
          <w:sz w:val="24"/>
          <w:szCs w:val="24"/>
        </w:rPr>
        <w:t>.</w:t>
      </w:r>
    </w:p>
    <w:p w:rsidR="00DB24DA" w:rsidRPr="00DB24DA" w:rsidRDefault="00DB24DA" w:rsidP="00DB24DA">
      <w:pPr>
        <w:spacing w:line="240" w:lineRule="auto"/>
        <w:jc w:val="both"/>
        <w:rPr>
          <w:rFonts w:ascii="Times New Roman" w:hAnsi="Times New Roman" w:cs="Times New Roman"/>
          <w:sz w:val="24"/>
          <w:szCs w:val="24"/>
        </w:rPr>
      </w:pPr>
      <w:r w:rsidRPr="00DB24DA">
        <w:rPr>
          <w:rFonts w:ascii="Times New Roman" w:hAnsi="Times New Roman" w:cs="Times New Roman"/>
          <w:sz w:val="24"/>
          <w:szCs w:val="24"/>
        </w:rPr>
        <w:t>El fin de la guerra fría, cede paso a la era de la globalización. El avance en alta tecnología (robótica, informática, comunicaciones y biotecnología) permite pasar de la sociedad industrial a la sociedad del conocimiento. La distribución internacional del trabajo no existe más. La aldea global deja la guerra sin frente. La discusión entre el modelo anglosajón y el modelo renano se diluye en una batalla de modelos heterodoxos, a los que lo único que les interesa es que el gato cace ratones. Capitalismo socialista. Autocracias capitalistas. Socialismo de libre mercado. Tercera vía. Capitalismo popular…Y cuanta sopa de letras nos permita el análisis combinatorio.</w:t>
      </w:r>
    </w:p>
    <w:p w:rsidR="00DB24DA" w:rsidRPr="00DB24DA" w:rsidRDefault="00DB24DA" w:rsidP="00DB24DA">
      <w:pPr>
        <w:spacing w:line="240" w:lineRule="auto"/>
        <w:jc w:val="both"/>
        <w:rPr>
          <w:rFonts w:ascii="Times New Roman" w:hAnsi="Times New Roman" w:cs="Times New Roman"/>
          <w:sz w:val="24"/>
          <w:szCs w:val="24"/>
        </w:rPr>
      </w:pPr>
      <w:r w:rsidRPr="00DB24DA">
        <w:rPr>
          <w:rFonts w:ascii="Times New Roman" w:hAnsi="Times New Roman" w:cs="Times New Roman"/>
          <w:sz w:val="24"/>
          <w:szCs w:val="24"/>
        </w:rPr>
        <w:t>La economía se convierte en algo más importante que la ideología.</w:t>
      </w:r>
    </w:p>
    <w:p w:rsidR="00DB24DA" w:rsidRPr="00DB24DA" w:rsidRDefault="00DB24DA" w:rsidP="00DB24DA">
      <w:pPr>
        <w:spacing w:line="240" w:lineRule="auto"/>
        <w:jc w:val="both"/>
        <w:rPr>
          <w:rFonts w:ascii="Times New Roman" w:hAnsi="Times New Roman" w:cs="Times New Roman"/>
          <w:sz w:val="24"/>
          <w:szCs w:val="24"/>
        </w:rPr>
      </w:pPr>
      <w:r w:rsidRPr="00DB24DA">
        <w:rPr>
          <w:rFonts w:ascii="Times New Roman" w:hAnsi="Times New Roman" w:cs="Times New Roman"/>
          <w:sz w:val="24"/>
          <w:szCs w:val="24"/>
        </w:rPr>
        <w:t xml:space="preserve">Triunfan aquellos que optaron por: el éxito individual, el beneficio a corto plazo, la financierización, la desregulación, la privatización, que utilizan la inmigración como un arma de disuasión para la mano de obra nacional, que consideran que la pobreza es un problema de las personas, que sostienen que la seguridad social no es favorable para el </w:t>
      </w:r>
      <w:r w:rsidRPr="00DB24DA">
        <w:rPr>
          <w:rFonts w:ascii="Times New Roman" w:hAnsi="Times New Roman" w:cs="Times New Roman"/>
          <w:sz w:val="24"/>
          <w:szCs w:val="24"/>
        </w:rPr>
        <w:lastRenderedPageBreak/>
        <w:t>desarrollo económico, que privilegian la jerarquización de los salarios, que procuran una legislación fiscal que favorece el endeudamiento, que consideran mejor tener menos reglamentos y más abogados para hacer procesos, que prefieren la bolsa, que asumen que el poder en la empresa lo tiene el accionista, que entienden que el papel de la empresa en materia de educación y de formación profesional debe ser el menor posible…</w:t>
      </w:r>
    </w:p>
    <w:p w:rsidR="00DB24DA" w:rsidRPr="00DB24DA" w:rsidRDefault="00DB24DA" w:rsidP="00DB24DA">
      <w:pPr>
        <w:spacing w:line="240" w:lineRule="auto"/>
        <w:jc w:val="both"/>
        <w:rPr>
          <w:rFonts w:ascii="Times New Roman" w:hAnsi="Times New Roman" w:cs="Times New Roman"/>
          <w:sz w:val="24"/>
          <w:szCs w:val="24"/>
        </w:rPr>
      </w:pPr>
      <w:r w:rsidRPr="00DB24DA">
        <w:rPr>
          <w:rFonts w:ascii="Times New Roman" w:hAnsi="Times New Roman" w:cs="Times New Roman"/>
          <w:sz w:val="24"/>
          <w:szCs w:val="24"/>
        </w:rPr>
        <w:t>Aceptan el papel de derrotados, y se someten, aquellos que: valoran el éxito colectivo, el consenso y el beneficio a largo plazo, no aceptan la inmigración como arma persuasiva, consideran que la pobreza es un problema de la nación, no aprueban aumentar la jerarquización de los salarios, consideran el ahorro como una virtud nacional, prefieren tener reglamentos y entienden que el poder en la empresa se reparte entre los accionistas, dirección, banca y personal…</w:t>
      </w:r>
    </w:p>
    <w:p w:rsidR="00DB24DA" w:rsidRPr="00DB24DA" w:rsidRDefault="00DB24DA" w:rsidP="00DB24DA">
      <w:pPr>
        <w:spacing w:line="240" w:lineRule="auto"/>
        <w:jc w:val="both"/>
        <w:rPr>
          <w:rFonts w:ascii="Times New Roman" w:hAnsi="Times New Roman" w:cs="Times New Roman"/>
          <w:sz w:val="24"/>
          <w:szCs w:val="24"/>
        </w:rPr>
      </w:pPr>
      <w:r w:rsidRPr="00DB24DA">
        <w:rPr>
          <w:rFonts w:ascii="Times New Roman" w:hAnsi="Times New Roman" w:cs="Times New Roman"/>
          <w:sz w:val="24"/>
          <w:szCs w:val="24"/>
        </w:rPr>
        <w:t>Es un hecho que a los ojos de la opinión mundial, el capitalismo renano, virtuoso, igualitario, prudente y discreto, carece de atractivos. Lamenta</w:t>
      </w:r>
      <w:r>
        <w:rPr>
          <w:rFonts w:ascii="Times New Roman" w:hAnsi="Times New Roman" w:cs="Times New Roman"/>
          <w:sz w:val="24"/>
          <w:szCs w:val="24"/>
        </w:rPr>
        <w:t>blemente la dirigencia europea -</w:t>
      </w:r>
      <w:r w:rsidRPr="00DB24DA">
        <w:rPr>
          <w:rFonts w:ascii="Times New Roman" w:hAnsi="Times New Roman" w:cs="Times New Roman"/>
          <w:sz w:val="24"/>
          <w:szCs w:val="24"/>
        </w:rPr>
        <w:t>no así, su población, según las encuestas- también ha dado la espalda a su modelo tradicional.</w:t>
      </w:r>
    </w:p>
    <w:p w:rsidR="00DB24DA" w:rsidRPr="00DB24DA" w:rsidRDefault="00DB24DA" w:rsidP="00DB24DA">
      <w:pPr>
        <w:spacing w:line="240" w:lineRule="auto"/>
        <w:jc w:val="both"/>
        <w:rPr>
          <w:rFonts w:ascii="Times New Roman" w:hAnsi="Times New Roman" w:cs="Times New Roman"/>
          <w:sz w:val="24"/>
          <w:szCs w:val="24"/>
        </w:rPr>
      </w:pPr>
      <w:r w:rsidRPr="00DB24DA">
        <w:rPr>
          <w:rFonts w:ascii="Times New Roman" w:hAnsi="Times New Roman" w:cs="Times New Roman"/>
          <w:sz w:val="24"/>
          <w:szCs w:val="24"/>
        </w:rPr>
        <w:t>El capitalismo americano es el sueño rosado, del dinero fácil, de las fortunas súbitas, mediático (o sea: publicitario, financiero y corrompido).</w:t>
      </w:r>
      <w:r>
        <w:rPr>
          <w:rFonts w:ascii="Times New Roman" w:hAnsi="Times New Roman" w:cs="Times New Roman"/>
          <w:sz w:val="24"/>
          <w:szCs w:val="24"/>
        </w:rPr>
        <w:t xml:space="preserve"> </w:t>
      </w:r>
      <w:r w:rsidRPr="00DB24DA">
        <w:rPr>
          <w:rFonts w:ascii="Times New Roman" w:hAnsi="Times New Roman" w:cs="Times New Roman"/>
          <w:sz w:val="24"/>
          <w:szCs w:val="24"/>
        </w:rPr>
        <w:t>El modelo norteamericano sacrifica el futuro al presente.</w:t>
      </w:r>
    </w:p>
    <w:p w:rsidR="00DB24DA" w:rsidRPr="00DB24DA" w:rsidRDefault="00DB24DA" w:rsidP="00DB24DA">
      <w:pPr>
        <w:spacing w:line="240" w:lineRule="auto"/>
        <w:jc w:val="both"/>
        <w:rPr>
          <w:rFonts w:ascii="Times New Roman" w:hAnsi="Times New Roman" w:cs="Times New Roman"/>
          <w:sz w:val="24"/>
          <w:szCs w:val="24"/>
        </w:rPr>
      </w:pPr>
      <w:r w:rsidRPr="00DB24DA">
        <w:rPr>
          <w:rFonts w:ascii="Times New Roman" w:hAnsi="Times New Roman" w:cs="Times New Roman"/>
          <w:sz w:val="24"/>
          <w:szCs w:val="24"/>
        </w:rPr>
        <w:t>Al modelo renano le queda por demostrar –nuevamente- que la protección social más generosa puede ir apareada con una economía más eficiente. Habrá que demostrar –nuevamente- que la inversión en el futuro es el verdadero círculo productivo, la primera fuente de riqueza. Quizás incluso el nuevo camino de la sabiduría.</w:t>
      </w:r>
    </w:p>
    <w:p w:rsidR="00DB24DA" w:rsidRPr="00DB24DA" w:rsidRDefault="00DB24DA" w:rsidP="00DB24DA">
      <w:pPr>
        <w:spacing w:line="240" w:lineRule="auto"/>
        <w:jc w:val="both"/>
        <w:rPr>
          <w:rFonts w:ascii="Times New Roman" w:hAnsi="Times New Roman" w:cs="Times New Roman"/>
          <w:sz w:val="24"/>
          <w:szCs w:val="24"/>
        </w:rPr>
      </w:pPr>
      <w:r w:rsidRPr="00DB24DA">
        <w:rPr>
          <w:rFonts w:ascii="Times New Roman" w:hAnsi="Times New Roman" w:cs="Times New Roman"/>
          <w:sz w:val="24"/>
          <w:szCs w:val="24"/>
        </w:rPr>
        <w:t>La cultura contemporánea es la cultura americana. Los americanos han sido los principales artífices de su transformación en un objeto de consumo masivo, al convertirla en pura diversión y entretenimiento. A través del cine y la televisión, Norteamérica ha esparcido su cultura por todo el mundo.</w:t>
      </w:r>
    </w:p>
    <w:p w:rsidR="00DB24DA" w:rsidRPr="00DB24DA" w:rsidRDefault="00DB24DA" w:rsidP="00DB24DA">
      <w:pPr>
        <w:spacing w:line="240" w:lineRule="auto"/>
        <w:jc w:val="both"/>
        <w:rPr>
          <w:rFonts w:ascii="Times New Roman" w:hAnsi="Times New Roman" w:cs="Times New Roman"/>
          <w:sz w:val="24"/>
          <w:szCs w:val="24"/>
        </w:rPr>
      </w:pPr>
      <w:r w:rsidRPr="00DB24DA">
        <w:rPr>
          <w:rFonts w:ascii="Times New Roman" w:hAnsi="Times New Roman" w:cs="Times New Roman"/>
          <w:sz w:val="24"/>
          <w:szCs w:val="24"/>
        </w:rPr>
        <w:t>La americanización de Europa o de Japón es un hecho innegable. El clientelismo y las técnicas del mercado han triunfado en esta tarea de titanes tenderos.</w:t>
      </w:r>
      <w:r>
        <w:rPr>
          <w:rFonts w:ascii="Times New Roman" w:hAnsi="Times New Roman" w:cs="Times New Roman"/>
          <w:sz w:val="24"/>
          <w:szCs w:val="24"/>
        </w:rPr>
        <w:t xml:space="preserve"> </w:t>
      </w:r>
      <w:r w:rsidRPr="00DB24DA">
        <w:rPr>
          <w:rFonts w:ascii="Times New Roman" w:hAnsi="Times New Roman" w:cs="Times New Roman"/>
          <w:sz w:val="24"/>
          <w:szCs w:val="24"/>
        </w:rPr>
        <w:t>El dominio americano en los contenidos, la estructura y la tecnología de los medios de comunicación, ha representado el mejor apoyo para el imperialismo político y económico de EEUU en detrimento de los valores culturales de otras naciones, que han sufrido el proceso de americanización.</w:t>
      </w:r>
    </w:p>
    <w:p w:rsidR="00DB24DA" w:rsidRPr="00DB24DA" w:rsidRDefault="00DB24DA" w:rsidP="00DB24D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B24DA">
        <w:rPr>
          <w:rFonts w:ascii="Times New Roman" w:hAnsi="Times New Roman" w:cs="Times New Roman"/>
          <w:sz w:val="24"/>
          <w:szCs w:val="24"/>
        </w:rPr>
        <w:t>Para qué conservar la identidad cultural y nacional si estamos entrando en un mercado único?</w:t>
      </w:r>
    </w:p>
    <w:p w:rsidR="00DB24DA" w:rsidRPr="00DB24DA" w:rsidRDefault="00DB24DA" w:rsidP="00DB24DA">
      <w:pPr>
        <w:spacing w:line="240" w:lineRule="auto"/>
        <w:jc w:val="both"/>
        <w:rPr>
          <w:rFonts w:ascii="Times New Roman" w:hAnsi="Times New Roman" w:cs="Times New Roman"/>
          <w:sz w:val="24"/>
          <w:szCs w:val="24"/>
        </w:rPr>
      </w:pPr>
      <w:r w:rsidRPr="00DB24DA">
        <w:rPr>
          <w:rFonts w:ascii="Times New Roman" w:hAnsi="Times New Roman" w:cs="Times New Roman"/>
          <w:sz w:val="24"/>
          <w:szCs w:val="24"/>
        </w:rPr>
        <w:t>Es muy probable que esas personas desarraigadas que están abandonando, cada una por su cuenta, los estados-nación tradicionales, para dirigirse ayudados por el contacto común con el idioma inglés, Internet, la FOX TV, la CNN; y la MTV; y por los instrumentos de comunicación interactivos; hacia el mundo sin fronteras; puede que terminen -en muchos casos; tal vez demasiados- en el limbo del consumismo.</w:t>
      </w:r>
    </w:p>
    <w:p w:rsidR="005134B9" w:rsidRDefault="00DB24DA" w:rsidP="005134B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B24DA">
        <w:rPr>
          <w:rFonts w:ascii="Times New Roman" w:hAnsi="Times New Roman" w:cs="Times New Roman"/>
          <w:sz w:val="24"/>
          <w:szCs w:val="24"/>
        </w:rPr>
        <w:t>Cómo hará la cultura para regenerar ciertas certidumbres que sean una promesa para el futuro, rejerarquizando el valor del hombre en su infinito potencial, más allá de ser un anónimo, solitario, masivo y triste consumidor?</w:t>
      </w:r>
      <w:r w:rsidR="000B336E">
        <w:rPr>
          <w:rFonts w:ascii="Times New Roman" w:hAnsi="Times New Roman" w:cs="Times New Roman"/>
          <w:sz w:val="24"/>
          <w:szCs w:val="24"/>
        </w:rPr>
        <w:t>...</w:t>
      </w:r>
    </w:p>
    <w:p w:rsidR="00AE4218" w:rsidRPr="0067098C" w:rsidRDefault="000211CC" w:rsidP="0067098C">
      <w:pPr>
        <w:spacing w:line="240" w:lineRule="auto"/>
        <w:jc w:val="both"/>
        <w:rPr>
          <w:rFonts w:ascii="Times New Roman" w:hAnsi="Times New Roman" w:cs="Times New Roman"/>
          <w:b/>
          <w:color w:val="222222"/>
          <w:sz w:val="24"/>
          <w:szCs w:val="24"/>
        </w:rPr>
      </w:pPr>
      <w:r>
        <w:rPr>
          <w:rFonts w:ascii="Times New Roman" w:hAnsi="Times New Roman" w:cs="Times New Roman"/>
          <w:b/>
          <w:sz w:val="24"/>
          <w:szCs w:val="24"/>
        </w:rPr>
        <w:lastRenderedPageBreak/>
        <w:t xml:space="preserve">- </w:t>
      </w:r>
      <w:r w:rsidR="00B40902">
        <w:rPr>
          <w:rFonts w:ascii="Times New Roman" w:hAnsi="Times New Roman" w:cs="Times New Roman"/>
          <w:b/>
          <w:sz w:val="24"/>
          <w:szCs w:val="24"/>
        </w:rPr>
        <w:t xml:space="preserve">Diez años después </w:t>
      </w:r>
      <w:r w:rsidR="005134B9" w:rsidRPr="005134B9">
        <w:rPr>
          <w:rFonts w:ascii="Times New Roman" w:hAnsi="Times New Roman" w:cs="Times New Roman"/>
          <w:b/>
          <w:sz w:val="24"/>
          <w:szCs w:val="24"/>
        </w:rPr>
        <w:t>(Octubre 2014)</w:t>
      </w:r>
      <w:r w:rsidR="00B40902">
        <w:rPr>
          <w:rFonts w:ascii="Times New Roman" w:hAnsi="Times New Roman" w:cs="Times New Roman"/>
          <w:b/>
          <w:sz w:val="24"/>
          <w:szCs w:val="24"/>
        </w:rPr>
        <w:t>:</w:t>
      </w:r>
      <w:r w:rsidR="005134B9" w:rsidRPr="005134B9">
        <w:rPr>
          <w:rFonts w:ascii="Times New Roman" w:hAnsi="Times New Roman" w:cs="Times New Roman"/>
          <w:b/>
          <w:sz w:val="24"/>
          <w:szCs w:val="24"/>
        </w:rPr>
        <w:t xml:space="preserve"> </w:t>
      </w:r>
      <w:r w:rsidR="00BC226D">
        <w:rPr>
          <w:rFonts w:ascii="Times New Roman" w:hAnsi="Times New Roman" w:cs="Times New Roman"/>
          <w:b/>
          <w:color w:val="222222"/>
          <w:sz w:val="24"/>
          <w:szCs w:val="24"/>
        </w:rPr>
        <w:t xml:space="preserve">Europa </w:t>
      </w:r>
      <w:r w:rsidR="005134B9" w:rsidRPr="005134B9">
        <w:rPr>
          <w:rFonts w:ascii="Times New Roman" w:hAnsi="Times New Roman" w:cs="Times New Roman"/>
          <w:b/>
          <w:color w:val="222222"/>
          <w:sz w:val="24"/>
          <w:szCs w:val="24"/>
        </w:rPr>
        <w:t xml:space="preserve">y </w:t>
      </w:r>
      <w:r w:rsidR="009319E7" w:rsidRPr="005134B9">
        <w:rPr>
          <w:rFonts w:ascii="Times New Roman" w:hAnsi="Times New Roman" w:cs="Times New Roman"/>
          <w:b/>
          <w:color w:val="222222"/>
          <w:sz w:val="24"/>
          <w:szCs w:val="24"/>
        </w:rPr>
        <w:t xml:space="preserve">el círculo </w:t>
      </w:r>
      <w:r w:rsidR="00290009" w:rsidRPr="005134B9">
        <w:rPr>
          <w:rFonts w:ascii="Times New Roman" w:hAnsi="Times New Roman" w:cs="Times New Roman"/>
          <w:b/>
          <w:color w:val="222222"/>
          <w:sz w:val="24"/>
          <w:szCs w:val="24"/>
        </w:rPr>
        <w:t>“</w:t>
      </w:r>
      <w:r w:rsidR="009319E7" w:rsidRPr="005134B9">
        <w:rPr>
          <w:rFonts w:ascii="Times New Roman" w:hAnsi="Times New Roman" w:cs="Times New Roman"/>
          <w:b/>
          <w:color w:val="222222"/>
          <w:sz w:val="24"/>
          <w:szCs w:val="24"/>
        </w:rPr>
        <w:t>vicioso</w:t>
      </w:r>
      <w:r w:rsidR="00290009" w:rsidRPr="005134B9">
        <w:rPr>
          <w:rFonts w:ascii="Times New Roman" w:hAnsi="Times New Roman" w:cs="Times New Roman"/>
          <w:b/>
          <w:color w:val="222222"/>
          <w:sz w:val="24"/>
          <w:szCs w:val="24"/>
        </w:rPr>
        <w:t>”</w:t>
      </w:r>
      <w:r w:rsidR="009319E7" w:rsidRPr="005134B9">
        <w:rPr>
          <w:rFonts w:ascii="Times New Roman" w:hAnsi="Times New Roman" w:cs="Times New Roman"/>
          <w:b/>
          <w:color w:val="222222"/>
          <w:sz w:val="24"/>
          <w:szCs w:val="24"/>
        </w:rPr>
        <w:t xml:space="preserve"> del decrecimiento</w:t>
      </w:r>
      <w:r w:rsidR="00BC226D">
        <w:rPr>
          <w:rFonts w:ascii="Times New Roman" w:hAnsi="Times New Roman" w:cs="Times New Roman"/>
          <w:b/>
          <w:color w:val="222222"/>
          <w:sz w:val="24"/>
          <w:szCs w:val="24"/>
        </w:rPr>
        <w:t xml:space="preserve"> (más allá de los complejos)</w:t>
      </w:r>
      <w:r w:rsidR="00A46EA9">
        <w:rPr>
          <w:rFonts w:ascii="Times New Roman" w:hAnsi="Times New Roman" w:cs="Times New Roman"/>
          <w:b/>
          <w:color w:val="222222"/>
          <w:sz w:val="24"/>
          <w:szCs w:val="24"/>
        </w:rPr>
        <w:t>.</w:t>
      </w:r>
      <w:r w:rsidR="00BC226D">
        <w:rPr>
          <w:rFonts w:ascii="Times New Roman" w:hAnsi="Times New Roman" w:cs="Times New Roman"/>
          <w:b/>
          <w:color w:val="222222"/>
          <w:sz w:val="24"/>
          <w:szCs w:val="24"/>
        </w:rPr>
        <w:t xml:space="preserve"> Con Kagan</w:t>
      </w:r>
      <w:r w:rsidR="00BD5FA3">
        <w:rPr>
          <w:rFonts w:ascii="Times New Roman" w:hAnsi="Times New Roman" w:cs="Times New Roman"/>
          <w:b/>
          <w:color w:val="222222"/>
          <w:sz w:val="24"/>
          <w:szCs w:val="24"/>
        </w:rPr>
        <w:t xml:space="preserve"> (la </w:t>
      </w:r>
      <w:r w:rsidR="00947B04">
        <w:rPr>
          <w:rFonts w:ascii="Times New Roman" w:hAnsi="Times New Roman" w:cs="Times New Roman"/>
          <w:b/>
          <w:color w:val="222222"/>
          <w:sz w:val="24"/>
          <w:szCs w:val="24"/>
        </w:rPr>
        <w:t>son</w:t>
      </w:r>
      <w:r w:rsidR="00BD5FA3">
        <w:rPr>
          <w:rFonts w:ascii="Times New Roman" w:hAnsi="Times New Roman" w:cs="Times New Roman"/>
          <w:b/>
          <w:color w:val="222222"/>
          <w:sz w:val="24"/>
          <w:szCs w:val="24"/>
        </w:rPr>
        <w:t>risa)</w:t>
      </w:r>
      <w:r w:rsidR="00BC226D">
        <w:rPr>
          <w:rFonts w:ascii="Times New Roman" w:hAnsi="Times New Roman" w:cs="Times New Roman"/>
          <w:b/>
          <w:color w:val="222222"/>
          <w:sz w:val="24"/>
          <w:szCs w:val="24"/>
        </w:rPr>
        <w:t xml:space="preserve"> o sin Kagan</w:t>
      </w:r>
      <w:r w:rsidR="00BD5FA3">
        <w:rPr>
          <w:rFonts w:ascii="Times New Roman" w:hAnsi="Times New Roman" w:cs="Times New Roman"/>
          <w:b/>
          <w:color w:val="222222"/>
          <w:sz w:val="24"/>
          <w:szCs w:val="24"/>
        </w:rPr>
        <w:t xml:space="preserve"> (el sonrojo)</w:t>
      </w:r>
      <w:r w:rsidR="00BC226D">
        <w:rPr>
          <w:rFonts w:ascii="Times New Roman" w:hAnsi="Times New Roman" w:cs="Times New Roman"/>
          <w:b/>
          <w:color w:val="222222"/>
          <w:sz w:val="24"/>
          <w:szCs w:val="24"/>
        </w:rPr>
        <w:t>… seguimos “cagados” ¿Por qué será?</w:t>
      </w:r>
    </w:p>
    <w:p w:rsidR="00746D72" w:rsidRPr="00746D72" w:rsidRDefault="00746D72" w:rsidP="00746D72">
      <w:pPr>
        <w:pStyle w:val="NormalWeb"/>
        <w:jc w:val="both"/>
        <w:rPr>
          <w:u w:val="single"/>
        </w:rPr>
      </w:pPr>
      <w:r w:rsidRPr="00746D72">
        <w:rPr>
          <w:bCs/>
          <w:u w:val="single"/>
        </w:rPr>
        <w:t>Las perspectivas de crecimiento varían en las economías avanzadas</w:t>
      </w:r>
    </w:p>
    <w:p w:rsidR="00A46EA9" w:rsidRPr="00A46EA9" w:rsidRDefault="00A46EA9" w:rsidP="00A46EA9">
      <w:pPr>
        <w:pStyle w:val="survauthor"/>
        <w:spacing w:after="240" w:afterAutospacing="0"/>
        <w:jc w:val="both"/>
      </w:pPr>
      <w:r>
        <w:rPr>
          <w:rStyle w:val="firstletter"/>
          <w:i/>
        </w:rPr>
        <w:t>“</w:t>
      </w:r>
      <w:r w:rsidRPr="00A46EA9">
        <w:rPr>
          <w:rStyle w:val="firstletter"/>
          <w:i/>
        </w:rPr>
        <w:t>L</w:t>
      </w:r>
      <w:r w:rsidRPr="00A46EA9">
        <w:rPr>
          <w:i/>
        </w:rPr>
        <w:t>a recuperación mundial desigual continúa, pero a un ritmo ligeramente más débil que el previsto en abril de 2014, según la última edición de Perspectivas de la economía mundial (informe WEO). El FMI pronostica que el crecimiento mundial medio será de 3,3% en 2014 -es decir, sin variación con respecto a 2013- y que se elevará a 3,8% en 2015</w:t>
      </w:r>
      <w:r>
        <w:rPr>
          <w:i/>
        </w:rPr>
        <w:t>”..</w:t>
      </w:r>
      <w:r w:rsidRPr="00A46EA9">
        <w:rPr>
          <w:i/>
        </w:rPr>
        <w:t>.</w:t>
      </w:r>
      <w:r>
        <w:rPr>
          <w:i/>
        </w:rPr>
        <w:t xml:space="preserve"> </w:t>
      </w:r>
      <w:r w:rsidR="00D73C2C">
        <w:t>(</w:t>
      </w:r>
      <w:r w:rsidRPr="008407DC">
        <w:t>Boletín del FMI</w:t>
      </w:r>
      <w:r w:rsidR="00D73C2C">
        <w:t xml:space="preserve"> - </w:t>
      </w:r>
      <w:r w:rsidRPr="00A46EA9">
        <w:rPr>
          <w:rStyle w:val="hilite"/>
          <w:b/>
        </w:rPr>
        <w:t>7/10/14</w:t>
      </w:r>
      <w:r>
        <w:rPr>
          <w:rStyle w:val="hilite"/>
        </w:rPr>
        <w:t>)</w:t>
      </w:r>
    </w:p>
    <w:p w:rsidR="00A46EA9" w:rsidRDefault="00A46EA9" w:rsidP="00A46EA9">
      <w:pPr>
        <w:pStyle w:val="NormalWeb"/>
        <w:jc w:val="both"/>
      </w:pPr>
      <w:r>
        <w:t>El deterioro de las perspectivas de crecimiento para 2014 es el resultado de reveses en la actividad económica en las economías avanzadas durante el primer semestre de 2014, y de perspectivas menos optimistas en varios países emergentes, señala el informe.</w:t>
      </w:r>
    </w:p>
    <w:p w:rsidR="00A46EA9" w:rsidRDefault="00A46EA9" w:rsidP="00A46EA9">
      <w:pPr>
        <w:pStyle w:val="NormalWeb"/>
        <w:jc w:val="both"/>
      </w:pPr>
      <w:r>
        <w:t>Las tasas de crecimiento potencial -es decir, el ritmo al que el producto anual puede expandirse sin elevar la inflación- también se han revisado a la baja. “Este deterioro de las perspectivas a su vez está incidiendo en la confianza, la demanda y el crecimiento actuales”, dice Olivier Blanchard, Consejero Económico y Director del Departamento de Estudios del FMI.</w:t>
      </w:r>
    </w:p>
    <w:p w:rsidR="00A46EA9" w:rsidRDefault="00A46EA9" w:rsidP="00A46EA9">
      <w:pPr>
        <w:pStyle w:val="NormalWeb"/>
        <w:jc w:val="both"/>
      </w:pPr>
      <w:r>
        <w:t>Según Blanchard, dos fuerzas fundamentales frenan la recuperación mundial. “En las economías avanzadas, las secuelas del auge previo a la crisis y la posterior recesión, en particular las fuertes cargas de la deuda y el elevado desempleo, siguen ensombreciendo la recuperación, y el bajo crecimiento potencial que se avecina es motivo de preocupación”. Varias economías emergentes también se están adaptando al menor crecimiento potencial.</w:t>
      </w:r>
    </w:p>
    <w:p w:rsidR="00A46EA9" w:rsidRDefault="00A46EA9" w:rsidP="00A46EA9">
      <w:pPr>
        <w:pStyle w:val="NormalWeb"/>
        <w:jc w:val="both"/>
      </w:pPr>
      <w:r>
        <w:t>En todo el mundo, la inversión ha sido más débil de lo previsto por algún tiempo. A raíz de esto, “el crecimiento mundial sigue siendo mediocre”, declara Blanchard.</w:t>
      </w:r>
    </w:p>
    <w:p w:rsidR="00A46EA9" w:rsidRDefault="00A46EA9" w:rsidP="00A46EA9">
      <w:pPr>
        <w:pStyle w:val="NormalWeb"/>
        <w:jc w:val="both"/>
      </w:pPr>
      <w:r>
        <w:t>Al mismo tiempo, dice Blanchard, la evolución económica es cada vez más diferenciada en los principales países y regiones, y el ritmo de recuperación depende de las condiciones específicas en cada país.</w:t>
      </w:r>
    </w:p>
    <w:p w:rsidR="0067098C" w:rsidRDefault="0067098C" w:rsidP="0067098C">
      <w:pPr>
        <w:pStyle w:val="NormalWeb"/>
        <w:jc w:val="both"/>
      </w:pPr>
      <w:r>
        <w:t>Para las economías avanzadas se pronostica que el crecimiento aumentará de 1,8% en 2014 a 2,3% en 2015.</w:t>
      </w:r>
    </w:p>
    <w:p w:rsidR="0067098C" w:rsidRDefault="0067098C" w:rsidP="0067098C">
      <w:pPr>
        <w:pStyle w:val="NormalWeb"/>
        <w:jc w:val="both"/>
      </w:pPr>
      <w:r>
        <w:t xml:space="preserve">Buena parte del fortalecimiento proyectado de la actividad obedece a una aceleración del crecimiento en </w:t>
      </w:r>
      <w:r w:rsidRPr="00746D72">
        <w:rPr>
          <w:bCs/>
        </w:rPr>
        <w:t>Estados Unidos</w:t>
      </w:r>
      <w:r>
        <w:t xml:space="preserve"> después de que se registraran reveses temporales en el primer trimestre de este año. El empleo ha aumentado con fuerza, y los balances de los hogares han mejorado un contexto de condiciones financieras favorables y una recuperación del mercado inmobiliario.</w:t>
      </w:r>
    </w:p>
    <w:p w:rsidR="0067098C" w:rsidRDefault="0067098C" w:rsidP="0067098C">
      <w:pPr>
        <w:pStyle w:val="NormalWeb"/>
        <w:jc w:val="both"/>
      </w:pPr>
      <w:r>
        <w:t xml:space="preserve">Recientemente, en la </w:t>
      </w:r>
      <w:r w:rsidRPr="00746D72">
        <w:rPr>
          <w:bCs/>
        </w:rPr>
        <w:t>zona del euro</w:t>
      </w:r>
      <w:r>
        <w:t>, los resultados decepcionantes de crecimiento ponen de manifiesto las continuas fragilidades. Se proyecta que se afiance una recuperación gradual pero débil, apoyada por una marcada compresión de los diferenciales de las tasas de interés en las economías que soportan tensiones y tasas de interés en mínimos sin precedentes en las economías del núcleo de la zona del euro.</w:t>
      </w:r>
    </w:p>
    <w:p w:rsidR="0067098C" w:rsidRDefault="0067098C" w:rsidP="0067098C">
      <w:pPr>
        <w:pStyle w:val="NormalWeb"/>
        <w:jc w:val="both"/>
      </w:pPr>
      <w:r>
        <w:lastRenderedPageBreak/>
        <w:t xml:space="preserve">En </w:t>
      </w:r>
      <w:r w:rsidRPr="00746D72">
        <w:rPr>
          <w:bCs/>
        </w:rPr>
        <w:t>Japón</w:t>
      </w:r>
      <w:r>
        <w:t>, el PIB se contrajo más de lo previsto en el segundo trimestre de 2014 tras un aumento del impuesto al consumo. Para 2015 se pronostica que se recupere la inversión privada y que el crecimiento permanezca estable en términos generales.</w:t>
      </w:r>
    </w:p>
    <w:p w:rsidR="0067098C" w:rsidRDefault="0067098C" w:rsidP="00A46EA9">
      <w:pPr>
        <w:pStyle w:val="NormalWeb"/>
        <w:jc w:val="both"/>
      </w:pPr>
      <w:r>
        <w:t>El crecimiento en las economías de mercados emergentes y en desarrollo seguirá representando el grueso del crecimiento mundial. Sin embargo, con un pronóstico de 4% para 2014, ese crecimiento será un poco más débil que el pronosticado en el informe WEO de abril de 2014. Esta desaceleración es consecuencia de la floja demanda interna y del impacto de crecientes tensiones geopolíticas, sobre todo en Rusia y los países vecinos.</w:t>
      </w:r>
    </w:p>
    <w:p w:rsidR="00746D72" w:rsidRDefault="00746D72" w:rsidP="00A46EA9">
      <w:pPr>
        <w:pStyle w:val="NormalWeb"/>
        <w:jc w:val="both"/>
      </w:pPr>
      <w:r>
        <w:rPr>
          <w:noProof/>
        </w:rPr>
        <w:drawing>
          <wp:inline distT="0" distB="0" distL="0" distR="0" wp14:anchorId="5023E087" wp14:editId="0B6989A4">
            <wp:extent cx="5397500" cy="6711950"/>
            <wp:effectExtent l="0" t="0" r="0" b="0"/>
            <wp:docPr id="1" name="Imagen 1" descr="weo_tbl_10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eo_tbl_102014.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0040" cy="6715109"/>
                    </a:xfrm>
                    <a:prstGeom prst="rect">
                      <a:avLst/>
                    </a:prstGeom>
                    <a:noFill/>
                    <a:ln>
                      <a:noFill/>
                    </a:ln>
                  </pic:spPr>
                </pic:pic>
              </a:graphicData>
            </a:graphic>
          </wp:inline>
        </w:drawing>
      </w:r>
    </w:p>
    <w:p w:rsidR="00A46EA9" w:rsidRDefault="00A46EA9" w:rsidP="00A46EA9">
      <w:pPr>
        <w:pStyle w:val="NormalWeb"/>
        <w:jc w:val="both"/>
      </w:pPr>
      <w:r>
        <w:lastRenderedPageBreak/>
        <w:t xml:space="preserve">• En </w:t>
      </w:r>
      <w:r w:rsidRPr="00746D72">
        <w:rPr>
          <w:bCs/>
        </w:rPr>
        <w:t>China</w:t>
      </w:r>
      <w:r>
        <w:t xml:space="preserve"> se prevé que el crecimien</w:t>
      </w:r>
      <w:r w:rsidR="00746D72">
        <w:t>to se reduzca levemente en 2014-</w:t>
      </w:r>
      <w:r>
        <w:t>15 a 7,4%, a medida que la economía entra en una trayectoria de crecimiento más sostenido. En otras economías emergentes y en desarrollo de Asia se prevé que el crecimiento siga siendo sólido.</w:t>
      </w:r>
    </w:p>
    <w:p w:rsidR="00A46EA9" w:rsidRDefault="00A46EA9" w:rsidP="00A46EA9">
      <w:pPr>
        <w:pStyle w:val="NormalWeb"/>
        <w:jc w:val="both"/>
      </w:pPr>
      <w:r>
        <w:t xml:space="preserve">• Según las proyecciones, en </w:t>
      </w:r>
      <w:r w:rsidRPr="00746D72">
        <w:rPr>
          <w:bCs/>
        </w:rPr>
        <w:t>América Latina</w:t>
      </w:r>
      <w:r>
        <w:t xml:space="preserve"> la tasa de crecimiento se reducirá en la mitad este año, a alrededor de 1,3%, debido a factores externos, incluidas las exportaciones que fueron más flojas de lo previsto, y a limitaciones internas. Se prevé que el crecimiento repuntará a alrededor de 2,2% en 2015. </w:t>
      </w:r>
    </w:p>
    <w:p w:rsidR="00A46EA9" w:rsidRDefault="00A46EA9" w:rsidP="00A46EA9">
      <w:pPr>
        <w:pStyle w:val="NormalWeb"/>
        <w:jc w:val="both"/>
      </w:pPr>
      <w:r>
        <w:t xml:space="preserve">• En </w:t>
      </w:r>
      <w:r w:rsidRPr="00746D72">
        <w:rPr>
          <w:bCs/>
        </w:rPr>
        <w:t>África subsahariana</w:t>
      </w:r>
      <w:r>
        <w:t xml:space="preserve"> se prevé un crecimiento más vigoroso gracias a condiciones más favorables de la demanda externa y una fuerte demanda de inversión, aunque las perspectivas varían de un país a otro.</w:t>
      </w:r>
    </w:p>
    <w:p w:rsidR="00A46EA9" w:rsidRDefault="00A46EA9" w:rsidP="00A46EA9">
      <w:pPr>
        <w:pStyle w:val="NormalWeb"/>
        <w:jc w:val="both"/>
      </w:pPr>
      <w:r>
        <w:t xml:space="preserve">• En </w:t>
      </w:r>
      <w:r w:rsidRPr="00746D72">
        <w:rPr>
          <w:bCs/>
        </w:rPr>
        <w:t>Oriente Medio y Norte de África</w:t>
      </w:r>
      <w:r>
        <w:t xml:space="preserve"> la recuperación todavía sigue siendo frágil a pesar de que se espera que el crecimiento empiece a repuntar levemente gracias a la mejora de las condiciones de seguridad interna y a un fortalecimiento de la demanda externa. Consideraciones similares apuntalan las mejoras moderadas de la actividad en </w:t>
      </w:r>
      <w:r w:rsidRPr="00746D72">
        <w:rPr>
          <w:bCs/>
        </w:rPr>
        <w:t>Rusia</w:t>
      </w:r>
      <w:r>
        <w:rPr>
          <w:b/>
          <w:bCs/>
        </w:rPr>
        <w:t xml:space="preserve"> y </w:t>
      </w:r>
      <w:r w:rsidRPr="00746D72">
        <w:rPr>
          <w:bCs/>
        </w:rPr>
        <w:t>otras economías de la Comunidad de Estados Independientes</w:t>
      </w:r>
      <w:r>
        <w:t>.</w:t>
      </w:r>
    </w:p>
    <w:p w:rsidR="00A46EA9" w:rsidRDefault="00A46EA9" w:rsidP="00A46EA9">
      <w:pPr>
        <w:pStyle w:val="NormalWeb"/>
        <w:jc w:val="both"/>
      </w:pPr>
      <w:r>
        <w:t>El informe WEO de octubre destaca el au</w:t>
      </w:r>
      <w:r w:rsidR="00746D72">
        <w:t>mento de los riesgos a la baja -</w:t>
      </w:r>
      <w:r>
        <w:t>tan</w:t>
      </w:r>
      <w:r w:rsidR="00746D72">
        <w:t>to a corto como a mediano plazo-</w:t>
      </w:r>
      <w:r>
        <w:t xml:space="preserve"> que podría hacer mella en la confianza y el crecimiento.</w:t>
      </w:r>
    </w:p>
    <w:p w:rsidR="00A46EA9" w:rsidRDefault="00A46EA9" w:rsidP="00A46EA9">
      <w:pPr>
        <w:pStyle w:val="NormalWeb"/>
        <w:jc w:val="both"/>
      </w:pPr>
      <w:r>
        <w:t xml:space="preserve">• </w:t>
      </w:r>
      <w:r w:rsidRPr="00746D72">
        <w:rPr>
          <w:bCs/>
        </w:rPr>
        <w:t>Los riesgos geopolíticos más intensos</w:t>
      </w:r>
      <w:r>
        <w:rPr>
          <w:b/>
          <w:bCs/>
        </w:rPr>
        <w:t xml:space="preserve"> </w:t>
      </w:r>
      <w:r>
        <w:t>podrían resultar más persistentes, y además podrían empeorar, lo cual podría provocar un alza drástica de los precios de los combustibles, perturbaciones en el comercio y mayores tensiones económicas.</w:t>
      </w:r>
    </w:p>
    <w:p w:rsidR="00A46EA9" w:rsidRDefault="00A46EA9" w:rsidP="00A46EA9">
      <w:pPr>
        <w:pStyle w:val="NormalWeb"/>
        <w:jc w:val="both"/>
      </w:pPr>
      <w:r>
        <w:t xml:space="preserve">• Las condiciones financieras favorables, y la consiguiente búsqueda de rendimientos, podrían dar lugar a </w:t>
      </w:r>
      <w:r w:rsidRPr="00746D72">
        <w:rPr>
          <w:bCs/>
        </w:rPr>
        <w:t>excesos financieros</w:t>
      </w:r>
      <w:r>
        <w:t>. Es posible que los mercados hayan infravalorado los riesgos al no tener plenamente en cuenta las incertidumbres que rodean a las perspectivas mundiales. Un aumento mayor de lo previsto de las tasas de interés a largo plazo en Estados Unidos, acontecimientos geopolíticos o resultados de crecimiento muy decepcionantes, podrían desencadenar perturbaciones generalizadas.</w:t>
      </w:r>
    </w:p>
    <w:p w:rsidR="00A46EA9" w:rsidRDefault="00A46EA9" w:rsidP="00A46EA9">
      <w:pPr>
        <w:pStyle w:val="NormalWeb"/>
        <w:jc w:val="both"/>
      </w:pPr>
      <w:r>
        <w:t xml:space="preserve">• En las economías avanzadas, el </w:t>
      </w:r>
      <w:r w:rsidRPr="00746D72">
        <w:rPr>
          <w:bCs/>
        </w:rPr>
        <w:t>estancamiento secular</w:t>
      </w:r>
      <w:r>
        <w:rPr>
          <w:b/>
          <w:bCs/>
        </w:rPr>
        <w:t xml:space="preserve"> </w:t>
      </w:r>
      <w:r>
        <w:t xml:space="preserve">(una situación de un déficit persistente de inversión en relación con el ahorro, aun con tasas de interés cercanas a cero) y el </w:t>
      </w:r>
      <w:r w:rsidRPr="00746D72">
        <w:rPr>
          <w:bCs/>
        </w:rPr>
        <w:t>bajo crecimiento potencial</w:t>
      </w:r>
      <w:r>
        <w:rPr>
          <w:b/>
          <w:bCs/>
        </w:rPr>
        <w:t xml:space="preserve"> </w:t>
      </w:r>
      <w:r>
        <w:t xml:space="preserve">continúan siendo importantes riesgos a mediano plazo, pese a que las tasas de interés permanecen en niveles muy bajos y a que ha aumentado el apetito de riesgo en los mercados financieros. Un </w:t>
      </w:r>
      <w:r w:rsidRPr="00746D72">
        <w:rPr>
          <w:bCs/>
        </w:rPr>
        <w:t>período prolongado de</w:t>
      </w:r>
      <w:r w:rsidRPr="00746D72">
        <w:t xml:space="preserve"> </w:t>
      </w:r>
      <w:r w:rsidRPr="00746D72">
        <w:rPr>
          <w:bCs/>
        </w:rPr>
        <w:t>inflación baja</w:t>
      </w:r>
      <w:r>
        <w:rPr>
          <w:b/>
          <w:bCs/>
        </w:rPr>
        <w:t xml:space="preserve"> </w:t>
      </w:r>
      <w:r>
        <w:t>o una deflación propiamente dicha, particularmente en la zona del euro, podría suponer un riesgo para la actividad y la sostenibilidad de la deuda en algunos países.</w:t>
      </w:r>
    </w:p>
    <w:p w:rsidR="00A46EA9" w:rsidRDefault="00A46EA9" w:rsidP="00A46EA9">
      <w:pPr>
        <w:pStyle w:val="NormalWeb"/>
        <w:jc w:val="both"/>
      </w:pPr>
      <w:r>
        <w:t xml:space="preserve">• En el caso de los mercados emergentes, el crecimiento potencial podría ser </w:t>
      </w:r>
      <w:r w:rsidR="00746D72">
        <w:t>aún</w:t>
      </w:r>
      <w:r>
        <w:t xml:space="preserve"> menor de lo proyectado, si las restricciones en el lado de la oferta resultan ser más prolongadas.</w:t>
      </w:r>
    </w:p>
    <w:p w:rsidR="00A46EA9" w:rsidRDefault="00A46EA9" w:rsidP="00A46EA9">
      <w:pPr>
        <w:pStyle w:val="NormalWeb"/>
        <w:jc w:val="both"/>
      </w:pPr>
      <w:r>
        <w:t xml:space="preserve">Ante el crecimiento mundial más débil de lo previsto en el primer semestre de 2014 y los mayores riesgos a la baja, es posible que una vez más el crecimiento no repunte o que sea inferior a las expectativas. Esto destaca que, en la mayoría de las economías de </w:t>
      </w:r>
      <w:r>
        <w:lastRenderedPageBreak/>
        <w:t>todo el mundo, debe seguir siendo prioritario elevar el producto real y potencial, explica el FMI.</w:t>
      </w:r>
    </w:p>
    <w:p w:rsidR="00A46EA9" w:rsidRDefault="00A46EA9" w:rsidP="00A46EA9">
      <w:pPr>
        <w:pStyle w:val="NormalWeb"/>
        <w:jc w:val="both"/>
      </w:pPr>
      <w:r>
        <w:t>El gran desafío para las autoridades, señala Blanchard, está en restablecer la confianza mediante planes claros para abordar las secuelas de la crisis y el problema del bajo crecimiento potencial.</w:t>
      </w:r>
    </w:p>
    <w:p w:rsidR="00A46EA9" w:rsidRDefault="00A46EA9" w:rsidP="00A46EA9">
      <w:pPr>
        <w:pStyle w:val="NormalWeb"/>
        <w:jc w:val="both"/>
      </w:pPr>
      <w:r>
        <w:t xml:space="preserve">En las </w:t>
      </w:r>
      <w:r w:rsidRPr="00746D72">
        <w:rPr>
          <w:bCs/>
        </w:rPr>
        <w:t>economías avanzadas</w:t>
      </w:r>
      <w:r>
        <w:t xml:space="preserve"> sigue siendo necesario evitar que la normalización de la política monetaria ocurra demasiado pronto. Hay que regular el ritmo y la composición del ajuste monetario para apoyar la recuperación y sentar las bases para el crecimiento y el empleo a largo plazo. En este contexto, un aumento de la inversión pública en infraestructura podría proporcionar un estímulo a la demanda a corto plazo y ayudar a elevar el producto potencial a mediano plazo en los países con deficiencias en infraestructura claramente identificadas (por ejemplo, el mantenimiento de infraestructura en Estados Unidos y Alemania) y procesos eficientes de inversión pública. También serán cruciales las reformas estructurales que eleven el crecimiento potencial, como por ejemplo reducir las barreras regulatorias a fin de incentivar la innovación y fortalecer la competencia.</w:t>
      </w:r>
    </w:p>
    <w:p w:rsidR="00A46EA9" w:rsidRDefault="00A46EA9" w:rsidP="00A46EA9">
      <w:pPr>
        <w:pStyle w:val="NormalWeb"/>
        <w:jc w:val="both"/>
      </w:pPr>
      <w:r>
        <w:t xml:space="preserve">El margen del que disponen las economías de mercados emergentes para recurrir a políticas macroeconómicas a fin de respaldar el crecimiento varía y es más limitado en los países con vulnerabilidades externas. En esas economías, además, existe una necesidad generalizada y urgente de ejecutar reformas estructurales específicas para afianzar el crecimiento potencial o para lograr un crecimiento más sostenible. Las prioridades consisten en eliminar los cuellos de botella en infraestructura del sector de la energía (India, Sudáfrica); reducir las limitaciones al comercio y la inversión y mejorar el entorno empresarial (Indonesia, Rusia); subsanar las deficiencias educativas, e introducir reformas en los mercados de trabajo y de productos para elevar la competitividad (Brasil, China, India, Sudáfrica). </w:t>
      </w:r>
    </w:p>
    <w:p w:rsidR="00A46EA9" w:rsidRDefault="00A46EA9" w:rsidP="00A46EA9">
      <w:pPr>
        <w:pStyle w:val="NormalWeb"/>
        <w:jc w:val="both"/>
      </w:pPr>
      <w:r>
        <w:t>Al mismo tiempo, los mercados emergentes tendrán que estar preparados para la normalización de la política monetaria en Estados Unidos y los posibles cambios en la actitud de los mercados financieros.</w:t>
      </w:r>
    </w:p>
    <w:p w:rsidR="00746D72" w:rsidRPr="00746D72" w:rsidRDefault="0067098C" w:rsidP="00746D72">
      <w:pPr>
        <w:pStyle w:val="Ttulo2"/>
        <w:jc w:val="both"/>
        <w:rPr>
          <w:b w:val="0"/>
          <w:sz w:val="24"/>
          <w:szCs w:val="24"/>
          <w:u w:val="single"/>
        </w:rPr>
      </w:pPr>
      <w:r>
        <w:rPr>
          <w:b w:val="0"/>
          <w:sz w:val="24"/>
          <w:szCs w:val="24"/>
          <w:u w:val="single"/>
        </w:rPr>
        <w:t xml:space="preserve">La receta del Fondo: </w:t>
      </w:r>
      <w:r w:rsidR="00B40902">
        <w:rPr>
          <w:b w:val="0"/>
          <w:sz w:val="24"/>
          <w:szCs w:val="24"/>
          <w:u w:val="single"/>
        </w:rPr>
        <w:t>“</w:t>
      </w:r>
      <w:r>
        <w:rPr>
          <w:b w:val="0"/>
          <w:sz w:val="24"/>
          <w:szCs w:val="24"/>
          <w:u w:val="single"/>
        </w:rPr>
        <w:t>s</w:t>
      </w:r>
      <w:r w:rsidR="00746D72" w:rsidRPr="00746D72">
        <w:rPr>
          <w:b w:val="0"/>
          <w:sz w:val="24"/>
          <w:szCs w:val="24"/>
          <w:u w:val="single"/>
        </w:rPr>
        <w:t>e requieren más reformas</w:t>
      </w:r>
      <w:r w:rsidR="00B40902">
        <w:rPr>
          <w:b w:val="0"/>
          <w:sz w:val="24"/>
          <w:szCs w:val="24"/>
          <w:u w:val="single"/>
        </w:rPr>
        <w:t xml:space="preserve"> </w:t>
      </w:r>
      <w:r w:rsidR="00746D72" w:rsidRPr="00746D72">
        <w:rPr>
          <w:b w:val="0"/>
          <w:sz w:val="24"/>
          <w:szCs w:val="24"/>
          <w:u w:val="single"/>
        </w:rPr>
        <w:t>para fortalecer la recuperación</w:t>
      </w:r>
      <w:r w:rsidR="00B40902">
        <w:rPr>
          <w:b w:val="0"/>
          <w:sz w:val="24"/>
          <w:szCs w:val="24"/>
          <w:u w:val="single"/>
        </w:rPr>
        <w:t>”</w:t>
      </w:r>
    </w:p>
    <w:p w:rsidR="00746D72" w:rsidRPr="00746D72" w:rsidRDefault="00746D72" w:rsidP="00746D72">
      <w:pPr>
        <w:pStyle w:val="NormalWeb"/>
        <w:jc w:val="both"/>
      </w:pPr>
      <w:r>
        <w:rPr>
          <w:rStyle w:val="firstletter"/>
          <w:i/>
        </w:rPr>
        <w:t>“</w:t>
      </w:r>
      <w:r w:rsidRPr="00746D72">
        <w:rPr>
          <w:rStyle w:val="firstletter"/>
          <w:i/>
        </w:rPr>
        <w:t>L</w:t>
      </w:r>
      <w:r w:rsidRPr="00746D72">
        <w:rPr>
          <w:i/>
        </w:rPr>
        <w:t>a zona del euro se está recuperando, pero las autoridades deben abordar los obstáculos profundamente arraigados que frenan el crecimiento para garantizar una recuperación sólida y duradera, según el informe más reciente del FMI sobre esta zona monetaria</w:t>
      </w:r>
      <w:r>
        <w:rPr>
          <w:i/>
        </w:rPr>
        <w:t>”..</w:t>
      </w:r>
      <w:r w:rsidRPr="00746D72">
        <w:rPr>
          <w:i/>
        </w:rPr>
        <w:t>.</w:t>
      </w:r>
      <w:r>
        <w:rPr>
          <w:i/>
        </w:rPr>
        <w:t xml:space="preserve"> </w:t>
      </w:r>
      <w:r w:rsidR="00D73C2C">
        <w:t>(</w:t>
      </w:r>
      <w:r w:rsidR="00D73C2C">
        <w:rPr>
          <w:rStyle w:val="hilite"/>
        </w:rPr>
        <w:t xml:space="preserve">Boletín del FMI - </w:t>
      </w:r>
      <w:r w:rsidRPr="00746D72">
        <w:rPr>
          <w:rStyle w:val="hilite"/>
          <w:b/>
        </w:rPr>
        <w:t>14/7/14</w:t>
      </w:r>
      <w:r>
        <w:rPr>
          <w:rStyle w:val="hilite"/>
        </w:rPr>
        <w:t>)</w:t>
      </w:r>
    </w:p>
    <w:p w:rsidR="00746D72" w:rsidRPr="008407DC" w:rsidRDefault="00746D72" w:rsidP="00746D72">
      <w:pPr>
        <w:pStyle w:val="NormalWeb"/>
        <w:jc w:val="both"/>
      </w:pPr>
      <w:r w:rsidRPr="008407DC">
        <w:t>Por fin tenemos un motivo para estar contentos en la zona del euro, señalan los autores del informe. La economía se está recuperando gradualmente, y los mercados financieros se muestran optimistas. La aplicación de enérgicas medidas de política ha ayudado a esta reactivación.</w:t>
      </w:r>
    </w:p>
    <w:p w:rsidR="00746D72" w:rsidRPr="008407DC" w:rsidRDefault="00746D72" w:rsidP="00746D72">
      <w:pPr>
        <w:pStyle w:val="NormalWeb"/>
        <w:jc w:val="both"/>
      </w:pPr>
      <w:r w:rsidRPr="008407DC">
        <w:t xml:space="preserve">Pero la recuperación económica está resultando más débil de lo esperado, según se indica el informe, y no todos los países están creciendo. El producto y la inversión aún se sitúan por debajo de los niveles previos a la crisis. Los altos niveles de desempleo, las pesadas cargas de la deuda, las mayores tasas de interés reales en las economías </w:t>
      </w:r>
      <w:r w:rsidRPr="008407DC">
        <w:lastRenderedPageBreak/>
        <w:t>sometidas a tensiones, los bancos débiles y la contracción del crédito obstaculizan la reactivación de la demanda interna. Esta situación hace que la región sea demasiado dependiente de la demanda externa y esté expuesta a riesgos externos, ya sean fisuras geopolíticas o una desaceleración del crecimiento en los socios comerciales. Las perspectivas de crecimiento son modestas.</w:t>
      </w:r>
    </w:p>
    <w:p w:rsidR="00746D72" w:rsidRPr="008407DC" w:rsidRDefault="00746D72" w:rsidP="00746D72">
      <w:pPr>
        <w:pStyle w:val="NormalWeb"/>
        <w:jc w:val="both"/>
      </w:pPr>
      <w:r w:rsidRPr="008407DC">
        <w:t xml:space="preserve">Persisten los bajos niveles de inflación, según los autores del informe, quienes señalan que si la inflación se mantiene muy por debajo del objetivo de estabilidad de precios del Banco Central Europeo (BCE), la carga de la deuda crecerá aún más, las tasas de interés reales permanecerán innecesariamente elevadas, frenando la demanda, y podría erosionarse la credibilidad del banco central. </w:t>
      </w:r>
    </w:p>
    <w:p w:rsidR="00746D72" w:rsidRPr="008407DC" w:rsidRDefault="00746D72" w:rsidP="00746D72">
      <w:pPr>
        <w:pStyle w:val="NormalWeb"/>
        <w:jc w:val="both"/>
      </w:pPr>
      <w:r w:rsidRPr="008407DC">
        <w:t xml:space="preserve">También existen obstáculos del lado de la oferta que frenan el crecimiento, como se indica en el informe. Las rigideces y las brechas en los mercados de capital, de trabajo y de productos continúan obstaculizando la productividad, la creación de empleo y el desplazamiento de los recursos del sector de bienes no transables hacia el sector de bienes transables. Los niveles persistentemente altos de desempleo y el bajo nivel de inversión podrían reducir la capacidad de la economía para crecer en el futuro inmediato. </w:t>
      </w:r>
    </w:p>
    <w:p w:rsidR="00746D72" w:rsidRPr="008407DC" w:rsidRDefault="00746D72" w:rsidP="00746D72">
      <w:pPr>
        <w:pStyle w:val="NormalWeb"/>
        <w:jc w:val="both"/>
      </w:pPr>
      <w:r w:rsidRPr="008407DC">
        <w:t>Según el informe, la fatiga de la reforma comienza a hacer mella. Los resultados de las elecciones europeas podrían no ser favorables para una mayor integración dentro de la zona del euro, lo que podría poner en peligro las reformas necesarias para apoyar la recuperación económica.</w:t>
      </w:r>
    </w:p>
    <w:p w:rsidR="00746D72" w:rsidRPr="00746D72" w:rsidRDefault="00746D72" w:rsidP="00746D72">
      <w:pPr>
        <w:pStyle w:val="NormalWeb"/>
        <w:jc w:val="both"/>
      </w:pPr>
      <w:r w:rsidRPr="00746D72">
        <w:rPr>
          <w:bCs/>
          <w:i/>
          <w:iCs/>
        </w:rPr>
        <w:t xml:space="preserve">Para contrarrestar estos riesgos, en el informe se insta a los países a realizar esfuerzos concertados en materia de políticas para fortalecer la recuperación económica e incrementar la inflación. </w:t>
      </w:r>
    </w:p>
    <w:p w:rsidR="00746D72" w:rsidRPr="00746D72" w:rsidRDefault="00746D72" w:rsidP="00746D72">
      <w:pPr>
        <w:pStyle w:val="NormalWeb"/>
        <w:jc w:val="both"/>
      </w:pPr>
      <w:r w:rsidRPr="00746D72">
        <w:rPr>
          <w:bCs/>
        </w:rPr>
        <w:t>Respaldar la demanda hasta que Europa se recupere</w:t>
      </w:r>
    </w:p>
    <w:p w:rsidR="00746D72" w:rsidRPr="008407DC" w:rsidRDefault="00746D72" w:rsidP="00746D72">
      <w:pPr>
        <w:pStyle w:val="NormalWeb"/>
        <w:jc w:val="both"/>
      </w:pPr>
      <w:r w:rsidRPr="008407DC">
        <w:t xml:space="preserve">La política pública debe apuntalar la demanda interna hasta que desaparezca la amenaza derivada del bajo nivel de inflación y los bancos vuelvan a estar dispuestos a otorgar crédito. El objetivo de las medidas adoptadas por el BCE es precisamente este. Sin embargo, es posible que el BCE tenga que hacer más si la inflación se mantiene persistentemente baja, y quizá deba expandir considerablemente su balance, como han hecho otros grandes bancos centrales, a fin de transmitir una señal clara de que utilizará todos los instrumentos disponibles para cumplir su mandato de estabilidad de precios, señalan los autores. </w:t>
      </w:r>
    </w:p>
    <w:p w:rsidR="00746D72" w:rsidRPr="008407DC" w:rsidRDefault="00746D72" w:rsidP="00746D72">
      <w:pPr>
        <w:pStyle w:val="NormalWeb"/>
        <w:jc w:val="both"/>
      </w:pPr>
      <w:r w:rsidRPr="008407DC">
        <w:t xml:space="preserve">En el ámbito de la política fiscal, la orientación general neutral mantiene un punto de equilibrio adecuado entre contener la trayectoria de deuda pública y respaldar la demanda. Sin embargo, las autoridades no deberían recurrir a recortes presupuestarios si el crecimiento cae por debajo de las expectativas. </w:t>
      </w:r>
    </w:p>
    <w:p w:rsidR="00746D72" w:rsidRPr="00746D72" w:rsidRDefault="00746D72" w:rsidP="00746D72">
      <w:pPr>
        <w:pStyle w:val="NormalWeb"/>
        <w:jc w:val="both"/>
      </w:pPr>
      <w:r w:rsidRPr="00746D72">
        <w:rPr>
          <w:bCs/>
        </w:rPr>
        <w:t>Sanear los balances y reactivar el crédito</w:t>
      </w:r>
    </w:p>
    <w:p w:rsidR="00746D72" w:rsidRPr="008407DC" w:rsidRDefault="00746D72" w:rsidP="00746D72">
      <w:pPr>
        <w:pStyle w:val="NormalWeb"/>
        <w:jc w:val="both"/>
      </w:pPr>
      <w:r w:rsidRPr="008407DC">
        <w:t xml:space="preserve">Las autoridades de la zona del euro han avanzado considerablemente hacia una unión bancaria más completa, según se indica en el informe. El Mecanismo Único de Supervisión (MUS) entrará en funcionamiento a finales de este año, y esto facilitará el </w:t>
      </w:r>
      <w:r w:rsidRPr="008407DC">
        <w:lastRenderedPageBreak/>
        <w:t>flujo de fondos entre los países y reducirá la fragmentación financiera. Se ha simplificado el proceso de toma de decisiones para el Mecanismo Único de Resolución (MUR), y ha mejorado el mecanismo de distribución de la carga del Fondo Único de Resolución (FUR).</w:t>
      </w:r>
    </w:p>
    <w:p w:rsidR="00746D72" w:rsidRPr="008407DC" w:rsidRDefault="00746D72" w:rsidP="00746D72">
      <w:pPr>
        <w:pStyle w:val="NormalWeb"/>
        <w:jc w:val="both"/>
      </w:pPr>
      <w:r w:rsidRPr="008407DC">
        <w:t>Por otra parte, también se han fortalecido los balances de los bancos. El proceso de evaluación integral de los balances de los bancos realizado por el BCE ya está claramente en marcha. El ambicioso calendario establecido para los bancos con el objeto de subsanar deficiencias de capital después de este proceso de evaluación debería ser viable, dada la mejora considerable de las condiciones del mercado. Sin embargo, se debería instar a los bancos a elevar de manera proactiva su capital, como se indica en el informe.</w:t>
      </w:r>
    </w:p>
    <w:p w:rsidR="00746D72" w:rsidRPr="008407DC" w:rsidRDefault="00746D72" w:rsidP="00746D72">
      <w:pPr>
        <w:pStyle w:val="NormalWeb"/>
        <w:jc w:val="both"/>
      </w:pPr>
      <w:r w:rsidRPr="008407DC">
        <w:t xml:space="preserve">Sin embargo, aún es necesario poner en práctica un mecanismo común de apoyo fiscal para quebrar el vínculo pernicioso entre los bancos y los balances soberanos. El acuerdo político para permitir que el Mecanismo de Estabilidad Financiera recapitalice directamente los bancos es un paso hacia adelante, pero no debería ponerse el listón tan alto de manera que a los bancos les resulte demasiado difícil acceder a este servicio. Con respecto al sector empresarial, será importante facilitar la reestructuración de la deuda, por ejemplo, mediante el fortalecimiento de los marcos nacionales de insolvencia. </w:t>
      </w:r>
    </w:p>
    <w:p w:rsidR="00746D72" w:rsidRPr="00746D72" w:rsidRDefault="00746D72" w:rsidP="00746D72">
      <w:pPr>
        <w:pStyle w:val="NormalWeb"/>
        <w:jc w:val="both"/>
      </w:pPr>
      <w:r w:rsidRPr="00746D72">
        <w:rPr>
          <w:bCs/>
        </w:rPr>
        <w:t xml:space="preserve">Liberar el potencial de crecimiento mejorando las estructuras económicas </w:t>
      </w:r>
    </w:p>
    <w:p w:rsidR="00746D72" w:rsidRPr="008407DC" w:rsidRDefault="00746D72" w:rsidP="00746D72">
      <w:pPr>
        <w:pStyle w:val="NormalWeb"/>
        <w:jc w:val="both"/>
      </w:pPr>
      <w:r w:rsidRPr="008407DC">
        <w:t>En el informe se argumenta que será difícil que el crecimiento despegue de manera sostenible hasta que se reduzcan las barreras estructurales. Esto significa desarrollar los mercados de capital para que las pequeñas y medianas empresas tengan otros mecanismos de financiamiento además de los bancos, y los bancos puedan gestionar los riesgos de manera segura y crear mayor margen en sus balances para aumentar el crédito. Las reformas del mercado de trabajo deben seguir avanzando a buen ritmo, a fin de estimular la productividad y la inversión, lograr que las exportaciones de la zona del euro sean más competitivas y fomentar el empleo. Por ejemplo, la reducción de los costos de contratación y el desarrollo de programas de capacitación eficaces podrían ayudar a reducir las elevadas tasas de desempleo juvenil. Debería implementarse la Directiva de Servicios para crear apertura en las profesiones protegidas y promover la competencia fomentando la prestación de servicios transfronterizos.</w:t>
      </w:r>
    </w:p>
    <w:p w:rsidR="00746D72" w:rsidRPr="008407DC" w:rsidRDefault="00746D72" w:rsidP="00746D72">
      <w:pPr>
        <w:pStyle w:val="NormalWeb"/>
        <w:jc w:val="both"/>
      </w:pPr>
      <w:r w:rsidRPr="008407DC">
        <w:t xml:space="preserve">A mediano plazo, podría simplificarse el marco fiscal excesivamente complicado y reforzar su cumplimiento. Para proteger la inversión pública vital, es necesario fortalecer la capacidad del centro para financiar ciertos proyectos, como las inversiones transfronterizas en redes de transporte, comunicaciones y energía. </w:t>
      </w:r>
    </w:p>
    <w:p w:rsidR="00746D72" w:rsidRPr="00B40902" w:rsidRDefault="00746D72" w:rsidP="00746D72">
      <w:pPr>
        <w:pStyle w:val="NormalWeb"/>
        <w:jc w:val="both"/>
        <w:rPr>
          <w:i/>
        </w:rPr>
      </w:pPr>
      <w:r w:rsidRPr="00B40902">
        <w:rPr>
          <w:i/>
        </w:rPr>
        <w:t xml:space="preserve">En resumen, el personal técnico del FMI concluye que la zona del euro debe proseguir con las reformas a fin de respaldar y reforzar su recuperación. </w:t>
      </w:r>
    </w:p>
    <w:p w:rsidR="009C3BBD" w:rsidRDefault="009C3BBD" w:rsidP="00746D72">
      <w:pPr>
        <w:pStyle w:val="NormalWeb"/>
        <w:jc w:val="both"/>
      </w:pPr>
      <w:r>
        <w:t>Luego de leer a “los que saben”, con sus proyecciones y recomendaciones, me permitirán (con toda humildad) hacerles algunos comentarios de “cabotaje” (al hilo del vivir), más como profesional en Administración de Empresas</w:t>
      </w:r>
      <w:r w:rsidR="00B40902">
        <w:t xml:space="preserve"> (retirado)</w:t>
      </w:r>
      <w:r>
        <w:t>, que como Economista amateur</w:t>
      </w:r>
      <w:r w:rsidR="00B40902">
        <w:t xml:space="preserve"> (en decadencia)</w:t>
      </w:r>
      <w:r>
        <w:t>. Aplicando el análi</w:t>
      </w:r>
      <w:r w:rsidR="007A778E">
        <w:t>sis DAFO</w:t>
      </w:r>
      <w:r>
        <w:t xml:space="preserve"> a las capacidades </w:t>
      </w:r>
      <w:r>
        <w:lastRenderedPageBreak/>
        <w:t xml:space="preserve">competitivas de la Unión </w:t>
      </w:r>
      <w:r w:rsidR="007A778E">
        <w:t>Europea, comparando</w:t>
      </w:r>
      <w:r w:rsidRPr="009C3BBD">
        <w:t xml:space="preserve"> sus características internas (Debilidades y Fortalezas) y su situación externa (Amenazas y Oportunidades)</w:t>
      </w:r>
      <w:r w:rsidR="007A778E">
        <w:t>.</w:t>
      </w:r>
    </w:p>
    <w:p w:rsidR="007A778E" w:rsidRDefault="007A778E" w:rsidP="007A778E">
      <w:pPr>
        <w:pStyle w:val="NormalWeb"/>
        <w:jc w:val="both"/>
      </w:pPr>
      <w:r>
        <w:t>El análisis DAFO es una herramienta para conocer la situación real en que se encuentra una organización, empresa o proyecto, y planear una estrategia de futuro.</w:t>
      </w:r>
    </w:p>
    <w:p w:rsidR="007A778E" w:rsidRDefault="007A778E" w:rsidP="007A778E">
      <w:pPr>
        <w:pStyle w:val="NormalWeb"/>
        <w:jc w:val="both"/>
      </w:pPr>
      <w:r>
        <w:t>Durante la etapa de planeamiento estratégico y a partir del análisis DAFO se deben contestar cada una de las siguientes preguntas:</w:t>
      </w:r>
    </w:p>
    <w:p w:rsidR="007A778E" w:rsidRDefault="007A778E" w:rsidP="007A778E">
      <w:pPr>
        <w:pStyle w:val="NormalWeb"/>
        <w:jc w:val="both"/>
      </w:pPr>
      <w:r>
        <w:t>¿Cómo se puede destacar cada fortaleza?</w:t>
      </w:r>
    </w:p>
    <w:p w:rsidR="007A778E" w:rsidRDefault="007A778E" w:rsidP="007A778E">
      <w:pPr>
        <w:pStyle w:val="NormalWeb"/>
        <w:jc w:val="both"/>
      </w:pPr>
      <w:r>
        <w:t>¿Cómo se puede disfrutar cada oportunidad?</w:t>
      </w:r>
    </w:p>
    <w:p w:rsidR="007A778E" w:rsidRDefault="007A778E" w:rsidP="007A778E">
      <w:pPr>
        <w:pStyle w:val="NormalWeb"/>
        <w:jc w:val="both"/>
      </w:pPr>
      <w:r>
        <w:t>¿Cómo se puede defender cada debilidad?</w:t>
      </w:r>
    </w:p>
    <w:p w:rsidR="007A778E" w:rsidRDefault="007A778E" w:rsidP="007A778E">
      <w:pPr>
        <w:pStyle w:val="NormalWeb"/>
        <w:jc w:val="both"/>
      </w:pPr>
      <w:r>
        <w:t>¿Cómo se puede detener cada amenaza?</w:t>
      </w:r>
    </w:p>
    <w:p w:rsidR="007A778E" w:rsidRDefault="007A778E" w:rsidP="007A778E">
      <w:pPr>
        <w:pStyle w:val="NormalWeb"/>
        <w:jc w:val="both"/>
      </w:pPr>
      <w:r>
        <w:t>Este recurso fue creado a principios de la década de los setenta y produjo una revolución en el campo de la estrategia empresarial. El objetivo del análisis DAFO es determinar las ventajas competitivas de la empresa bajo análisis y la estrategia genérica a emplear por la misma que más le convenga en función de sus características propias y de las del mercado en que se mueve.</w:t>
      </w:r>
    </w:p>
    <w:p w:rsidR="004D0F44" w:rsidRDefault="007A778E" w:rsidP="007A778E">
      <w:pPr>
        <w:pStyle w:val="NormalWeb"/>
        <w:jc w:val="both"/>
      </w:pPr>
      <w:r>
        <w:t>En la era de los “modelos</w:t>
      </w:r>
      <w:r w:rsidR="004D0F44">
        <w:t xml:space="preserve"> matemáticos</w:t>
      </w:r>
      <w:r>
        <w:t>” (de corte y confección), de los “algoritmos complejos”, del “h</w:t>
      </w:r>
      <w:r w:rsidR="00914273">
        <w:t xml:space="preserve">igh-frequency </w:t>
      </w:r>
      <w:r w:rsidRPr="007A778E">
        <w:t>trading</w:t>
      </w:r>
      <w:r>
        <w:t>”, de las “apps”, y de tanto “shadow</w:t>
      </w:r>
      <w:r w:rsidR="004D0F44">
        <w:t xml:space="preserve"> banking”… ustedes sabrán perdonar a este viejo (y descreído) observador, volver a las fuentes.</w:t>
      </w:r>
      <w:r w:rsidR="004C3AAD">
        <w:t xml:space="preserve"> La línea básica, vamos.</w:t>
      </w:r>
      <w:r w:rsidR="004D0F44">
        <w:t xml:space="preserve"> </w:t>
      </w:r>
      <w:r w:rsidR="00B40902">
        <w:t>Aunque sea, por pura melancolía.</w:t>
      </w:r>
    </w:p>
    <w:p w:rsidR="004D0F44" w:rsidRDefault="004D0F44" w:rsidP="007A778E">
      <w:pPr>
        <w:pStyle w:val="NormalWeb"/>
        <w:jc w:val="both"/>
      </w:pPr>
      <w:r>
        <w:t>Europa, en general y la Unión Europea en particular (no digamos ya la eurozona, con su lastre monetario), es una región diversa, compleja, lenta, pesada, burocráti</w:t>
      </w:r>
      <w:r w:rsidR="00830201">
        <w:t xml:space="preserve">ca, poco </w:t>
      </w:r>
      <w:r w:rsidR="00B40902">
        <w:t>flexible, escasamente</w:t>
      </w:r>
      <w:r>
        <w:t xml:space="preserve"> dinámica,</w:t>
      </w:r>
      <w:r w:rsidR="00830201">
        <w:t xml:space="preserve"> desconfiada, infiel, insolidaria, envidiosa, rencorosa,</w:t>
      </w:r>
      <w:r>
        <w:t xml:space="preserve"> resistente al cambio, </w:t>
      </w:r>
      <w:r w:rsidR="00830201">
        <w:t>perezosa, nostálgica…</w:t>
      </w:r>
      <w:r>
        <w:t xml:space="preserve"> </w:t>
      </w:r>
      <w:r w:rsidR="00830201">
        <w:t xml:space="preserve"> (la lista</w:t>
      </w:r>
      <w:r w:rsidR="00B40902">
        <w:t xml:space="preserve"> se</w:t>
      </w:r>
      <w:r w:rsidR="00830201">
        <w:t xml:space="preserve"> puede continuar)</w:t>
      </w:r>
      <w:r w:rsidR="00EC0FE4">
        <w:t>.</w:t>
      </w:r>
    </w:p>
    <w:p w:rsidR="009508C2" w:rsidRDefault="00EC0FE4" w:rsidP="007A778E">
      <w:pPr>
        <w:pStyle w:val="NormalWeb"/>
        <w:jc w:val="both"/>
      </w:pPr>
      <w:r>
        <w:t xml:space="preserve">Muchos años de “duelos y quebrantos”, han hecho del europeo un ser con una “memoria genética” poco propensa a la agresividad empresaria, la competitividad, la economía de mercado, el cambio de entorno, los grandes riesgos, </w:t>
      </w:r>
      <w:r w:rsidR="00950B3A">
        <w:t xml:space="preserve">and </w:t>
      </w:r>
      <w:r w:rsidR="00B40902">
        <w:t>“</w:t>
      </w:r>
      <w:r w:rsidR="00950B3A">
        <w:t>the Magic Roundabout</w:t>
      </w:r>
      <w:r w:rsidR="00B40902">
        <w:t>”</w:t>
      </w:r>
      <w:r w:rsidR="00950B3A">
        <w:t xml:space="preserve"> de los becarios de la banca. La única excepción podría ser el Reino Unido (mejor dicho, Londres), pero estos WASP pueden considerarse una embajada d</w:t>
      </w:r>
      <w:r w:rsidR="009508C2">
        <w:t>e los EEUU en Europa</w:t>
      </w:r>
      <w:r w:rsidR="00CD02DD">
        <w:t xml:space="preserve"> (para su uso y abuso). Una banca offshore</w:t>
      </w:r>
      <w:r w:rsidR="00950B3A">
        <w:t xml:space="preserve"> o una bandera de conveniencia de los Estados Unidos</w:t>
      </w:r>
      <w:r w:rsidR="009508C2">
        <w:t>,</w:t>
      </w:r>
      <w:r w:rsidR="00950B3A">
        <w:t xml:space="preserve"> </w:t>
      </w:r>
      <w:r w:rsidR="009508C2">
        <w:t>metida de tapadillo en la Unión Europea.</w:t>
      </w:r>
    </w:p>
    <w:p w:rsidR="004B48C4" w:rsidRDefault="009508C2" w:rsidP="007A778E">
      <w:pPr>
        <w:pStyle w:val="NormalWeb"/>
        <w:jc w:val="both"/>
      </w:pPr>
      <w:r>
        <w:t xml:space="preserve">Si uno es un “gordito” tenista de fin de semana, con más colesterol que energía muscular, con más propensión al “after play” que al </w:t>
      </w:r>
      <w:r w:rsidR="004B48C4">
        <w:t>“</w:t>
      </w:r>
      <w:r>
        <w:t>match point</w:t>
      </w:r>
      <w:r w:rsidR="004B48C4">
        <w:t>”, lo mejor, si es que insiste en jugar al tenis (y ganar, algún partido), es buscarse otro lento, pesado, y pésimo deportista</w:t>
      </w:r>
      <w:r w:rsidR="009769E0">
        <w:t xml:space="preserve"> con el</w:t>
      </w:r>
      <w:r w:rsidR="004B48C4">
        <w:t xml:space="preserve"> que “competir”</w:t>
      </w:r>
      <w:r w:rsidR="009769E0">
        <w:t xml:space="preserve"> de igual a igual</w:t>
      </w:r>
      <w:r w:rsidR="004B48C4">
        <w:t xml:space="preserve"> (y </w:t>
      </w:r>
      <w:r w:rsidR="009769E0">
        <w:t>hacerle pagar las</w:t>
      </w:r>
      <w:r w:rsidR="004B48C4">
        <w:t xml:space="preserve"> copas</w:t>
      </w:r>
      <w:r w:rsidR="005F1A99">
        <w:t xml:space="preserve"> en el bar</w:t>
      </w:r>
      <w:r w:rsidR="009769E0">
        <w:t>)</w:t>
      </w:r>
      <w:r w:rsidR="004B48C4">
        <w:t>.</w:t>
      </w:r>
    </w:p>
    <w:p w:rsidR="00AF33F6" w:rsidRDefault="004B48C4" w:rsidP="007A778E">
      <w:pPr>
        <w:pStyle w:val="NormalWeb"/>
        <w:jc w:val="both"/>
      </w:pPr>
      <w:r>
        <w:t xml:space="preserve">Pero si ese mismo “gordito” por las suyas (malo), o instigado por los demás (peor), decide jugar con el mejor del club, se jodió el invento. No gana, ni por milagro (y pagará todas las copas), además de hacer el mayor de los ridículos. </w:t>
      </w:r>
      <w:r w:rsidR="00AF33F6">
        <w:t>Un juego de tontos.</w:t>
      </w:r>
    </w:p>
    <w:p w:rsidR="008754B8" w:rsidRDefault="00AF33F6" w:rsidP="007A778E">
      <w:pPr>
        <w:pStyle w:val="NormalWeb"/>
        <w:jc w:val="both"/>
      </w:pPr>
      <w:r>
        <w:lastRenderedPageBreak/>
        <w:t>Pues eso (y perdón por la metáfora)</w:t>
      </w:r>
      <w:r w:rsidR="00CD02DD">
        <w:t>,</w:t>
      </w:r>
      <w:r>
        <w:t xml:space="preserve"> es lo que hace la Unión Europea. Trata de jugar en un terreno (y a un deporte) en el que tiene todas las de perder. Y termina “llenando los dedos de cara” a sus rivales. Un fracaso económico monumental y </w:t>
      </w:r>
      <w:r w:rsidR="008754B8">
        <w:t>una estulticia pueril.</w:t>
      </w:r>
      <w:r>
        <w:t xml:space="preserve">  </w:t>
      </w:r>
    </w:p>
    <w:p w:rsidR="003462DE" w:rsidRDefault="008754B8" w:rsidP="007A778E">
      <w:pPr>
        <w:pStyle w:val="NormalWeb"/>
        <w:jc w:val="both"/>
      </w:pPr>
      <w:r>
        <w:t xml:space="preserve">Europa ha abierto su mercado interior (desregulación, </w:t>
      </w:r>
      <w:r w:rsidR="003462DE">
        <w:t>desarme arancelario, librecambio</w:t>
      </w:r>
      <w:r>
        <w:t>, globalizació</w:t>
      </w:r>
      <w:r w:rsidR="003462DE">
        <w:t>n</w:t>
      </w:r>
      <w:r>
        <w:t>),</w:t>
      </w:r>
      <w:r w:rsidR="003462DE">
        <w:t xml:space="preserve"> ha permitido el libre movimiento de capitales (financierización), ha renunciado a su industria (deslocalización), a cambio de nada.</w:t>
      </w:r>
      <w:r w:rsidR="00CD02DD">
        <w:t xml:space="preserve"> De ser miembro</w:t>
      </w:r>
      <w:r w:rsidR="00A026A4">
        <w:t xml:space="preserve"> del club.</w:t>
      </w:r>
      <w:r w:rsidR="003462DE">
        <w:t xml:space="preserve"> </w:t>
      </w:r>
    </w:p>
    <w:p w:rsidR="00A82960" w:rsidRDefault="003462DE" w:rsidP="007A778E">
      <w:pPr>
        <w:pStyle w:val="NormalWeb"/>
        <w:jc w:val="both"/>
      </w:pPr>
      <w:r>
        <w:t>Para estar a la “moda” (según el dictado de la pasarela USA), se ha tragado el “cuento” (mentira, patraña, falsedad, engaño, embuste, trola) del libre mercado, la globalización, la desindustrilización, los servicios, las nuevas tecnologías,</w:t>
      </w:r>
      <w:r w:rsidR="00A82960">
        <w:t xml:space="preserve"> y toda la factoría de ficciones.</w:t>
      </w:r>
      <w:r w:rsidR="00CD02DD">
        <w:t xml:space="preserve"> Para que la dejen sentirse “reina por un día”, ha entregado gratis su mercado.</w:t>
      </w:r>
    </w:p>
    <w:p w:rsidR="00A82960" w:rsidRDefault="00A82960" w:rsidP="007A778E">
      <w:pPr>
        <w:pStyle w:val="NormalWeb"/>
        <w:jc w:val="both"/>
      </w:pPr>
      <w:r>
        <w:t>La diferencia (como en el juego de tenis de la metáfora) entre la desindustrialización de EEUU (principalmente en favor de China) y la de Europa (en favor de los BRICS, y de todo el que pasara por allí), es que USA es más ágil (pícara, si se quier</w:t>
      </w:r>
      <w:r w:rsidR="00A026A4">
        <w:t>e, y poderosa, sin lugar a dudas</w:t>
      </w:r>
      <w:r>
        <w:t xml:space="preserve">) para buscar </w:t>
      </w:r>
      <w:r w:rsidR="00A026A4">
        <w:t>otras soluciones o</w:t>
      </w:r>
      <w:r>
        <w:t xml:space="preserve"> imponerlas</w:t>
      </w:r>
      <w:r w:rsidR="00BF1983">
        <w:t xml:space="preserve"> a terceros</w:t>
      </w:r>
      <w:r>
        <w:t xml:space="preserve"> (de ser necesario).</w:t>
      </w:r>
    </w:p>
    <w:p w:rsidR="00A82960" w:rsidRDefault="00A82960" w:rsidP="007A778E">
      <w:pPr>
        <w:pStyle w:val="NormalWeb"/>
        <w:jc w:val="both"/>
      </w:pPr>
      <w:r>
        <w:t>EEUU desarrolla Silicon Valley, o Boeing (con apoyo del gobierno, en ambos casos), mientras Europa (acomplejada, timorata, y desunida) duda si desarrollar EADS, apoyar a los “campeones nacionales” o preservar su agricultura</w:t>
      </w:r>
      <w:r w:rsidR="00CD02DD">
        <w:t xml:space="preserve"> (PAC)</w:t>
      </w:r>
      <w:r>
        <w:t xml:space="preserve">. </w:t>
      </w:r>
    </w:p>
    <w:p w:rsidR="00BF1983" w:rsidRDefault="00BF1983" w:rsidP="007A778E">
      <w:pPr>
        <w:pStyle w:val="NormalWeb"/>
        <w:jc w:val="both"/>
      </w:pPr>
      <w:r>
        <w:t>EEUU no duda en “cargarse” (cagarse, sería más exacto) Kioto, con el fracking petrolero</w:t>
      </w:r>
      <w:r w:rsidR="00046D9F">
        <w:t>, o el desarrollo de los cultivos transgénicos, mientras Europa lo consulta con los</w:t>
      </w:r>
      <w:r w:rsidR="004C5788">
        <w:t xml:space="preserve"> ecologistas, la “Santa Compaña”…</w:t>
      </w:r>
      <w:r w:rsidR="00830E08">
        <w:t xml:space="preserve"> y sigue haciendo “terapia de grupo”</w:t>
      </w:r>
      <w:r w:rsidR="00046D9F">
        <w:t>.</w:t>
      </w:r>
    </w:p>
    <w:p w:rsidR="00BF1983" w:rsidRDefault="00A82960" w:rsidP="007A778E">
      <w:pPr>
        <w:pStyle w:val="NormalWeb"/>
        <w:jc w:val="both"/>
      </w:pPr>
      <w:r>
        <w:t>EEUU desembarca en Europa con su industria cinematográfica</w:t>
      </w:r>
      <w:r w:rsidR="00284DDD">
        <w:t xml:space="preserve"> (Hollywood)</w:t>
      </w:r>
      <w:r>
        <w:t>, sus canales de televisión</w:t>
      </w:r>
      <w:r w:rsidR="00284DDD">
        <w:t xml:space="preserve"> (Nickelodeon, Disney Channel, Cartoon Network, ESPN, MTV, Discovery Channel, Fox News</w:t>
      </w:r>
      <w:r w:rsidR="00046D9F">
        <w:t>, Bloomberg</w:t>
      </w:r>
      <w:r w:rsidR="00284DDD">
        <w:t>, CNN, CNBC…)</w:t>
      </w:r>
      <w:r>
        <w:t xml:space="preserve">, sus Facebook, </w:t>
      </w:r>
      <w:r w:rsidR="00284DDD">
        <w:t xml:space="preserve">sus </w:t>
      </w:r>
      <w:r>
        <w:t>You Tube,</w:t>
      </w:r>
      <w:r w:rsidR="00284DDD">
        <w:t xml:space="preserve"> sus Twit</w:t>
      </w:r>
      <w:r w:rsidR="004C5788">
        <w:t>ter, sus Apple</w:t>
      </w:r>
      <w:r w:rsidR="00284DDD">
        <w:t>, sus “apps”</w:t>
      </w:r>
      <w:r w:rsidR="004C5788">
        <w:t>, y toda su</w:t>
      </w:r>
      <w:r w:rsidR="00284DDD">
        <w:t xml:space="preserve"> “</w:t>
      </w:r>
      <w:r w:rsidR="00BF1983">
        <w:t>puñetero” poder blando</w:t>
      </w:r>
      <w:r w:rsidR="00A026A4">
        <w:t>, mientras Europa organiza festivales para premiar sus producciones, o hace cola toda la noche para comprar sus nuevos gadgets.</w:t>
      </w:r>
    </w:p>
    <w:p w:rsidR="00BF1983" w:rsidRDefault="004C5788" w:rsidP="007A778E">
      <w:pPr>
        <w:pStyle w:val="NormalWeb"/>
        <w:jc w:val="both"/>
      </w:pPr>
      <w:r>
        <w:t xml:space="preserve">EEUU contagia a Europa </w:t>
      </w:r>
      <w:r w:rsidR="00BF1983">
        <w:t>su Sida financiero (crisis de las hipotecas subprime, titulizaciones), se recupera antes del tsunami, y deja a la UE, “medio embarazada”</w:t>
      </w:r>
      <w:r w:rsidR="00A026A4">
        <w:t>, con una deuda pública y un déficit fiscal, cuya amortización demandará el sacrificio de varias generaciones.</w:t>
      </w:r>
      <w:r w:rsidR="00B756AF">
        <w:t xml:space="preserve"> EEUU sabe (y puede) exportar sus problemas a otros países.</w:t>
      </w:r>
    </w:p>
    <w:p w:rsidR="00A82960" w:rsidRDefault="004C5788" w:rsidP="007A778E">
      <w:pPr>
        <w:pStyle w:val="NormalWeb"/>
        <w:jc w:val="both"/>
      </w:pPr>
      <w:r>
        <w:t>EEUU manda</w:t>
      </w:r>
      <w:r w:rsidR="00BF1983">
        <w:t xml:space="preserve"> a</w:t>
      </w:r>
      <w:r>
        <w:t xml:space="preserve"> través de Wall Street en </w:t>
      </w:r>
      <w:r w:rsidR="00BF1983">
        <w:t>todas las bolsas europeas, que esperan</w:t>
      </w:r>
      <w:r w:rsidR="00BF4EE0">
        <w:t xml:space="preserve"> </w:t>
      </w:r>
      <w:r w:rsidR="00BF1983">
        <w:t>su apertura (varias horas después del horario europ</w:t>
      </w:r>
      <w:r>
        <w:t>eo) para replicar como “borregos</w:t>
      </w:r>
      <w:r w:rsidR="00BF1983">
        <w:t>” su comportamiento</w:t>
      </w:r>
      <w:r>
        <w:t>,</w:t>
      </w:r>
      <w:r w:rsidR="00BF1983">
        <w:t xml:space="preserve"> sin ningún tipo de análisis macro o de fundamentales. Pura manada. </w:t>
      </w:r>
      <w:r w:rsidR="00A82960">
        <w:t xml:space="preserve"> </w:t>
      </w:r>
    </w:p>
    <w:p w:rsidR="00AE2DE8" w:rsidRDefault="00046D9F" w:rsidP="007A778E">
      <w:pPr>
        <w:pStyle w:val="NormalWeb"/>
        <w:jc w:val="both"/>
      </w:pPr>
      <w:r>
        <w:t>En definitiva, para hacerlo corto. Aunque Europa es el “gordito”</w:t>
      </w:r>
      <w:r w:rsidR="00BF4EE0">
        <w:t xml:space="preserve"> jugador de tenis, </w:t>
      </w:r>
      <w:r>
        <w:t xml:space="preserve"> dueño de las raquetas y</w:t>
      </w:r>
      <w:r w:rsidR="004C5788">
        <w:t xml:space="preserve"> las pelotas </w:t>
      </w:r>
      <w:r w:rsidR="009769E0">
        <w:t xml:space="preserve">(que </w:t>
      </w:r>
      <w:r>
        <w:t>además</w:t>
      </w:r>
      <w:r w:rsidR="004C5788">
        <w:t>,</w:t>
      </w:r>
      <w:r>
        <w:t xml:space="preserve"> p</w:t>
      </w:r>
      <w:r w:rsidR="009769E0">
        <w:t xml:space="preserve">aga la </w:t>
      </w:r>
      <w:r w:rsidR="00BF4EE0">
        <w:t>membresía del club a los invitados</w:t>
      </w:r>
      <w:r>
        <w:t xml:space="preserve">), EEUU le gana todas las partidas porque es más ágil, más pícaro, </w:t>
      </w:r>
      <w:r w:rsidR="009769E0">
        <w:t xml:space="preserve">más creativo, </w:t>
      </w:r>
      <w:r>
        <w:t>más desinhibido, más audaz, más mentiroso, más desacomplejado, más avaro,</w:t>
      </w:r>
      <w:r w:rsidR="00BF4EE0">
        <w:t xml:space="preserve"> más ambicioso, más desprejuiciado</w:t>
      </w:r>
      <w:r w:rsidR="009769E0">
        <w:t>…</w:t>
      </w:r>
      <w:r w:rsidR="00BF4EE0">
        <w:t xml:space="preserve"> Y al</w:t>
      </w:r>
      <w:r w:rsidR="009769E0">
        <w:t xml:space="preserve"> final, el “gordito</w:t>
      </w:r>
      <w:r w:rsidR="00BF4EE0">
        <w:t xml:space="preserve"> paganini”</w:t>
      </w:r>
      <w:r w:rsidR="009769E0">
        <w:t xml:space="preserve"> (Europa) se queda compuesto y sin novia.</w:t>
      </w:r>
      <w:r w:rsidR="00947B04">
        <w:t xml:space="preserve"> </w:t>
      </w:r>
    </w:p>
    <w:p w:rsidR="00407BC4" w:rsidRDefault="00AE2DE8" w:rsidP="007A778E">
      <w:pPr>
        <w:pStyle w:val="NormalWeb"/>
        <w:jc w:val="both"/>
      </w:pPr>
      <w:r>
        <w:t>Esto por no hablar del rival chino. Ahí</w:t>
      </w:r>
      <w:r w:rsidR="00495A3A">
        <w:t>,</w:t>
      </w:r>
      <w:r>
        <w:t xml:space="preserve"> lo mejor</w:t>
      </w:r>
      <w:r w:rsidR="004C3AAD">
        <w:t xml:space="preserve"> es abandonar en el primer set</w:t>
      </w:r>
      <w:r>
        <w:t>.</w:t>
      </w:r>
    </w:p>
    <w:p w:rsidR="009769E0" w:rsidRDefault="00AE2DE8" w:rsidP="007A778E">
      <w:pPr>
        <w:pStyle w:val="NormalWeb"/>
        <w:jc w:val="both"/>
      </w:pPr>
      <w:r>
        <w:lastRenderedPageBreak/>
        <w:t>Ante el “oximorón” de la Unión Europa, háganse las preguntas del DAFO y busquen alguna respuesta:</w:t>
      </w:r>
      <w:r w:rsidR="009769E0">
        <w:t xml:space="preserve"> </w:t>
      </w:r>
    </w:p>
    <w:p w:rsidR="009769E0" w:rsidRDefault="00046D9F" w:rsidP="009769E0">
      <w:pPr>
        <w:pStyle w:val="NormalWeb"/>
        <w:jc w:val="both"/>
      </w:pPr>
      <w:r>
        <w:t xml:space="preserve"> </w:t>
      </w:r>
      <w:r w:rsidR="00BF4EE0">
        <w:t>¿</w:t>
      </w:r>
      <w:r w:rsidR="009769E0">
        <w:t>Cómo se puede destacar cada fortaleza</w:t>
      </w:r>
      <w:r w:rsidR="00BF4EE0">
        <w:t>, desde la pura estupidez</w:t>
      </w:r>
      <w:r w:rsidR="009769E0">
        <w:t>?</w:t>
      </w:r>
    </w:p>
    <w:p w:rsidR="009769E0" w:rsidRDefault="009769E0" w:rsidP="009769E0">
      <w:pPr>
        <w:pStyle w:val="NormalWeb"/>
        <w:jc w:val="both"/>
      </w:pPr>
      <w:r>
        <w:t>¿Cómo se puede disfrutar cada oportunidad</w:t>
      </w:r>
      <w:r w:rsidR="00AE2DE8">
        <w:t>, desde la esclavitud moral</w:t>
      </w:r>
      <w:r>
        <w:t>?</w:t>
      </w:r>
    </w:p>
    <w:p w:rsidR="009769E0" w:rsidRDefault="009769E0" w:rsidP="009769E0">
      <w:pPr>
        <w:pStyle w:val="NormalWeb"/>
        <w:jc w:val="both"/>
      </w:pPr>
      <w:r>
        <w:t>¿Cómo se puede defender cada debilidad</w:t>
      </w:r>
      <w:r w:rsidR="00AE2DE8">
        <w:t>, desde la</w:t>
      </w:r>
      <w:r w:rsidR="00D44213">
        <w:t xml:space="preserve"> inconsistencia y la mediocridad</w:t>
      </w:r>
      <w:r>
        <w:t>?</w:t>
      </w:r>
    </w:p>
    <w:p w:rsidR="00D44213" w:rsidRDefault="009769E0" w:rsidP="009769E0">
      <w:pPr>
        <w:pStyle w:val="NormalWeb"/>
        <w:jc w:val="both"/>
      </w:pPr>
      <w:r>
        <w:t>¿Cómo se puede detener cada amenaza</w:t>
      </w:r>
      <w:r w:rsidR="00AE2DE8">
        <w:t>, desde la</w:t>
      </w:r>
      <w:r w:rsidR="00D44213">
        <w:t xml:space="preserve"> cobardía y la duda existencial</w:t>
      </w:r>
      <w:r>
        <w:t>?</w:t>
      </w:r>
    </w:p>
    <w:p w:rsidR="00D44213" w:rsidRDefault="00D44213" w:rsidP="00D44213">
      <w:pPr>
        <w:pStyle w:val="NormalWeb"/>
        <w:jc w:val="both"/>
      </w:pPr>
      <w:r>
        <w:t>La UE no hace uso de sus “capacidades distintas”</w:t>
      </w:r>
    </w:p>
    <w:p w:rsidR="00D44213" w:rsidRDefault="00D44213" w:rsidP="00D44213">
      <w:pPr>
        <w:pStyle w:val="NormalWeb"/>
        <w:jc w:val="both"/>
      </w:pPr>
      <w:r>
        <w:t>La UE no aprovecha sus “ventajas naturales”</w:t>
      </w:r>
    </w:p>
    <w:p w:rsidR="00D44213" w:rsidRDefault="00D44213" w:rsidP="00D44213">
      <w:pPr>
        <w:pStyle w:val="NormalWeb"/>
        <w:jc w:val="both"/>
      </w:pPr>
      <w:r>
        <w:t xml:space="preserve"> La UE renuncia a utilizar sus “recursos superiores”</w:t>
      </w:r>
    </w:p>
    <w:p w:rsidR="00D44213" w:rsidRDefault="00440960" w:rsidP="00D44213">
      <w:pPr>
        <w:pStyle w:val="NormalWeb"/>
        <w:jc w:val="both"/>
      </w:pPr>
      <w:r>
        <w:t>La UE tiene una paralizante “r</w:t>
      </w:r>
      <w:r w:rsidR="00D44213">
        <w:t>esistencia al cambio</w:t>
      </w:r>
      <w:r>
        <w:t>”</w:t>
      </w:r>
    </w:p>
    <w:p w:rsidR="00D44213" w:rsidRDefault="00440960" w:rsidP="00D44213">
      <w:pPr>
        <w:pStyle w:val="NormalWeb"/>
        <w:jc w:val="both"/>
      </w:pPr>
      <w:r>
        <w:t>La UE tiene un enorme problema</w:t>
      </w:r>
      <w:r w:rsidR="00D44213">
        <w:t xml:space="preserve"> de </w:t>
      </w:r>
      <w:r>
        <w:t>“motivación de sus ciudadanos”</w:t>
      </w:r>
    </w:p>
    <w:p w:rsidR="00D44213" w:rsidRDefault="00440960" w:rsidP="00D44213">
      <w:pPr>
        <w:pStyle w:val="NormalWeb"/>
        <w:jc w:val="both"/>
      </w:pPr>
      <w:r>
        <w:t>La UE no sabe utilizar, o aprovecha menos, las “n</w:t>
      </w:r>
      <w:r w:rsidR="00D44213">
        <w:t>uevas tecnologías</w:t>
      </w:r>
      <w:r>
        <w:t>”</w:t>
      </w:r>
    </w:p>
    <w:p w:rsidR="00D44213" w:rsidRDefault="00440960" w:rsidP="00D44213">
      <w:pPr>
        <w:pStyle w:val="NormalWeb"/>
        <w:jc w:val="both"/>
      </w:pPr>
      <w:r>
        <w:t>La UE no se beneficia  del “d</w:t>
      </w:r>
      <w:r w:rsidR="00D44213">
        <w:t>ebilitamiento de</w:t>
      </w:r>
      <w:r>
        <w:t xml:space="preserve"> sus</w:t>
      </w:r>
      <w:r w:rsidR="00D44213">
        <w:t xml:space="preserve"> competidores</w:t>
      </w:r>
      <w:r>
        <w:t>”</w:t>
      </w:r>
    </w:p>
    <w:p w:rsidR="00407BC4" w:rsidRDefault="00440960" w:rsidP="00746D72">
      <w:pPr>
        <w:pStyle w:val="NormalWeb"/>
        <w:jc w:val="both"/>
      </w:pPr>
      <w:r>
        <w:t>La UE no realiza ningún tipo de “p</w:t>
      </w:r>
      <w:r w:rsidR="00D44213">
        <w:t>osicionamiento estratégico</w:t>
      </w:r>
      <w:r>
        <w:t>”</w:t>
      </w:r>
    </w:p>
    <w:p w:rsidR="00442E59" w:rsidRDefault="00407BC4" w:rsidP="00746D72">
      <w:pPr>
        <w:pStyle w:val="NormalWeb"/>
        <w:jc w:val="both"/>
      </w:pPr>
      <w:r>
        <w:t>La UE desperdicia la “experiencia acumulada” durante las tres revoluciones industriales</w:t>
      </w:r>
      <w:r w:rsidR="003462DE">
        <w:t xml:space="preserve"> </w:t>
      </w:r>
    </w:p>
    <w:p w:rsidR="00D73C2C" w:rsidRDefault="00442E59" w:rsidP="00746D72">
      <w:pPr>
        <w:pStyle w:val="NormalWeb"/>
        <w:jc w:val="both"/>
      </w:pPr>
      <w:r w:rsidRPr="00A423F5">
        <w:rPr>
          <w:noProof/>
        </w:rPr>
        <w:drawing>
          <wp:inline distT="0" distB="0" distL="0" distR="0" wp14:anchorId="567C6D94" wp14:editId="7E84A745">
            <wp:extent cx="5949950" cy="3587750"/>
            <wp:effectExtent l="0" t="0" r="0" b="0"/>
            <wp:docPr id="3" name="Imagen 3" descr="http://ep01.epimg.net/economia/imagenes/2014/10/17/actualidad/1413538635_172748_1413577591_sumario_normal.png">
              <a:hlinkClick xmlns:a="http://schemas.openxmlformats.org/drawingml/2006/main" r:id="rId14" tooltip="&quot;pulsa en la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ep01.epimg.net/economia/imagenes/2014/10/17/actualidad/1413538635_172748_1413577591_sumario_normal.png">
                      <a:hlinkClick r:id="rId14" tooltip="&quot;pulsa en la foto&quo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9950" cy="3587750"/>
                    </a:xfrm>
                    <a:prstGeom prst="rect">
                      <a:avLst/>
                    </a:prstGeom>
                    <a:noFill/>
                    <a:ln>
                      <a:noFill/>
                    </a:ln>
                  </pic:spPr>
                </pic:pic>
              </a:graphicData>
            </a:graphic>
          </wp:inline>
        </w:drawing>
      </w:r>
      <w:r>
        <w:t xml:space="preserve">  </w:t>
      </w:r>
    </w:p>
    <w:p w:rsidR="00442E59" w:rsidRDefault="000211CC" w:rsidP="00746D72">
      <w:pPr>
        <w:pStyle w:val="NormalWeb"/>
        <w:jc w:val="both"/>
        <w:rPr>
          <w:b/>
        </w:rPr>
      </w:pPr>
      <w:r>
        <w:rPr>
          <w:b/>
        </w:rPr>
        <w:lastRenderedPageBreak/>
        <w:t xml:space="preserve">- </w:t>
      </w:r>
      <w:r w:rsidR="00442E59" w:rsidRPr="00407BC4">
        <w:rPr>
          <w:b/>
        </w:rPr>
        <w:t>Papá</w:t>
      </w:r>
      <w:r>
        <w:rPr>
          <w:b/>
        </w:rPr>
        <w:t xml:space="preserve"> (o abuelo)</w:t>
      </w:r>
      <w:r w:rsidR="00442E59" w:rsidRPr="00407BC4">
        <w:rPr>
          <w:b/>
        </w:rPr>
        <w:t>: ¿Dónde estabas tú, cuando Europa perdió la III Guerra Mundial (una batalla económico-financiera)?</w:t>
      </w:r>
    </w:p>
    <w:p w:rsidR="00F1271F" w:rsidRPr="000211CC" w:rsidRDefault="000211CC" w:rsidP="00593F14">
      <w:pPr>
        <w:pStyle w:val="NormalWeb"/>
        <w:jc w:val="both"/>
        <w:rPr>
          <w:b/>
        </w:rPr>
      </w:pPr>
      <w:r>
        <w:rPr>
          <w:b/>
          <w:noProof/>
        </w:rPr>
        <w:drawing>
          <wp:inline distT="0" distB="0" distL="0" distR="0">
            <wp:extent cx="5391150" cy="15621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1150" cy="1562100"/>
                    </a:xfrm>
                    <a:prstGeom prst="rect">
                      <a:avLst/>
                    </a:prstGeom>
                    <a:noFill/>
                    <a:ln>
                      <a:noFill/>
                    </a:ln>
                  </pic:spPr>
                </pic:pic>
              </a:graphicData>
            </a:graphic>
          </wp:inline>
        </w:drawing>
      </w:r>
    </w:p>
    <w:p w:rsidR="00593F14" w:rsidRPr="00067334" w:rsidRDefault="000211CC" w:rsidP="00593F14">
      <w:pPr>
        <w:pStyle w:val="NormalWeb"/>
        <w:jc w:val="both"/>
        <w:rPr>
          <w:lang w:val="en-US"/>
        </w:rPr>
      </w:pPr>
      <w:r>
        <w:rPr>
          <w:i/>
        </w:rPr>
        <w:t>“</w:t>
      </w:r>
      <w:r w:rsidR="00593F14" w:rsidRPr="000211CC">
        <w:rPr>
          <w:i/>
        </w:rPr>
        <w:t>Desde la crisis financiera de 2008, numerosos estudios han demostrado que la acumulación rápida y sostenida de deuda hace muy difícil que un país eluda una crisis, pero mi investigación añade un giro muy importante: los aumentos rápidos en los niveles de endeudamiento vuelven prácticamente imposible evitar una desaceleración. Desde 1960 en adelante, los países que incurrieron en las 30 mayores acumulaciones de crédito contemplaron un alza de al menos 40 puntos porcentuales en cinco años del crédito como porcentaje del PIB. De esos 30 casos, un 70% terminó en crisis luego de que el auge crediticio llegara a su apogeo, pero un 100% atravesó una desaceleración económica significativa dentro de los cinco años siguientes. En promedio, el crecimiento se desaceleró en más de la mitad, de 5% a 1,5%</w:t>
      </w:r>
      <w:r>
        <w:rPr>
          <w:i/>
        </w:rPr>
        <w:t xml:space="preserve">”… </w:t>
      </w:r>
      <w:r w:rsidRPr="00067334">
        <w:rPr>
          <w:lang w:val="en-US"/>
        </w:rPr>
        <w:t>(Ruchir Sharma -</w:t>
      </w:r>
      <w:r w:rsidR="00593F14" w:rsidRPr="00067334">
        <w:rPr>
          <w:lang w:val="en-US"/>
        </w:rPr>
        <w:t xml:space="preserve">The Wall Street Journal - </w:t>
      </w:r>
      <w:r w:rsidR="00593F14" w:rsidRPr="00067334">
        <w:rPr>
          <w:b/>
          <w:lang w:val="en-US"/>
        </w:rPr>
        <w:t>22/10/14</w:t>
      </w:r>
      <w:r w:rsidR="00593F14" w:rsidRPr="00067334">
        <w:rPr>
          <w:lang w:val="en-US"/>
        </w:rPr>
        <w:t xml:space="preserve">) </w:t>
      </w:r>
    </w:p>
    <w:p w:rsidR="00593F14" w:rsidRPr="00067334" w:rsidRDefault="00593F14" w:rsidP="00593F14">
      <w:pPr>
        <w:pStyle w:val="NormalWeb"/>
        <w:jc w:val="both"/>
        <w:rPr>
          <w:lang w:val="en-US"/>
        </w:rPr>
      </w:pPr>
      <w:r w:rsidRPr="00067334">
        <w:rPr>
          <w:lang w:val="en-US"/>
        </w:rPr>
        <w:t>(Sharma es director de mercados emergentes de Morgan Stanley Investment Management y autor de Breakout Nations: In Pursuit of the Next Economic Miracles)</w:t>
      </w:r>
    </w:p>
    <w:p w:rsidR="00FD27EB" w:rsidRPr="00593F14" w:rsidRDefault="007D5FC1" w:rsidP="00593F14">
      <w:pPr>
        <w:pStyle w:val="NormalWeb"/>
        <w:jc w:val="both"/>
      </w:pPr>
      <w:r w:rsidRPr="007D5FC1">
        <w:t>Como ejemplo</w:t>
      </w:r>
      <w:r>
        <w:t xml:space="preserve"> esperpéntico</w:t>
      </w:r>
      <w:r w:rsidR="00FD27EB">
        <w:t xml:space="preserve"> de déficit público excesivo y de incremento de la deuda insostenible, presento el “caso español” (que me pi</w:t>
      </w:r>
      <w:r w:rsidR="000234A5">
        <w:t xml:space="preserve">lla más cerca), rogando que hijas o nietos no me pregunten jamás, dónde estaba yo </w:t>
      </w:r>
      <w:r w:rsidR="00507703">
        <w:t>mientras</w:t>
      </w:r>
      <w:r w:rsidR="00B532D8">
        <w:t xml:space="preserve"> se perpetraba esa</w:t>
      </w:r>
      <w:r w:rsidR="00507703">
        <w:t xml:space="preserve"> “gran</w:t>
      </w:r>
      <w:r w:rsidR="000234A5">
        <w:t xml:space="preserve"> estafa</w:t>
      </w:r>
      <w:r w:rsidR="00507703">
        <w:t>”</w:t>
      </w:r>
      <w:r w:rsidR="000234A5">
        <w:t xml:space="preserve">. </w:t>
      </w:r>
      <w:r w:rsidR="00FD27EB">
        <w:t xml:space="preserve"> </w:t>
      </w:r>
    </w:p>
    <w:p w:rsidR="00442E59" w:rsidRDefault="000211CC" w:rsidP="00746D72">
      <w:pPr>
        <w:pStyle w:val="NormalWeb"/>
        <w:jc w:val="both"/>
      </w:pPr>
      <w:r>
        <w:rPr>
          <w:noProof/>
        </w:rPr>
        <w:drawing>
          <wp:inline distT="0" distB="0" distL="0" distR="0">
            <wp:extent cx="5391150" cy="18415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1150" cy="1841500"/>
                    </a:xfrm>
                    <a:prstGeom prst="rect">
                      <a:avLst/>
                    </a:prstGeom>
                    <a:noFill/>
                    <a:ln>
                      <a:noFill/>
                    </a:ln>
                  </pic:spPr>
                </pic:pic>
              </a:graphicData>
            </a:graphic>
          </wp:inline>
        </w:drawing>
      </w:r>
    </w:p>
    <w:p w:rsidR="00274391" w:rsidRDefault="00AA6172" w:rsidP="00746D72">
      <w:pPr>
        <w:pStyle w:val="NormalWeb"/>
        <w:jc w:val="both"/>
      </w:pPr>
      <w:r>
        <w:t>El incremento de la</w:t>
      </w:r>
      <w:r w:rsidR="00790CF6">
        <w:t xml:space="preserve"> deuda se destinó a rescatar a los bancos </w:t>
      </w:r>
      <w:r w:rsidR="001B5BAA">
        <w:t xml:space="preserve"> (principalmente públicos</w:t>
      </w:r>
      <w:r w:rsidR="00790CF6">
        <w:t xml:space="preserve">, </w:t>
      </w:r>
      <w:r w:rsidR="001B5BAA">
        <w:t>equivalentes a</w:t>
      </w:r>
      <w:r w:rsidR="00790CF6">
        <w:t xml:space="preserve">l 50% </w:t>
      </w:r>
      <w:r>
        <w:t>del mercado financiero); el incremento del dé</w:t>
      </w:r>
      <w:r w:rsidR="00854DF5">
        <w:t>ficit se destinó a mantener el aparato del Estado</w:t>
      </w:r>
      <w:r w:rsidR="001E12BB">
        <w:t xml:space="preserve"> (mayormente </w:t>
      </w:r>
      <w:r>
        <w:t xml:space="preserve">improductivo), </w:t>
      </w:r>
      <w:r w:rsidR="00001605">
        <w:t>comprar la paz social (seguro</w:t>
      </w:r>
      <w:r>
        <w:t xml:space="preserve"> por desem</w:t>
      </w:r>
      <w:r w:rsidR="00661677">
        <w:t>pleo y pensiones), y pagar intereses de la deuda (</w:t>
      </w:r>
      <w:r w:rsidR="00661677" w:rsidRPr="00661677">
        <w:t>35.490 millones de euros</w:t>
      </w:r>
      <w:r w:rsidR="00661677">
        <w:t>, para 2015</w:t>
      </w:r>
      <w:r>
        <w:t>). Si agregamos los avales</w:t>
      </w:r>
      <w:r w:rsidR="00274391">
        <w:t xml:space="preserve"> y garantías pública</w:t>
      </w:r>
      <w:r>
        <w:t>s</w:t>
      </w:r>
      <w:r w:rsidR="00274391">
        <w:t xml:space="preserve"> entregada</w:t>
      </w:r>
      <w:r w:rsidR="001B5BAA">
        <w:t>s a la banca</w:t>
      </w:r>
      <w:r>
        <w:t>, la “fiesta” no sale por menos del 40% del PIB. ¡Pe</w:t>
      </w:r>
      <w:r w:rsidR="007D5FC1">
        <w:t>c</w:t>
      </w:r>
      <w:r>
        <w:t>cata minuta!</w:t>
      </w:r>
      <w:r w:rsidR="007D5FC1">
        <w:t xml:space="preserve"> Una distribución inversa de la riqueza (socialización de las pérdidas)</w:t>
      </w:r>
      <w:r w:rsidR="00FD6362">
        <w:t>, que se tardará generaciones</w:t>
      </w:r>
      <w:r w:rsidR="00C43AB2">
        <w:t xml:space="preserve"> en corregir</w:t>
      </w:r>
      <w:r w:rsidR="00FD6362">
        <w:t>.</w:t>
      </w:r>
      <w:r w:rsidR="00274391">
        <w:t xml:space="preserve"> </w:t>
      </w:r>
    </w:p>
    <w:p w:rsidR="000234A5" w:rsidRPr="001B5BAA" w:rsidRDefault="000234A5" w:rsidP="00746D72">
      <w:pPr>
        <w:pStyle w:val="NormalWeb"/>
        <w:jc w:val="both"/>
      </w:pPr>
      <w:r w:rsidRPr="00126091">
        <w:rPr>
          <w:u w:val="single"/>
        </w:rPr>
        <w:lastRenderedPageBreak/>
        <w:t xml:space="preserve">La semilla de la próxima </w:t>
      </w:r>
      <w:r>
        <w:rPr>
          <w:u w:val="single"/>
        </w:rPr>
        <w:t>crisis: el shadow banking, una “bomba” de destrucción masiva</w:t>
      </w:r>
    </w:p>
    <w:p w:rsidR="000234A5" w:rsidRPr="000234A5" w:rsidRDefault="000234A5" w:rsidP="000234A5">
      <w:pPr>
        <w:spacing w:before="100" w:beforeAutospacing="1" w:after="100" w:afterAutospacing="1" w:line="240" w:lineRule="auto"/>
        <w:jc w:val="both"/>
        <w:rPr>
          <w:rFonts w:ascii="Times New Roman" w:hAnsi="Times New Roman"/>
          <w:i/>
          <w:sz w:val="24"/>
          <w:szCs w:val="24"/>
        </w:rPr>
      </w:pPr>
      <w:r>
        <w:rPr>
          <w:rFonts w:ascii="Times New Roman" w:hAnsi="Times New Roman"/>
          <w:i/>
          <w:sz w:val="24"/>
          <w:szCs w:val="24"/>
        </w:rPr>
        <w:t>“</w:t>
      </w:r>
      <w:r w:rsidRPr="000234A5">
        <w:rPr>
          <w:rFonts w:ascii="Times New Roman" w:hAnsi="Times New Roman"/>
          <w:i/>
          <w:sz w:val="24"/>
          <w:szCs w:val="24"/>
        </w:rPr>
        <w:t>El Fondo Monetario Internacional (FMI) ha subrayado hoy la creciente expansión mundial de la llamada “banca paralela”, especialmente en Estados Unidos, donde percibe un mayor riesgo sistémico procedente de este tipo de intermediación financiera. El Fondo apunta como causas del crecimiento de este tipo de banca, también llamada “banca en la sombra”, “la aparición de regulaciones más estrictas y la situación de abundante liquidez” en la economía global</w:t>
      </w:r>
      <w:r>
        <w:rPr>
          <w:rFonts w:ascii="Times New Roman" w:hAnsi="Times New Roman"/>
          <w:i/>
          <w:sz w:val="24"/>
          <w:szCs w:val="24"/>
        </w:rPr>
        <w:t>”..</w:t>
      </w:r>
      <w:r w:rsidRPr="000234A5">
        <w:rPr>
          <w:rFonts w:ascii="Times New Roman" w:hAnsi="Times New Roman"/>
          <w:i/>
          <w:sz w:val="24"/>
          <w:szCs w:val="24"/>
        </w:rPr>
        <w:t xml:space="preserve">. </w:t>
      </w:r>
      <w:r w:rsidRPr="00CA439D">
        <w:rPr>
          <w:rFonts w:ascii="Times New Roman" w:hAnsi="Times New Roman"/>
          <w:sz w:val="24"/>
          <w:szCs w:val="24"/>
          <w:u w:val="single"/>
        </w:rPr>
        <w:t>El peligro de la banca en la sombra: el FMI pone el foco en las finanzas paralelas</w:t>
      </w:r>
      <w:r>
        <w:rPr>
          <w:rFonts w:ascii="Times New Roman" w:hAnsi="Times New Roman"/>
          <w:sz w:val="24"/>
          <w:szCs w:val="24"/>
        </w:rPr>
        <w:t xml:space="preserve"> (El Economista - </w:t>
      </w:r>
      <w:r w:rsidRPr="00CA439D">
        <w:rPr>
          <w:rFonts w:ascii="Times New Roman" w:hAnsi="Times New Roman"/>
          <w:b/>
          <w:sz w:val="24"/>
          <w:szCs w:val="24"/>
        </w:rPr>
        <w:t>2/10/14</w:t>
      </w:r>
      <w:r>
        <w:rPr>
          <w:rFonts w:ascii="Times New Roman" w:hAnsi="Times New Roman"/>
          <w:sz w:val="24"/>
          <w:szCs w:val="24"/>
        </w:rPr>
        <w:t>)</w:t>
      </w:r>
    </w:p>
    <w:p w:rsidR="000234A5" w:rsidRPr="000234A5" w:rsidRDefault="000234A5" w:rsidP="000234A5">
      <w:pPr>
        <w:spacing w:before="100" w:beforeAutospacing="1" w:after="100" w:afterAutospacing="1" w:line="240" w:lineRule="auto"/>
        <w:jc w:val="both"/>
        <w:rPr>
          <w:rFonts w:ascii="Times New Roman" w:hAnsi="Times New Roman"/>
          <w:sz w:val="24"/>
          <w:szCs w:val="24"/>
        </w:rPr>
      </w:pPr>
      <w:r w:rsidRPr="000234A5">
        <w:rPr>
          <w:rFonts w:ascii="Times New Roman" w:hAnsi="Times New Roman"/>
          <w:sz w:val="24"/>
          <w:szCs w:val="24"/>
        </w:rPr>
        <w:t>En los capítulos analíticos de su informe de estabi</w:t>
      </w:r>
      <w:r>
        <w:rPr>
          <w:rFonts w:ascii="Times New Roman" w:hAnsi="Times New Roman"/>
          <w:sz w:val="24"/>
          <w:szCs w:val="24"/>
        </w:rPr>
        <w:t>lidad financiera, divulgados el 2/10/14</w:t>
      </w:r>
      <w:r w:rsidRPr="000234A5">
        <w:rPr>
          <w:rFonts w:ascii="Times New Roman" w:hAnsi="Times New Roman"/>
          <w:sz w:val="24"/>
          <w:szCs w:val="24"/>
        </w:rPr>
        <w:t xml:space="preserve">, el FMI destaca los indicios del traslado de algunas actividades financieras como el del crédito a la empresa, que ha pasado de los bancos tradicionales a estos sectores de intermediación no bancario. </w:t>
      </w:r>
    </w:p>
    <w:p w:rsidR="000234A5" w:rsidRPr="000234A5" w:rsidRDefault="000234A5" w:rsidP="000234A5">
      <w:pPr>
        <w:spacing w:before="100" w:beforeAutospacing="1" w:after="100" w:afterAutospacing="1" w:line="240" w:lineRule="auto"/>
        <w:jc w:val="both"/>
        <w:rPr>
          <w:rFonts w:ascii="Times New Roman" w:hAnsi="Times New Roman"/>
          <w:sz w:val="24"/>
          <w:szCs w:val="24"/>
        </w:rPr>
      </w:pPr>
      <w:r w:rsidRPr="000234A5">
        <w:rPr>
          <w:rFonts w:ascii="Times New Roman" w:hAnsi="Times New Roman"/>
          <w:sz w:val="24"/>
          <w:szCs w:val="24"/>
        </w:rPr>
        <w:t>Los cálculos del organismo sitúan el tamaño en EEUU de este tipo de entidades entre 15 y 25 billones de dólares, entre 13,5 y 22,5 billones en la zona euro, y en</w:t>
      </w:r>
      <w:r>
        <w:rPr>
          <w:rFonts w:ascii="Times New Roman" w:hAnsi="Times New Roman"/>
          <w:sz w:val="24"/>
          <w:szCs w:val="24"/>
        </w:rPr>
        <w:t xml:space="preserve">tre 2,5 y 6 billones en Japón. </w:t>
      </w:r>
      <w:r w:rsidRPr="000234A5">
        <w:rPr>
          <w:rFonts w:ascii="Times New Roman" w:hAnsi="Times New Roman"/>
          <w:sz w:val="24"/>
          <w:szCs w:val="24"/>
        </w:rPr>
        <w:t xml:space="preserve">A nivel global, se calcula que la banca paralela mueve en total </w:t>
      </w:r>
      <w:hyperlink r:id="rId18" w:history="1">
        <w:r w:rsidRPr="000234A5">
          <w:rPr>
            <w:rFonts w:ascii="Times New Roman" w:hAnsi="Times New Roman"/>
            <w:sz w:val="24"/>
            <w:szCs w:val="24"/>
          </w:rPr>
          <w:t>alrededor de 60 billones de dólares</w:t>
        </w:r>
      </w:hyperlink>
      <w:r>
        <w:rPr>
          <w:rFonts w:ascii="Times New Roman" w:hAnsi="Times New Roman"/>
          <w:sz w:val="24"/>
          <w:szCs w:val="24"/>
        </w:rPr>
        <w:t xml:space="preserve">. </w:t>
      </w:r>
    </w:p>
    <w:p w:rsidR="000234A5" w:rsidRPr="000234A5" w:rsidRDefault="00507703" w:rsidP="000234A5">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0234A5" w:rsidRPr="000234A5">
        <w:rPr>
          <w:rFonts w:ascii="Times New Roman" w:hAnsi="Times New Roman"/>
          <w:sz w:val="24"/>
          <w:szCs w:val="24"/>
        </w:rPr>
        <w:t>Si bien las limitaciones de datos impiden una evaluación exhaustiva,</w:t>
      </w:r>
      <w:r w:rsidR="000234A5" w:rsidRPr="000234A5">
        <w:rPr>
          <w:rFonts w:ascii="Times New Roman" w:hAnsi="Times New Roman"/>
          <w:bCs/>
          <w:sz w:val="24"/>
          <w:szCs w:val="24"/>
        </w:rPr>
        <w:t xml:space="preserve"> es en EEUU donde el sistema de la banca paralela parece contribuir más al riesgo sistémico doméstico</w:t>
      </w:r>
      <w:r w:rsidR="000234A5" w:rsidRPr="000234A5">
        <w:rPr>
          <w:rFonts w:ascii="Times New Roman" w:hAnsi="Times New Roman"/>
          <w:sz w:val="24"/>
          <w:szCs w:val="24"/>
        </w:rPr>
        <w:t xml:space="preserve">; su contribución es mucho menos pronunciada en la zona euro </w:t>
      </w:r>
      <w:r>
        <w:rPr>
          <w:rFonts w:ascii="Times New Roman" w:hAnsi="Times New Roman"/>
          <w:sz w:val="24"/>
          <w:szCs w:val="24"/>
        </w:rPr>
        <w:t>y el Reino Unido”</w:t>
      </w:r>
      <w:r w:rsidR="000234A5" w:rsidRPr="000234A5">
        <w:rPr>
          <w:rFonts w:ascii="Times New Roman" w:hAnsi="Times New Roman"/>
          <w:sz w:val="24"/>
          <w:szCs w:val="24"/>
        </w:rPr>
        <w:t>, indica el Fondo en la publicación de los capítulos analíticos de su informe de estabilidad financiera global.  </w:t>
      </w:r>
    </w:p>
    <w:p w:rsidR="000234A5" w:rsidRPr="000234A5" w:rsidRDefault="000234A5" w:rsidP="000234A5">
      <w:pPr>
        <w:spacing w:before="100" w:beforeAutospacing="1" w:after="100" w:afterAutospacing="1" w:line="240" w:lineRule="auto"/>
        <w:jc w:val="both"/>
        <w:rPr>
          <w:rFonts w:ascii="Times New Roman" w:hAnsi="Times New Roman"/>
          <w:sz w:val="24"/>
          <w:szCs w:val="24"/>
        </w:rPr>
      </w:pPr>
      <w:r w:rsidRPr="000234A5">
        <w:rPr>
          <w:rFonts w:ascii="Times New Roman" w:hAnsi="Times New Roman"/>
          <w:sz w:val="24"/>
          <w:szCs w:val="24"/>
        </w:rPr>
        <w:t xml:space="preserve">Como riesgo, destaca que la mayor parte de la banca paralela se basa en </w:t>
      </w:r>
      <w:r w:rsidR="00507703">
        <w:rPr>
          <w:rFonts w:ascii="Times New Roman" w:hAnsi="Times New Roman"/>
          <w:sz w:val="24"/>
          <w:szCs w:val="24"/>
        </w:rPr>
        <w:t>la financiación a corto plazo, “</w:t>
      </w:r>
      <w:r w:rsidRPr="000234A5">
        <w:rPr>
          <w:rFonts w:ascii="Times New Roman" w:hAnsi="Times New Roman"/>
          <w:sz w:val="24"/>
          <w:szCs w:val="24"/>
        </w:rPr>
        <w:t>lo que puede llevar a ventas forzadas y espirales de bajada de precios cuando los inversores qui</w:t>
      </w:r>
      <w:r w:rsidR="00507703">
        <w:rPr>
          <w:rFonts w:ascii="Times New Roman" w:hAnsi="Times New Roman"/>
          <w:sz w:val="24"/>
          <w:szCs w:val="24"/>
        </w:rPr>
        <w:t>eren su dinero de manera rápida”, afirmó</w:t>
      </w:r>
      <w:r w:rsidRPr="000234A5">
        <w:rPr>
          <w:rFonts w:ascii="Times New Roman" w:hAnsi="Times New Roman"/>
          <w:sz w:val="24"/>
          <w:szCs w:val="24"/>
        </w:rPr>
        <w:t xml:space="preserve"> Gaston Gelos, jefe de la división de análisis financiero global del FMI en</w:t>
      </w:r>
      <w:r w:rsidR="00507703">
        <w:rPr>
          <w:rFonts w:ascii="Times New Roman" w:hAnsi="Times New Roman"/>
          <w:sz w:val="24"/>
          <w:szCs w:val="24"/>
        </w:rPr>
        <w:t xml:space="preserve"> la</w:t>
      </w:r>
      <w:r w:rsidRPr="000234A5">
        <w:rPr>
          <w:rFonts w:ascii="Times New Roman" w:hAnsi="Times New Roman"/>
          <w:sz w:val="24"/>
          <w:szCs w:val="24"/>
        </w:rPr>
        <w:t xml:space="preserve"> rueda de prensa. </w:t>
      </w:r>
    </w:p>
    <w:p w:rsidR="000234A5" w:rsidRPr="00507703" w:rsidRDefault="000234A5" w:rsidP="00507703">
      <w:pPr>
        <w:spacing w:before="100" w:beforeAutospacing="1" w:after="100" w:afterAutospacing="1" w:line="240" w:lineRule="auto"/>
        <w:jc w:val="both"/>
        <w:rPr>
          <w:rFonts w:ascii="Times New Roman" w:hAnsi="Times New Roman"/>
          <w:sz w:val="24"/>
          <w:szCs w:val="24"/>
        </w:rPr>
      </w:pPr>
      <w:r w:rsidRPr="000234A5">
        <w:rPr>
          <w:rFonts w:ascii="Times New Roman" w:hAnsi="Times New Roman"/>
          <w:sz w:val="24"/>
          <w:szCs w:val="24"/>
        </w:rPr>
        <w:t>Aunque se recalca la preeminencia en las economías avanzadas, también se constata que en las economías eme</w:t>
      </w:r>
      <w:r w:rsidR="00507703">
        <w:rPr>
          <w:rFonts w:ascii="Times New Roman" w:hAnsi="Times New Roman"/>
          <w:sz w:val="24"/>
          <w:szCs w:val="24"/>
        </w:rPr>
        <w:t xml:space="preserve">rgentes el crecimiento ha sido “vigoroso”. </w:t>
      </w:r>
      <w:r w:rsidRPr="000234A5">
        <w:rPr>
          <w:rFonts w:ascii="Times New Roman" w:hAnsi="Times New Roman"/>
          <w:sz w:val="24"/>
          <w:szCs w:val="24"/>
        </w:rPr>
        <w:t>Caso especial es del de China</w:t>
      </w:r>
      <w:r w:rsidR="00507703">
        <w:rPr>
          <w:rFonts w:ascii="Times New Roman" w:hAnsi="Times New Roman"/>
          <w:sz w:val="24"/>
          <w:szCs w:val="24"/>
        </w:rPr>
        <w:t>, donde ha aumentado de manera “particularmente rápida”</w:t>
      </w:r>
      <w:r w:rsidRPr="000234A5">
        <w:rPr>
          <w:rFonts w:ascii="Times New Roman" w:hAnsi="Times New Roman"/>
          <w:sz w:val="24"/>
          <w:szCs w:val="24"/>
        </w:rPr>
        <w:t>, a un promedio de cerca de 20% al año hasta los 7 billones de dólares, por lo que el Fondo apunt</w:t>
      </w:r>
      <w:r w:rsidR="00507703">
        <w:rPr>
          <w:rFonts w:ascii="Times New Roman" w:hAnsi="Times New Roman"/>
          <w:sz w:val="24"/>
          <w:szCs w:val="24"/>
        </w:rPr>
        <w:t xml:space="preserve">a que necesita una supervisión “más estrecha”. </w:t>
      </w:r>
    </w:p>
    <w:p w:rsidR="00507703" w:rsidRPr="00507703" w:rsidRDefault="00507703" w:rsidP="00507703">
      <w:pPr>
        <w:shd w:val="clear" w:color="auto" w:fill="FFFFFF"/>
        <w:spacing w:before="100" w:beforeAutospacing="1" w:after="100" w:afterAutospacing="1" w:line="240" w:lineRule="auto"/>
        <w:jc w:val="both"/>
        <w:rPr>
          <w:rFonts w:ascii="Times New Roman" w:hAnsi="Times New Roman"/>
          <w:color w:val="000000"/>
          <w:sz w:val="24"/>
          <w:szCs w:val="24"/>
        </w:rPr>
      </w:pPr>
      <w:r w:rsidRPr="00507703">
        <w:rPr>
          <w:rFonts w:ascii="Times New Roman" w:hAnsi="Times New Roman"/>
          <w:color w:val="000000"/>
          <w:sz w:val="24"/>
          <w:szCs w:val="24"/>
        </w:rPr>
        <w:t>Estas prácticas fueron muy habituales en los tiempos previos a la crisis, y entre los grandes beneficiados de ellas se encontraban los gigantes de la industria: además de UBS, era habitual en Goldman Sachs, Deutsche</w:t>
      </w:r>
      <w:r>
        <w:rPr>
          <w:rFonts w:ascii="Times New Roman" w:hAnsi="Times New Roman"/>
          <w:color w:val="000000"/>
          <w:sz w:val="24"/>
          <w:szCs w:val="24"/>
        </w:rPr>
        <w:t xml:space="preserve"> Bank o Citigroup, entre otros.</w:t>
      </w:r>
    </w:p>
    <w:p w:rsidR="00507703" w:rsidRPr="00507703" w:rsidRDefault="00507703" w:rsidP="00507703">
      <w:pPr>
        <w:shd w:val="clear" w:color="auto" w:fill="FFFFFF"/>
        <w:spacing w:before="100" w:beforeAutospacing="1" w:after="100" w:afterAutospacing="1" w:line="240" w:lineRule="auto"/>
        <w:jc w:val="both"/>
        <w:rPr>
          <w:rFonts w:ascii="Times New Roman" w:hAnsi="Times New Roman"/>
          <w:sz w:val="24"/>
          <w:szCs w:val="24"/>
        </w:rPr>
      </w:pPr>
      <w:r w:rsidRPr="00507703">
        <w:rPr>
          <w:rFonts w:ascii="Times New Roman" w:hAnsi="Times New Roman"/>
          <w:sz w:val="24"/>
          <w:szCs w:val="24"/>
        </w:rPr>
        <w:t xml:space="preserve">Seis años después de la quiebra de Lehman Brothers que desató el pánico mundial, estos bancos han ido reduciendo sus balances y abandonando estos mercados de crédito, traspasando cada vez más y más riesgo a estas firmas sin regular que conforman el </w:t>
      </w:r>
      <w:r w:rsidRPr="00507703">
        <w:rPr>
          <w:rFonts w:ascii="Times New Roman" w:hAnsi="Times New Roman"/>
          <w:iCs/>
          <w:sz w:val="24"/>
          <w:szCs w:val="24"/>
        </w:rPr>
        <w:t>sector bancario en la sombra</w:t>
      </w:r>
      <w:r w:rsidRPr="00507703">
        <w:rPr>
          <w:rFonts w:ascii="Times New Roman" w:hAnsi="Times New Roman"/>
          <w:sz w:val="24"/>
          <w:szCs w:val="24"/>
        </w:rPr>
        <w:t>, con un volumen de 60 billones de dólares.</w:t>
      </w:r>
    </w:p>
    <w:p w:rsidR="00507703" w:rsidRDefault="00507703" w:rsidP="00507703">
      <w:pPr>
        <w:shd w:val="clear" w:color="auto" w:fill="FFFFFF"/>
        <w:spacing w:before="100" w:beforeAutospacing="1" w:after="100" w:afterAutospacing="1" w:line="240" w:lineRule="auto"/>
        <w:jc w:val="both"/>
        <w:rPr>
          <w:rFonts w:ascii="Times New Roman" w:hAnsi="Times New Roman"/>
          <w:sz w:val="24"/>
          <w:szCs w:val="24"/>
        </w:rPr>
      </w:pPr>
      <w:r w:rsidRPr="00507703">
        <w:rPr>
          <w:rFonts w:ascii="Times New Roman" w:hAnsi="Times New Roman"/>
          <w:sz w:val="24"/>
          <w:szCs w:val="24"/>
        </w:rPr>
        <w:t xml:space="preserve">Esta banca en la sombra actúa de múltiples maneras, desde préstamos personales o webs de </w:t>
      </w:r>
      <w:r>
        <w:rPr>
          <w:rFonts w:ascii="Times New Roman" w:hAnsi="Times New Roman"/>
          <w:sz w:val="24"/>
          <w:szCs w:val="24"/>
        </w:rPr>
        <w:t>“</w:t>
      </w:r>
      <w:r w:rsidRPr="00507703">
        <w:rPr>
          <w:rFonts w:ascii="Times New Roman" w:hAnsi="Times New Roman"/>
          <w:iCs/>
          <w:sz w:val="24"/>
          <w:szCs w:val="24"/>
        </w:rPr>
        <w:t>crowfunding</w:t>
      </w:r>
      <w:r>
        <w:rPr>
          <w:rFonts w:ascii="Times New Roman" w:hAnsi="Times New Roman"/>
          <w:iCs/>
          <w:sz w:val="24"/>
          <w:szCs w:val="24"/>
        </w:rPr>
        <w:t>”</w:t>
      </w:r>
      <w:r w:rsidRPr="00507703">
        <w:rPr>
          <w:rFonts w:ascii="Times New Roman" w:hAnsi="Times New Roman"/>
          <w:sz w:val="24"/>
          <w:szCs w:val="24"/>
        </w:rPr>
        <w:t xml:space="preserve"> hasta productos sofisticados titulizados, acuerdos de recompra (</w:t>
      </w:r>
      <w:r>
        <w:rPr>
          <w:rFonts w:ascii="Times New Roman" w:hAnsi="Times New Roman"/>
          <w:sz w:val="24"/>
          <w:szCs w:val="24"/>
        </w:rPr>
        <w:t>“</w:t>
      </w:r>
      <w:r w:rsidRPr="00507703">
        <w:rPr>
          <w:rFonts w:ascii="Times New Roman" w:hAnsi="Times New Roman"/>
          <w:iCs/>
          <w:sz w:val="24"/>
          <w:szCs w:val="24"/>
        </w:rPr>
        <w:t>repos</w:t>
      </w:r>
      <w:r>
        <w:rPr>
          <w:rFonts w:ascii="Times New Roman" w:hAnsi="Times New Roman"/>
          <w:iCs/>
          <w:sz w:val="24"/>
          <w:szCs w:val="24"/>
        </w:rPr>
        <w:t>”</w:t>
      </w:r>
      <w:r w:rsidRPr="00507703">
        <w:rPr>
          <w:rFonts w:ascii="Times New Roman" w:hAnsi="Times New Roman"/>
          <w:sz w:val="24"/>
          <w:szCs w:val="24"/>
        </w:rPr>
        <w:t>) y fondos en los mercados monetarios. Abarca, por lo tanto, desde inversiones sofisticadas en Wall Street hasta crédito para el ciudadano corriente. </w:t>
      </w:r>
    </w:p>
    <w:p w:rsidR="00507703" w:rsidRPr="00507703" w:rsidRDefault="00507703" w:rsidP="00507703">
      <w:pPr>
        <w:shd w:val="clear" w:color="auto" w:fill="FFFFFF"/>
        <w:spacing w:before="100" w:beforeAutospacing="1" w:after="100" w:afterAutospacing="1" w:line="240" w:lineRule="auto"/>
        <w:jc w:val="both"/>
        <w:rPr>
          <w:rFonts w:ascii="Times New Roman" w:hAnsi="Times New Roman"/>
          <w:sz w:val="24"/>
          <w:szCs w:val="24"/>
        </w:rPr>
      </w:pPr>
      <w:r w:rsidRPr="00507703">
        <w:rPr>
          <w:rFonts w:ascii="Times New Roman" w:hAnsi="Times New Roman"/>
          <w:sz w:val="24"/>
          <w:szCs w:val="24"/>
        </w:rPr>
        <w:lastRenderedPageBreak/>
        <w:t xml:space="preserve">Habitualmente, los reguladores bancarios han prestado poca atención a este sector, pero la caída de Lehman mostró como este </w:t>
      </w:r>
      <w:r w:rsidRPr="00507703">
        <w:rPr>
          <w:rFonts w:ascii="Times New Roman" w:hAnsi="Times New Roman"/>
          <w:iCs/>
          <w:sz w:val="24"/>
          <w:szCs w:val="24"/>
        </w:rPr>
        <w:t>shadow banking</w:t>
      </w:r>
      <w:r w:rsidRPr="00507703">
        <w:rPr>
          <w:rFonts w:ascii="Times New Roman" w:hAnsi="Times New Roman"/>
          <w:sz w:val="24"/>
          <w:szCs w:val="24"/>
        </w:rPr>
        <w:t xml:space="preserve"> intensificó los problemas, ya que se “secaron” los mercados monetarios y los de “repos”, provocando que bancos de inversión y empresas tuvieran problemas para financiarse. El sector financiero, tras años intentando evitar cualquier tipo de regulación, empezó a mendigar rescates públicos. </w:t>
      </w:r>
    </w:p>
    <w:p w:rsidR="00507703" w:rsidRPr="00507703" w:rsidRDefault="00507703" w:rsidP="00507703">
      <w:pPr>
        <w:shd w:val="clear" w:color="auto" w:fill="FFFFFF"/>
        <w:spacing w:before="100" w:beforeAutospacing="1" w:after="100" w:afterAutospacing="1" w:line="240" w:lineRule="auto"/>
        <w:jc w:val="both"/>
        <w:rPr>
          <w:rFonts w:ascii="Times New Roman" w:hAnsi="Times New Roman"/>
          <w:sz w:val="24"/>
          <w:szCs w:val="24"/>
        </w:rPr>
      </w:pPr>
      <w:r w:rsidRPr="00507703">
        <w:rPr>
          <w:rFonts w:ascii="Times New Roman" w:hAnsi="Times New Roman"/>
          <w:sz w:val="24"/>
          <w:szCs w:val="24"/>
        </w:rPr>
        <w:t xml:space="preserve">Los reguladores reconocen que deben arreglar también el </w:t>
      </w:r>
      <w:r w:rsidRPr="00507703">
        <w:rPr>
          <w:rFonts w:ascii="Times New Roman" w:hAnsi="Times New Roman"/>
          <w:iCs/>
          <w:sz w:val="24"/>
          <w:szCs w:val="24"/>
        </w:rPr>
        <w:t>sector bancario en la sombra</w:t>
      </w:r>
      <w:r w:rsidRPr="00507703">
        <w:rPr>
          <w:rFonts w:ascii="Times New Roman" w:hAnsi="Times New Roman"/>
          <w:sz w:val="24"/>
          <w:szCs w:val="24"/>
        </w:rPr>
        <w:t xml:space="preserve"> como parte de la reforma global del sistema financiero. Pero apenas se han logrado progresos, a diferencia del sector bancario tradicional. Y peor aún, precisamente por ello, </w:t>
      </w:r>
      <w:r w:rsidRPr="00507703">
        <w:rPr>
          <w:rFonts w:ascii="Times New Roman" w:hAnsi="Times New Roman"/>
          <w:bCs/>
          <w:sz w:val="24"/>
          <w:szCs w:val="24"/>
        </w:rPr>
        <w:t>este sector financiero en la sombra está creciendo cada día más, lo que podría estar sembrando la semilla de la próxima crisis financiera. </w:t>
      </w:r>
    </w:p>
    <w:p w:rsidR="00507703" w:rsidRDefault="00B532D8" w:rsidP="00507703">
      <w:pPr>
        <w:shd w:val="clear" w:color="auto" w:fill="FFFFFF"/>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507703" w:rsidRPr="00B532D8">
        <w:rPr>
          <w:rFonts w:ascii="Times New Roman" w:hAnsi="Times New Roman"/>
          <w:sz w:val="24"/>
          <w:szCs w:val="24"/>
        </w:rPr>
        <w:t>No hemos hecho tanto com</w:t>
      </w:r>
      <w:r>
        <w:rPr>
          <w:rFonts w:ascii="Times New Roman" w:hAnsi="Times New Roman"/>
          <w:sz w:val="24"/>
          <w:szCs w:val="24"/>
        </w:rPr>
        <w:t>o deberíamos para arreglar esto”</w:t>
      </w:r>
      <w:r w:rsidR="00507703" w:rsidRPr="00B532D8">
        <w:rPr>
          <w:rFonts w:ascii="Times New Roman" w:hAnsi="Times New Roman"/>
          <w:sz w:val="24"/>
          <w:szCs w:val="24"/>
        </w:rPr>
        <w:t>, reconoció Henry Paulson, ex secretario del Tesoro de EEUU cuando</w:t>
      </w:r>
      <w:r>
        <w:rPr>
          <w:rFonts w:ascii="Times New Roman" w:hAnsi="Times New Roman"/>
          <w:sz w:val="24"/>
          <w:szCs w:val="24"/>
        </w:rPr>
        <w:t xml:space="preserve"> la crisis financiera comenzó. “</w:t>
      </w:r>
      <w:r w:rsidR="00507703" w:rsidRPr="00B532D8">
        <w:rPr>
          <w:rFonts w:ascii="Times New Roman" w:hAnsi="Times New Roman"/>
          <w:sz w:val="24"/>
          <w:szCs w:val="24"/>
        </w:rPr>
        <w:t>No quiero quitar hierro a los prob</w:t>
      </w:r>
      <w:r>
        <w:rPr>
          <w:rFonts w:ascii="Times New Roman" w:hAnsi="Times New Roman"/>
          <w:sz w:val="24"/>
          <w:szCs w:val="24"/>
        </w:rPr>
        <w:t>lemas y desafíos de los bancos “</w:t>
      </w:r>
      <w:r w:rsidR="00507703" w:rsidRPr="00B532D8">
        <w:rPr>
          <w:rFonts w:ascii="Times New Roman" w:hAnsi="Times New Roman"/>
          <w:sz w:val="24"/>
          <w:szCs w:val="24"/>
        </w:rPr>
        <w:t xml:space="preserve">demasiado grandes para caer </w:t>
      </w:r>
      <w:r w:rsidR="00507703" w:rsidRPr="00B532D8">
        <w:rPr>
          <w:rFonts w:ascii="Times New Roman" w:hAnsi="Times New Roman"/>
          <w:iCs/>
          <w:sz w:val="24"/>
          <w:szCs w:val="24"/>
        </w:rPr>
        <w:t>(too big to fail</w:t>
      </w:r>
      <w:r>
        <w:rPr>
          <w:rFonts w:ascii="Times New Roman" w:hAnsi="Times New Roman"/>
          <w:sz w:val="24"/>
          <w:szCs w:val="24"/>
        </w:rPr>
        <w:t>)”</w:t>
      </w:r>
      <w:r w:rsidR="00507703" w:rsidRPr="00B532D8">
        <w:rPr>
          <w:rFonts w:ascii="Times New Roman" w:hAnsi="Times New Roman"/>
          <w:sz w:val="24"/>
          <w:szCs w:val="24"/>
        </w:rPr>
        <w:t>, pero creo que hemos recorrido un largo camino ahí, mientras que no lo hemos hecho a la hora de afrontar algunos problemas estructurales de los mercados financieros</w:t>
      </w:r>
      <w:r>
        <w:rPr>
          <w:rFonts w:ascii="Times New Roman" w:hAnsi="Times New Roman"/>
          <w:sz w:val="24"/>
          <w:szCs w:val="24"/>
        </w:rPr>
        <w:t>”</w:t>
      </w:r>
      <w:r w:rsidR="00507703" w:rsidRPr="00B532D8">
        <w:rPr>
          <w:rFonts w:ascii="Times New Roman" w:hAnsi="Times New Roman"/>
          <w:sz w:val="24"/>
          <w:szCs w:val="24"/>
        </w:rPr>
        <w:t xml:space="preserve">, explicó Paulson a </w:t>
      </w:r>
      <w:r w:rsidR="00507703" w:rsidRPr="00B532D8">
        <w:rPr>
          <w:rFonts w:ascii="Times New Roman" w:hAnsi="Times New Roman"/>
          <w:iCs/>
          <w:sz w:val="24"/>
          <w:szCs w:val="24"/>
        </w:rPr>
        <w:t>Reuters</w:t>
      </w:r>
      <w:r w:rsidR="00507703" w:rsidRPr="00B532D8">
        <w:rPr>
          <w:rFonts w:ascii="Times New Roman" w:hAnsi="Times New Roman"/>
          <w:sz w:val="24"/>
          <w:szCs w:val="24"/>
        </w:rPr>
        <w:t>. </w:t>
      </w:r>
    </w:p>
    <w:p w:rsidR="00B532D8" w:rsidRPr="00B532D8" w:rsidRDefault="00B532D8" w:rsidP="00B532D8">
      <w:pPr>
        <w:shd w:val="clear" w:color="auto" w:fill="FFFFFF"/>
        <w:spacing w:before="100" w:beforeAutospacing="1" w:after="100" w:afterAutospacing="1" w:line="240" w:lineRule="auto"/>
        <w:jc w:val="both"/>
        <w:rPr>
          <w:rFonts w:ascii="Times New Roman" w:hAnsi="Times New Roman"/>
          <w:color w:val="000000"/>
          <w:sz w:val="24"/>
          <w:szCs w:val="24"/>
        </w:rPr>
      </w:pPr>
      <w:r w:rsidRPr="00B532D8">
        <w:rPr>
          <w:rFonts w:ascii="Times New Roman" w:hAnsi="Times New Roman"/>
          <w:color w:val="000000"/>
          <w:sz w:val="24"/>
          <w:szCs w:val="24"/>
        </w:rPr>
        <w:t>Aunque nadie puede predecir con exactitud de donde provendrá la siguiente crisis, una de las grandes preocupaciones es que una parte del sector bancario en la sombra se ponga patas arriba e infecte a otras partes mayores del sistema. No solo supondría un shock, sino que sería mucho más difícil de contener si las autoridades no tienen ni idea de los riesgos sistémicos que se están acumulando. </w:t>
      </w:r>
    </w:p>
    <w:p w:rsidR="00B532D8" w:rsidRPr="00B532D8" w:rsidRDefault="00B532D8" w:rsidP="00B532D8">
      <w:pPr>
        <w:shd w:val="clear" w:color="auto" w:fill="FFFFFF"/>
        <w:spacing w:before="100" w:beforeAutospacing="1" w:after="100" w:afterAutospacing="1" w:line="240" w:lineRule="auto"/>
        <w:jc w:val="both"/>
        <w:rPr>
          <w:rFonts w:ascii="Times New Roman" w:hAnsi="Times New Roman"/>
          <w:sz w:val="24"/>
          <w:szCs w:val="24"/>
        </w:rPr>
      </w:pPr>
      <w:r w:rsidRPr="00B532D8">
        <w:rPr>
          <w:rFonts w:ascii="Times New Roman" w:hAnsi="Times New Roman"/>
          <w:sz w:val="24"/>
          <w:szCs w:val="24"/>
        </w:rPr>
        <w:t xml:space="preserve">Paulson da una definición más concreta de este </w:t>
      </w:r>
      <w:r w:rsidRPr="00B532D8">
        <w:rPr>
          <w:rFonts w:ascii="Times New Roman" w:hAnsi="Times New Roman"/>
          <w:iCs/>
          <w:sz w:val="24"/>
          <w:szCs w:val="24"/>
        </w:rPr>
        <w:t>shadow banking</w:t>
      </w:r>
      <w:r w:rsidRPr="00B532D8">
        <w:rPr>
          <w:rFonts w:ascii="Times New Roman" w:hAnsi="Times New Roman"/>
          <w:sz w:val="24"/>
          <w:szCs w:val="24"/>
        </w:rPr>
        <w:t xml:space="preserve">: financiación a corto plazo no bancaria que se utiliza para financiar obligaciones a más largo plazo de instituciones financieras o corporaciones industriales. De ahí se puede deducir que tanto los fondos de mercados monetarios como los </w:t>
      </w:r>
      <w:r>
        <w:rPr>
          <w:rFonts w:ascii="Times New Roman" w:hAnsi="Times New Roman"/>
          <w:sz w:val="24"/>
          <w:szCs w:val="24"/>
        </w:rPr>
        <w:t>“</w:t>
      </w:r>
      <w:r w:rsidRPr="00B532D8">
        <w:rPr>
          <w:rFonts w:ascii="Times New Roman" w:hAnsi="Times New Roman"/>
          <w:iCs/>
          <w:sz w:val="24"/>
          <w:szCs w:val="24"/>
        </w:rPr>
        <w:t>repos</w:t>
      </w:r>
      <w:r>
        <w:rPr>
          <w:rFonts w:ascii="Times New Roman" w:hAnsi="Times New Roman"/>
          <w:iCs/>
          <w:sz w:val="24"/>
          <w:szCs w:val="24"/>
        </w:rPr>
        <w:t>”</w:t>
      </w:r>
      <w:r w:rsidRPr="00B532D8">
        <w:rPr>
          <w:rFonts w:ascii="Times New Roman" w:hAnsi="Times New Roman"/>
          <w:sz w:val="24"/>
          <w:szCs w:val="24"/>
        </w:rPr>
        <w:t>, que dan liquidez a corto plazo, sean los principales focos de atención. </w:t>
      </w:r>
    </w:p>
    <w:p w:rsidR="00B532D8" w:rsidRPr="00CA439D" w:rsidRDefault="002C04CD" w:rsidP="00B532D8">
      <w:pPr>
        <w:shd w:val="clear" w:color="auto" w:fill="FFFFFF"/>
        <w:spacing w:before="100" w:beforeAutospacing="1" w:after="100" w:afterAutospacing="1" w:line="240" w:lineRule="auto"/>
        <w:jc w:val="both"/>
        <w:rPr>
          <w:rFonts w:ascii="Times New Roman" w:hAnsi="Times New Roman"/>
          <w:color w:val="000000"/>
          <w:sz w:val="24"/>
          <w:szCs w:val="24"/>
        </w:rPr>
      </w:pPr>
      <w:r>
        <w:rPr>
          <w:rFonts w:ascii="Times New Roman" w:hAnsi="Times New Roman"/>
          <w:bCs/>
          <w:color w:val="000000"/>
          <w:sz w:val="24"/>
          <w:szCs w:val="24"/>
        </w:rPr>
        <w:t xml:space="preserve">Algunos analistas consideran que, por el momento, </w:t>
      </w:r>
      <w:r w:rsidR="00B532D8" w:rsidRPr="00B532D8">
        <w:rPr>
          <w:rFonts w:ascii="Times New Roman" w:hAnsi="Times New Roman"/>
          <w:bCs/>
          <w:color w:val="000000"/>
          <w:sz w:val="24"/>
          <w:szCs w:val="24"/>
        </w:rPr>
        <w:t>las partes con mayor riesgo son demasiado pequeñas y difusas como para suponer un riesgo sistémico inmediato</w:t>
      </w:r>
      <w:r w:rsidR="00B532D8" w:rsidRPr="00CA439D">
        <w:rPr>
          <w:rFonts w:ascii="Times New Roman" w:hAnsi="Times New Roman"/>
          <w:b/>
          <w:bCs/>
          <w:color w:val="000000"/>
          <w:sz w:val="24"/>
          <w:szCs w:val="24"/>
        </w:rPr>
        <w:t>.</w:t>
      </w:r>
      <w:r w:rsidR="00B532D8" w:rsidRPr="00CA439D">
        <w:rPr>
          <w:rFonts w:ascii="Times New Roman" w:hAnsi="Times New Roman"/>
          <w:color w:val="000000"/>
          <w:sz w:val="24"/>
          <w:szCs w:val="24"/>
        </w:rPr>
        <w:t xml:space="preserve"> Además, los reguladores se han propuesto obtener información de estos segmentos opacos del sistema financiero e introducir normas más estrictas en áre</w:t>
      </w:r>
      <w:r w:rsidR="00B532D8">
        <w:rPr>
          <w:rFonts w:ascii="Times New Roman" w:hAnsi="Times New Roman"/>
          <w:color w:val="000000"/>
          <w:sz w:val="24"/>
          <w:szCs w:val="24"/>
        </w:rPr>
        <w:t>a</w:t>
      </w:r>
      <w:r w:rsidR="00B532D8" w:rsidRPr="00CA439D">
        <w:rPr>
          <w:rFonts w:ascii="Times New Roman" w:hAnsi="Times New Roman"/>
          <w:color w:val="000000"/>
          <w:sz w:val="24"/>
          <w:szCs w:val="24"/>
        </w:rPr>
        <w:t>s como los ETFs, hedge funds, capital riesgo o compañías de titulización de activos. </w:t>
      </w:r>
    </w:p>
    <w:p w:rsidR="00B532D8" w:rsidRPr="002C04CD" w:rsidRDefault="00B532D8" w:rsidP="00B532D8">
      <w:pPr>
        <w:shd w:val="clear" w:color="auto" w:fill="FFFFFF"/>
        <w:spacing w:before="100" w:beforeAutospacing="1" w:after="100" w:afterAutospacing="1" w:line="240" w:lineRule="auto"/>
        <w:jc w:val="both"/>
        <w:rPr>
          <w:rFonts w:ascii="Times New Roman" w:hAnsi="Times New Roman"/>
          <w:sz w:val="24"/>
          <w:szCs w:val="24"/>
        </w:rPr>
      </w:pPr>
      <w:r w:rsidRPr="002C04CD">
        <w:rPr>
          <w:rFonts w:ascii="Times New Roman" w:hAnsi="Times New Roman"/>
          <w:sz w:val="24"/>
          <w:szCs w:val="24"/>
        </w:rPr>
        <w:t>Este crecimiento de la banca en la sombra contrasta con la banca tradicional, que se ha vuelto más cautelosa. Algunos bancos como Goldman Sachs o Morgan Stanley han creado comités que deben aprobar nuevos productos y transacciones para evitar incurrir en riesgos inapropiados tanto para los bancos como para sus clientes. Otros como Citigroup o JP Morgan han decidido directamente salir de los mercados con más riesgo, como los préstamos para estudiantes. </w:t>
      </w:r>
    </w:p>
    <w:p w:rsidR="00B532D8" w:rsidRDefault="00B532D8" w:rsidP="00B532D8">
      <w:pPr>
        <w:shd w:val="clear" w:color="auto" w:fill="FFFFFF"/>
        <w:spacing w:before="100" w:beforeAutospacing="1" w:after="100" w:afterAutospacing="1" w:line="240" w:lineRule="auto"/>
        <w:jc w:val="both"/>
        <w:rPr>
          <w:rFonts w:ascii="Times New Roman" w:hAnsi="Times New Roman"/>
          <w:sz w:val="24"/>
          <w:szCs w:val="24"/>
        </w:rPr>
      </w:pPr>
      <w:r w:rsidRPr="002C04CD">
        <w:rPr>
          <w:rFonts w:ascii="Times New Roman" w:hAnsi="Times New Roman"/>
          <w:sz w:val="24"/>
          <w:szCs w:val="24"/>
        </w:rPr>
        <w:t xml:space="preserve">En resumen, parece que al menos la idea de que entidades financieras sin regular tomen el testigo de la banca tradicional es inquietante. </w:t>
      </w:r>
      <w:r w:rsidR="002C04CD">
        <w:rPr>
          <w:rFonts w:ascii="Times New Roman" w:hAnsi="Times New Roman"/>
          <w:bCs/>
          <w:sz w:val="24"/>
          <w:szCs w:val="24"/>
        </w:rPr>
        <w:t>“</w:t>
      </w:r>
      <w:r w:rsidRPr="002C04CD">
        <w:rPr>
          <w:rFonts w:ascii="Times New Roman" w:hAnsi="Times New Roman"/>
          <w:bCs/>
          <w:sz w:val="24"/>
          <w:szCs w:val="24"/>
        </w:rPr>
        <w:t>No debemos tener ninguna confian</w:t>
      </w:r>
      <w:r w:rsidR="002C04CD">
        <w:rPr>
          <w:rFonts w:ascii="Times New Roman" w:hAnsi="Times New Roman"/>
          <w:bCs/>
          <w:sz w:val="24"/>
          <w:szCs w:val="24"/>
        </w:rPr>
        <w:t>za en que el sistema sea seguro”</w:t>
      </w:r>
      <w:r w:rsidRPr="002C04CD">
        <w:rPr>
          <w:rFonts w:ascii="Times New Roman" w:hAnsi="Times New Roman"/>
          <w:bCs/>
          <w:sz w:val="24"/>
          <w:szCs w:val="24"/>
        </w:rPr>
        <w:t xml:space="preserve">, </w:t>
      </w:r>
      <w:r w:rsidRPr="002C04CD">
        <w:rPr>
          <w:rFonts w:ascii="Times New Roman" w:hAnsi="Times New Roman"/>
          <w:sz w:val="24"/>
          <w:szCs w:val="24"/>
        </w:rPr>
        <w:t>concluye Richard Carnell, profesor de la Fordham University y ex asesor de la secretaría del Tesoro durante el mandato de Bill Clinton.</w:t>
      </w:r>
    </w:p>
    <w:p w:rsidR="00AA6172" w:rsidRPr="002C04CD" w:rsidRDefault="00AA6172" w:rsidP="00B532D8">
      <w:pPr>
        <w:shd w:val="clear" w:color="auto" w:fill="FFFFFF"/>
        <w:spacing w:before="100" w:beforeAutospacing="1" w:after="100" w:afterAutospacing="1" w:line="240" w:lineRule="auto"/>
        <w:jc w:val="both"/>
        <w:rPr>
          <w:rFonts w:ascii="Times New Roman" w:hAnsi="Times New Roman"/>
          <w:sz w:val="24"/>
          <w:szCs w:val="24"/>
        </w:rPr>
      </w:pPr>
    </w:p>
    <w:p w:rsidR="00B532D8" w:rsidRDefault="00F05AF1" w:rsidP="00B532D8">
      <w:pPr>
        <w:shd w:val="clear" w:color="auto" w:fill="FFFFFF"/>
        <w:spacing w:before="100" w:beforeAutospacing="1" w:after="100" w:afterAutospacing="1" w:line="240" w:lineRule="auto"/>
        <w:jc w:val="both"/>
        <w:outlineLvl w:val="2"/>
        <w:rPr>
          <w:rFonts w:ascii="Times New Roman" w:hAnsi="Times New Roman"/>
          <w:b/>
          <w:bCs/>
          <w:color w:val="000000"/>
          <w:sz w:val="24"/>
          <w:szCs w:val="24"/>
        </w:rPr>
      </w:pPr>
      <w:r>
        <w:rPr>
          <w:rFonts w:ascii="Times New Roman" w:hAnsi="Times New Roman"/>
          <w:b/>
          <w:bCs/>
          <w:color w:val="000000"/>
          <w:sz w:val="24"/>
          <w:szCs w:val="24"/>
        </w:rPr>
        <w:lastRenderedPageBreak/>
        <w:t>- El BCE “alimenta” la deuda y “alienta” la inflación: otra “sombra”</w:t>
      </w:r>
      <w:r w:rsidR="00B532D8" w:rsidRPr="00CA439D">
        <w:rPr>
          <w:rFonts w:ascii="Times New Roman" w:hAnsi="Times New Roman"/>
          <w:b/>
          <w:bCs/>
          <w:color w:val="000000"/>
          <w:sz w:val="24"/>
          <w:szCs w:val="24"/>
        </w:rPr>
        <w:t xml:space="preserve"> que crece</w:t>
      </w:r>
    </w:p>
    <w:p w:rsidR="00F05AF1" w:rsidRDefault="00F05AF1" w:rsidP="00F05AF1">
      <w:pPr>
        <w:spacing w:line="240" w:lineRule="auto"/>
        <w:jc w:val="both"/>
        <w:rPr>
          <w:rFonts w:ascii="Times New Roman" w:hAnsi="Times New Roman"/>
          <w:sz w:val="24"/>
          <w:szCs w:val="24"/>
        </w:rPr>
      </w:pPr>
      <w:r>
        <w:rPr>
          <w:rFonts w:ascii="Times New Roman" w:hAnsi="Times New Roman"/>
          <w:i/>
          <w:sz w:val="24"/>
          <w:szCs w:val="24"/>
        </w:rPr>
        <w:t>“</w:t>
      </w:r>
      <w:r w:rsidRPr="00F05AF1">
        <w:rPr>
          <w:rFonts w:ascii="Times New Roman" w:hAnsi="Times New Roman"/>
          <w:i/>
          <w:sz w:val="24"/>
          <w:szCs w:val="24"/>
        </w:rPr>
        <w:t>El Banco Central Europeo empezará a comprar bonos garantizados este mes y paquetes de préstamos bancarios conocidos como bonos titulizados -o ABS por sus siglas en inglés- durante los últimos tres meses del año, unas medidas que tendrán un “considerable impacto” en su balance, dijo el jueves el presidente, Mario Draghi</w:t>
      </w:r>
      <w:r>
        <w:rPr>
          <w:rFonts w:ascii="Times New Roman" w:hAnsi="Times New Roman"/>
          <w:i/>
          <w:sz w:val="24"/>
          <w:szCs w:val="24"/>
        </w:rPr>
        <w:t>”..</w:t>
      </w:r>
      <w:r w:rsidRPr="00F05AF1">
        <w:rPr>
          <w:rFonts w:ascii="Times New Roman" w:hAnsi="Times New Roman"/>
          <w:i/>
          <w:sz w:val="24"/>
          <w:szCs w:val="24"/>
        </w:rPr>
        <w:t xml:space="preserve">. </w:t>
      </w:r>
      <w:r w:rsidRPr="00D77706">
        <w:rPr>
          <w:rFonts w:ascii="Times New Roman" w:hAnsi="Times New Roman"/>
          <w:sz w:val="24"/>
          <w:szCs w:val="24"/>
          <w:u w:val="single"/>
        </w:rPr>
        <w:t>El BCE mantiene las tasas y ofrece detalles de sus programas para alentar la inflación</w:t>
      </w:r>
      <w:r>
        <w:rPr>
          <w:rFonts w:ascii="Times New Roman" w:hAnsi="Times New Roman"/>
          <w:sz w:val="24"/>
          <w:szCs w:val="24"/>
        </w:rPr>
        <w:t xml:space="preserve"> (The Wall Street Journal - </w:t>
      </w:r>
      <w:r w:rsidRPr="00D77706">
        <w:rPr>
          <w:rFonts w:ascii="Times New Roman" w:hAnsi="Times New Roman"/>
          <w:b/>
          <w:sz w:val="24"/>
          <w:szCs w:val="24"/>
        </w:rPr>
        <w:t>2/10/14</w:t>
      </w:r>
      <w:r>
        <w:rPr>
          <w:rFonts w:ascii="Times New Roman" w:hAnsi="Times New Roman"/>
          <w:sz w:val="24"/>
          <w:szCs w:val="24"/>
        </w:rPr>
        <w:t>)</w:t>
      </w:r>
    </w:p>
    <w:p w:rsidR="00F05AF1" w:rsidRDefault="00F05AF1" w:rsidP="00F05AF1">
      <w:pPr>
        <w:spacing w:line="240" w:lineRule="auto"/>
        <w:jc w:val="both"/>
        <w:rPr>
          <w:rFonts w:ascii="Times New Roman" w:hAnsi="Times New Roman"/>
          <w:sz w:val="24"/>
          <w:szCs w:val="24"/>
        </w:rPr>
      </w:pPr>
      <w:r w:rsidRPr="00F05AF1">
        <w:rPr>
          <w:rFonts w:ascii="Times New Roman" w:hAnsi="Times New Roman"/>
          <w:sz w:val="24"/>
          <w:szCs w:val="24"/>
        </w:rPr>
        <w:t xml:space="preserve">Durante la rueda de prensa posterior a la decisión de política monetaria del banco central, en la que se mantuvieron las tasas de interés sin cambios en el actual mínimo histórico, Draghi de nuevo dijo que el consejo es “unánime en su compromiso de utilizar instrumentos no convencionales” en caso de que la previsión para la inflación se deteriorase, lo que mantiene la puerta abierta a la posibilidad de comprar bonos soberanos, una política conocida como expansión cuantitativa. </w:t>
      </w:r>
    </w:p>
    <w:p w:rsidR="00F05AF1" w:rsidRPr="00F05AF1" w:rsidRDefault="00F05AF1" w:rsidP="00F05AF1">
      <w:pPr>
        <w:spacing w:line="240" w:lineRule="auto"/>
        <w:jc w:val="both"/>
        <w:rPr>
          <w:rFonts w:ascii="Times New Roman" w:hAnsi="Times New Roman"/>
          <w:sz w:val="24"/>
          <w:szCs w:val="24"/>
        </w:rPr>
      </w:pPr>
      <w:r w:rsidRPr="00F05AF1">
        <w:rPr>
          <w:rFonts w:ascii="Times New Roman" w:hAnsi="Times New Roman"/>
          <w:sz w:val="24"/>
          <w:szCs w:val="24"/>
        </w:rPr>
        <w:t xml:space="preserve">El objetivo de los nuevos programas de compras -y de la línea de crédito a cuatro años con tipos de interés mínimos para los bancos- es el de aumentar el balance del BCE en hasta EUR 1 billones y convencer a los mercados financieros y al público de que la inflación volverá a situarse en el objetivo de casi el 2%, pese a tocar mínimos de cinco años de 0,3% el mes pasado. </w:t>
      </w:r>
    </w:p>
    <w:p w:rsidR="00F05AF1" w:rsidRPr="00F05AF1" w:rsidRDefault="00F05AF1" w:rsidP="00F05AF1">
      <w:pPr>
        <w:spacing w:line="240" w:lineRule="auto"/>
        <w:jc w:val="both"/>
        <w:rPr>
          <w:rFonts w:ascii="Times New Roman" w:hAnsi="Times New Roman"/>
          <w:sz w:val="24"/>
          <w:szCs w:val="24"/>
        </w:rPr>
      </w:pPr>
      <w:r>
        <w:rPr>
          <w:rFonts w:ascii="Times New Roman" w:hAnsi="Times New Roman"/>
          <w:sz w:val="24"/>
          <w:szCs w:val="24"/>
        </w:rPr>
        <w:t>Según algunos analistas, c</w:t>
      </w:r>
      <w:r w:rsidRPr="00F05AF1">
        <w:rPr>
          <w:rFonts w:ascii="Times New Roman" w:hAnsi="Times New Roman"/>
          <w:sz w:val="24"/>
          <w:szCs w:val="24"/>
        </w:rPr>
        <w:t xml:space="preserve">uando las economías son frágiles, el riesgo de estas bajas tasas de inflación es que los precios se vuelvan demasiado débiles y que reduzcan los beneficios y el gasto, y dificulten al sector privado y a los gobiernos pagar sus deudas. </w:t>
      </w:r>
    </w:p>
    <w:p w:rsidR="00F05AF1" w:rsidRDefault="00F05AF1" w:rsidP="00F05AF1">
      <w:pPr>
        <w:spacing w:line="240" w:lineRule="auto"/>
        <w:jc w:val="both"/>
        <w:rPr>
          <w:rFonts w:ascii="Times New Roman" w:hAnsi="Times New Roman"/>
          <w:sz w:val="24"/>
          <w:szCs w:val="24"/>
        </w:rPr>
      </w:pPr>
      <w:r w:rsidRPr="00F05AF1">
        <w:rPr>
          <w:rFonts w:ascii="Times New Roman" w:hAnsi="Times New Roman"/>
          <w:sz w:val="24"/>
          <w:szCs w:val="24"/>
        </w:rPr>
        <w:t xml:space="preserve">Las recientes cifras económicas ya han llevado a los mercados financieros a pedir al BCE que haga más, en concreto comprando grandes cantidades de bonos estatales, una medida conocida como relajación cuantitativa. Los bancos centrales de Estados Unidos, Reino Unido y Japón han utilizado mucho esta política para reducir sus tipos de interés a largo plazo y fomentar los préstamos y el gasto. </w:t>
      </w:r>
    </w:p>
    <w:p w:rsidR="002946B0" w:rsidRPr="002946B0" w:rsidRDefault="002946B0" w:rsidP="002946B0">
      <w:pPr>
        <w:spacing w:before="100" w:beforeAutospacing="1" w:after="100" w:afterAutospacing="1" w:line="240" w:lineRule="auto"/>
        <w:jc w:val="both"/>
        <w:rPr>
          <w:rFonts w:ascii="Times New Roman" w:hAnsi="Times New Roman" w:cs="Times New Roman"/>
          <w:sz w:val="24"/>
          <w:szCs w:val="24"/>
        </w:rPr>
      </w:pPr>
      <w:r w:rsidRPr="002946B0">
        <w:rPr>
          <w:rFonts w:ascii="Times New Roman" w:hAnsi="Times New Roman"/>
          <w:sz w:val="24"/>
          <w:szCs w:val="24"/>
        </w:rPr>
        <w:t>Daniel Lacalle (</w:t>
      </w:r>
      <w:r w:rsidRPr="00707B7F">
        <w:rPr>
          <w:rFonts w:ascii="Times New Roman" w:hAnsi="Times New Roman"/>
          <w:sz w:val="24"/>
          <w:szCs w:val="24"/>
          <w:u w:val="single"/>
        </w:rPr>
        <w:t>Peligro de tercera recesión en Europa</w:t>
      </w:r>
      <w:r w:rsidRPr="002946B0">
        <w:rPr>
          <w:rFonts w:ascii="Times New Roman" w:hAnsi="Times New Roman"/>
          <w:sz w:val="24"/>
          <w:szCs w:val="24"/>
        </w:rPr>
        <w:t xml:space="preserve"> -</w:t>
      </w:r>
      <w:r w:rsidR="00707B7F">
        <w:rPr>
          <w:rFonts w:ascii="Times New Roman" w:hAnsi="Times New Roman"/>
          <w:sz w:val="24"/>
          <w:szCs w:val="24"/>
        </w:rPr>
        <w:t xml:space="preserve"> </w:t>
      </w:r>
      <w:r w:rsidRPr="002946B0">
        <w:rPr>
          <w:rFonts w:ascii="Times New Roman" w:hAnsi="Times New Roman"/>
          <w:sz w:val="24"/>
          <w:szCs w:val="24"/>
        </w:rPr>
        <w:t>El Confidencial - 4/10/14), escribe: … “</w:t>
      </w:r>
      <w:r w:rsidRPr="002946B0">
        <w:rPr>
          <w:rFonts w:ascii="Times New Roman" w:hAnsi="Times New Roman" w:cs="Times New Roman"/>
          <w:sz w:val="24"/>
          <w:szCs w:val="24"/>
        </w:rPr>
        <w:t>pensar que Draghi va a comprar unos bonos privados (ABS) que hoy aún ni siquiera están emitidos y esperar que anuncie todavía más.</w:t>
      </w:r>
      <w:r w:rsidR="00707B7F">
        <w:rPr>
          <w:rFonts w:ascii="Times New Roman" w:hAnsi="Times New Roman" w:cs="Times New Roman"/>
          <w:sz w:val="24"/>
          <w:szCs w:val="24"/>
        </w:rPr>
        <w:t>..</w:t>
      </w:r>
      <w:r w:rsidRPr="002946B0">
        <w:rPr>
          <w:rFonts w:ascii="Times New Roman" w:hAnsi="Times New Roman" w:cs="Times New Roman"/>
          <w:sz w:val="24"/>
          <w:szCs w:val="24"/>
        </w:rPr>
        <w:t xml:space="preserve"> Unos mercados “opados” que no atienden a fundamentales ni riesgos específicos y sólo corren detrás del siguiente “manguerazo” de dinero fácil. Como inversor, desde hace más de diez años me entristece ver a muchos gestores que sólo se lanzan a perseguir beta de banco central -el próximo chute-. Hace ya meses advertíamos que</w:t>
      </w:r>
      <w:hyperlink r:id="rId19" w:history="1">
        <w:r w:rsidRPr="002946B0">
          <w:rPr>
            <w:rStyle w:val="Hipervnculo"/>
            <w:rFonts w:ascii="Times New Roman" w:hAnsi="Times New Roman" w:cs="Times New Roman"/>
            <w:color w:val="auto"/>
            <w:sz w:val="24"/>
            <w:szCs w:val="24"/>
            <w:u w:val="none"/>
          </w:rPr>
          <w:t xml:space="preserve"> “El plan Draghi no arregla Europa” </w:t>
        </w:r>
      </w:hyperlink>
      <w:r w:rsidRPr="002946B0">
        <w:rPr>
          <w:rFonts w:ascii="Times New Roman" w:hAnsi="Times New Roman" w:cs="Times New Roman"/>
          <w:sz w:val="24"/>
          <w:szCs w:val="24"/>
        </w:rPr>
        <w:t xml:space="preserve"> y que el estímulo del Banco Central Europeo era, </w:t>
      </w:r>
      <w:hyperlink r:id="rId20" w:history="1">
        <w:r w:rsidRPr="002946B0">
          <w:rPr>
            <w:rStyle w:val="Hipervnculo"/>
            <w:rFonts w:ascii="Times New Roman" w:hAnsi="Times New Roman" w:cs="Times New Roman"/>
            <w:color w:val="auto"/>
            <w:sz w:val="24"/>
            <w:szCs w:val="24"/>
            <w:u w:val="none"/>
          </w:rPr>
          <w:t>además de innecesario, peligroso</w:t>
        </w:r>
      </w:hyperlink>
      <w:r w:rsidRPr="002946B0">
        <w:rPr>
          <w:rFonts w:ascii="Times New Roman" w:hAnsi="Times New Roman" w:cs="Times New Roman"/>
          <w:sz w:val="24"/>
          <w:szCs w:val="24"/>
        </w:rPr>
        <w:t>.</w:t>
      </w:r>
    </w:p>
    <w:p w:rsidR="002946B0" w:rsidRPr="002946B0" w:rsidRDefault="002946B0" w:rsidP="002946B0">
      <w:pPr>
        <w:pStyle w:val="NormalWeb"/>
        <w:jc w:val="both"/>
      </w:pPr>
      <w:r w:rsidRPr="002946B0">
        <w:t xml:space="preserve">Los bancos centrales </w:t>
      </w:r>
      <w:r w:rsidRPr="002946B0">
        <w:rPr>
          <w:rStyle w:val="Textoennegrita"/>
          <w:b w:val="0"/>
        </w:rPr>
        <w:t>no suplen con el gas de la risa monetario los desequilibrios de los paíse</w:t>
      </w:r>
      <w:r w:rsidRPr="002946B0">
        <w:t xml:space="preserve">s. Aferrarse al cuento de que “en EEUU Obama y Bernanke lo han conseguido” </w:t>
      </w:r>
      <w:r w:rsidRPr="002946B0">
        <w:rPr>
          <w:rStyle w:val="Textoennegrita"/>
          <w:b w:val="0"/>
        </w:rPr>
        <w:t>es engañoso </w:t>
      </w:r>
      <w:r w:rsidRPr="002946B0">
        <w:t xml:space="preserve">cuando se niega a Europa la libertad económica, apertura, mercado libre y espíritu emprendedor del continente norteamericano y, sobre todo, porque en los análisis interesados de “lo que ha hecho Obama” olvidamos que la participación laboral se ha desplomado a niveles de 1978 y la recuperación de “la impresora milagrosa” hubiera sido inexistente si no llega a ser por la revolución energética local, que ha llevado a EEUU a producir más que Arabia Saudí. </w:t>
      </w:r>
    </w:p>
    <w:p w:rsidR="002946B0" w:rsidRPr="002946B0" w:rsidRDefault="002946B0" w:rsidP="002946B0">
      <w:pPr>
        <w:pStyle w:val="NormalWeb"/>
        <w:jc w:val="both"/>
      </w:pPr>
      <w:r w:rsidRPr="002946B0">
        <w:lastRenderedPageBreak/>
        <w:t>De hecho,</w:t>
      </w:r>
      <w:r w:rsidRPr="002946B0">
        <w:rPr>
          <w:rStyle w:val="Textoennegrita"/>
          <w:b w:val="0"/>
        </w:rPr>
        <w:t xml:space="preserve"> la política expansiva compra algo de tiempo</w:t>
      </w:r>
      <w:r w:rsidRPr="002946B0">
        <w:t xml:space="preserve">, pero los estados europeos, que se niegan de manera arrogante a reformar sus hipertrofiadas administraciones, se acomodan a los estímulos. Como ya ocurrió en 2009, </w:t>
      </w:r>
      <w:r w:rsidRPr="002946B0">
        <w:rPr>
          <w:rStyle w:val="Textoennegrita"/>
          <w:b w:val="0"/>
        </w:rPr>
        <w:t>en cuanto ven la más mínima señal de recuperación, frenan las reformas</w:t>
      </w:r>
      <w:r w:rsidRPr="002946B0">
        <w:t>. Enhorabuena, ya crecemos al 1%, podemos descansar. Con esta actitud, en parte apoyada por los ciudadanos que siguen pensando que todo es gratis, los gobiernos se lanzan a garantizar el estancamiento durante unos cuantos años. Ya lo estamos viendo en Japón, donde tras aumentar la masa monetaria un 40% anual van encaminados al crecimiento cero.</w:t>
      </w:r>
    </w:p>
    <w:p w:rsidR="002946B0" w:rsidRPr="002946B0" w:rsidRDefault="002946B0" w:rsidP="002946B0">
      <w:pPr>
        <w:pStyle w:val="NormalWeb"/>
        <w:jc w:val="both"/>
      </w:pPr>
      <w:r w:rsidRPr="002946B0">
        <w:t xml:space="preserve">El ejemplo más peligroso es </w:t>
      </w:r>
      <w:r w:rsidRPr="002946B0">
        <w:rPr>
          <w:rStyle w:val="Textoennegrita"/>
          <w:b w:val="0"/>
        </w:rPr>
        <w:t>Francia</w:t>
      </w:r>
      <w:r w:rsidRPr="002946B0">
        <w:t xml:space="preserve">, </w:t>
      </w:r>
      <w:hyperlink r:id="rId21" w:history="1">
        <w:r w:rsidRPr="002946B0">
          <w:rPr>
            <w:rStyle w:val="Hipervnculo"/>
            <w:color w:val="auto"/>
            <w:u w:val="none"/>
          </w:rPr>
          <w:t>“El nuevo enfermo de Europa”</w:t>
        </w:r>
      </w:hyperlink>
      <w:r w:rsidRPr="002946B0">
        <w:t xml:space="preserve">, que tras anunciar tímidas reformas, inmediatamente rechazadas por el </w:t>
      </w:r>
      <w:r w:rsidR="00830E08">
        <w:t>“</w:t>
      </w:r>
      <w:hyperlink r:id="rId22" w:history="1">
        <w:r w:rsidRPr="00830E08">
          <w:rPr>
            <w:rStyle w:val="nfasis"/>
            <w:i w:val="0"/>
          </w:rPr>
          <w:t>establishment</w:t>
        </w:r>
        <w:r w:rsidR="00830E08">
          <w:rPr>
            <w:rStyle w:val="nfasis"/>
            <w:i w:val="0"/>
          </w:rPr>
          <w:t>”</w:t>
        </w:r>
        <w:r w:rsidRPr="002946B0">
          <w:rPr>
            <w:rStyle w:val="Hipervnculo"/>
            <w:color w:val="auto"/>
            <w:u w:val="none"/>
          </w:rPr>
          <w:t> intervencionista</w:t>
        </w:r>
      </w:hyperlink>
      <w:r w:rsidRPr="002946B0">
        <w:t>, vuelve a las andadas con un presupuesto más deficitario y cuya recesión nos puede afectar en España de manera importante, ya que es nuestro principal socio comercial.</w:t>
      </w:r>
    </w:p>
    <w:p w:rsidR="002946B0" w:rsidRPr="002946B0" w:rsidRDefault="002946B0" w:rsidP="002946B0">
      <w:pPr>
        <w:pStyle w:val="NormalWeb"/>
        <w:jc w:val="both"/>
      </w:pPr>
      <w:r w:rsidRPr="002946B0">
        <w:t xml:space="preserve">Bajo crecimiento, baja inflación, tipos bajos, baja volatilidad… Alta deuda, alto desempleo y altísimos impuestos. Una </w:t>
      </w:r>
      <w:r w:rsidRPr="002946B0">
        <w:rPr>
          <w:rStyle w:val="Textoennegrita"/>
          <w:b w:val="0"/>
        </w:rPr>
        <w:t>combinación extrema de fragilidad</w:t>
      </w:r>
      <w:r w:rsidRPr="002946B0">
        <w:t xml:space="preserve"> que nos debe seguir preocupando. Y tras dilapidar en la UE el 32% de su PIB en déficits “para crecer” desde 2008, aún hay quien pide “relajar” los objetivos para salir. No, </w:t>
      </w:r>
      <w:r w:rsidRPr="002946B0">
        <w:rPr>
          <w:rStyle w:val="Textoennegrita"/>
          <w:b w:val="0"/>
        </w:rPr>
        <w:t>la crisis de Europa no se ha acabado</w:t>
      </w:r>
      <w:r w:rsidRPr="002946B0">
        <w:t>. Se ha disfrazado con el sirope de chocolate monetario.</w:t>
      </w:r>
    </w:p>
    <w:p w:rsidR="002946B0" w:rsidRPr="002946B0" w:rsidRDefault="002946B0" w:rsidP="002946B0">
      <w:pPr>
        <w:pStyle w:val="NormalWeb"/>
        <w:jc w:val="both"/>
      </w:pPr>
      <w:r w:rsidRPr="002946B0">
        <w:t>En Europa se crean comités, programas, planes de estudio y todo el mundo ignora el elefante que impide el crecimiento. Un gasto público que supera el 49% del PIB de la Eurozona y que sigue creciendo. Y una llamada a los “ingresos perdidos” y “fraude” que recuerda mucho al cuento de la lechera. Una sobrecapacidad productiva del 24-25% heredada de los planes industriales y “de estímulo” casi soviéticos del periodo 2004-2010 y el bombardeo tributario continuado a los sectores que han sobrevivido a la crisis.</w:t>
      </w:r>
    </w:p>
    <w:p w:rsidR="002946B0" w:rsidRPr="002946B0" w:rsidRDefault="002946B0" w:rsidP="002946B0">
      <w:pPr>
        <w:pStyle w:val="NormalWeb"/>
        <w:jc w:val="both"/>
      </w:pPr>
      <w:r w:rsidRPr="002946B0">
        <w:t xml:space="preserve">El </w:t>
      </w:r>
      <w:r w:rsidRPr="002946B0">
        <w:rPr>
          <w:rStyle w:val="Textoennegrita"/>
          <w:b w:val="0"/>
        </w:rPr>
        <w:t>expolio en impuestos</w:t>
      </w:r>
      <w:r w:rsidRPr="002946B0">
        <w:t xml:space="preserve"> ha llevado a la práctica desaparición de la clase media y la política de impedir a toda costa la implementación real de financiación privada y capital riesgo sigue dejando a las pymes sin financiación, además de sufrir el esfuerzo fiscal más alto de la OCDE. Mientras tanto, </w:t>
      </w:r>
      <w:r w:rsidRPr="002946B0">
        <w:rPr>
          <w:rStyle w:val="Textoennegrita"/>
          <w:b w:val="0"/>
        </w:rPr>
        <w:t>se le echa la culpa a unos bancos a los que se les exige sorber y soplar a la vez</w:t>
      </w:r>
      <w:r w:rsidRPr="002946B0">
        <w:t>. Reducir riesgo y aligerar su balance, pero prestar a pymes, estados y familias como si fuese 2007.</w:t>
      </w:r>
    </w:p>
    <w:p w:rsidR="002946B0" w:rsidRPr="002946B0" w:rsidRDefault="002946B0" w:rsidP="002946B0">
      <w:pPr>
        <w:pStyle w:val="NormalWeb"/>
        <w:jc w:val="both"/>
      </w:pPr>
      <w:r w:rsidRPr="002946B0">
        <w:rPr>
          <w:rStyle w:val="Textoennegrita"/>
          <w:b w:val="0"/>
        </w:rPr>
        <w:t>Los ciudadanos no están inmunes a nuevos rescates financieros</w:t>
      </w:r>
      <w:r w:rsidRPr="002946B0">
        <w:t xml:space="preserve"> en unos estados que no quieren perder su control sobre sus sectores financieros. Nadie quiere que “sus bancos” adelgacen ni que su tamaño se reduzca y eso lleva a que una Europa hiper-bancarizada no termine de modernizar su sector financiero. En EEUU, la banca supone menos del 80% del PIB del país y financia a menos del 30% de la economía real. El resto es financiación privada y capital riesgo. En Europa, más del 80% de la economía real se financia por crédito bancario. El tamaño del sector bancario es más de tres veces el PIB de la Eurozona. Pues bien, el riesgo de rescates -si no se sale de la crisis de manera sólida- con dinero público sigue siendo alto, ya que la suma de accionistas y bonistas no llegan a un 8% de los pasivos (</w:t>
      </w:r>
      <w:r w:rsidR="00830E08">
        <w:t>“</w:t>
      </w:r>
      <w:r w:rsidRPr="00830E08">
        <w:rPr>
          <w:rStyle w:val="nfasis"/>
          <w:i w:val="0"/>
        </w:rPr>
        <w:t>liabilities</w:t>
      </w:r>
      <w:r w:rsidR="00830E08">
        <w:rPr>
          <w:rStyle w:val="nfasis"/>
          <w:i w:val="0"/>
        </w:rPr>
        <w:t>”</w:t>
      </w:r>
      <w:r w:rsidRPr="002946B0">
        <w:t xml:space="preserve">). Es decir, que incluso si se quisiera llevar a cabo un </w:t>
      </w:r>
      <w:r w:rsidR="00830E08">
        <w:t>“</w:t>
      </w:r>
      <w:r w:rsidRPr="00830E08">
        <w:rPr>
          <w:rStyle w:val="nfasis"/>
          <w:i w:val="0"/>
        </w:rPr>
        <w:t>bail-in</w:t>
      </w:r>
      <w:r w:rsidR="00830E08">
        <w:rPr>
          <w:rStyle w:val="nfasis"/>
          <w:i w:val="0"/>
        </w:rPr>
        <w:t>”</w:t>
      </w:r>
      <w:r w:rsidRPr="002946B0">
        <w:t> (que el rescate bancario lo paguen los inversores de dicho banco) en la mayoría de los casos no se cubriría ni un 8% de las necesidades de capital”.</w:t>
      </w:r>
    </w:p>
    <w:p w:rsidR="00830E08" w:rsidRDefault="00830E08" w:rsidP="00830E08">
      <w:pPr>
        <w:spacing w:line="240" w:lineRule="auto"/>
        <w:jc w:val="both"/>
        <w:rPr>
          <w:rFonts w:ascii="Times New Roman" w:hAnsi="Times New Roman"/>
          <w:sz w:val="24"/>
          <w:szCs w:val="24"/>
        </w:rPr>
      </w:pPr>
      <w:r>
        <w:rPr>
          <w:rFonts w:ascii="Times New Roman" w:hAnsi="Times New Roman"/>
          <w:sz w:val="24"/>
          <w:szCs w:val="24"/>
        </w:rPr>
        <w:t xml:space="preserve">(Daniel Lacalle </w:t>
      </w:r>
      <w:r w:rsidRPr="00830E08">
        <w:rPr>
          <w:rFonts w:ascii="Times New Roman" w:hAnsi="Times New Roman"/>
          <w:sz w:val="24"/>
          <w:szCs w:val="24"/>
        </w:rPr>
        <w:t>es economista y gestor de fondos de inversión.</w:t>
      </w:r>
      <w:r w:rsidR="00707B7F">
        <w:rPr>
          <w:rFonts w:ascii="Times New Roman" w:hAnsi="Times New Roman"/>
          <w:sz w:val="24"/>
          <w:szCs w:val="24"/>
        </w:rPr>
        <w:t xml:space="preserve"> C</w:t>
      </w:r>
      <w:r>
        <w:rPr>
          <w:rFonts w:ascii="Times New Roman" w:hAnsi="Times New Roman"/>
          <w:sz w:val="24"/>
          <w:szCs w:val="24"/>
        </w:rPr>
        <w:t>olumnista de</w:t>
      </w:r>
      <w:r w:rsidR="00707B7F">
        <w:rPr>
          <w:rFonts w:ascii="Times New Roman" w:hAnsi="Times New Roman"/>
          <w:sz w:val="24"/>
          <w:szCs w:val="24"/>
        </w:rPr>
        <w:t xml:space="preserve"> El Confidencial, y colaborador</w:t>
      </w:r>
      <w:r w:rsidRPr="00830E08">
        <w:rPr>
          <w:rFonts w:ascii="Times New Roman" w:hAnsi="Times New Roman"/>
          <w:sz w:val="24"/>
          <w:szCs w:val="24"/>
        </w:rPr>
        <w:t xml:space="preserve"> habitualmente en la CNBC, The Commentator y The Wall Str</w:t>
      </w:r>
      <w:r w:rsidR="00707B7F">
        <w:rPr>
          <w:rFonts w:ascii="Times New Roman" w:hAnsi="Times New Roman"/>
          <w:sz w:val="24"/>
          <w:szCs w:val="24"/>
        </w:rPr>
        <w:t>eet Journal. Autor de “</w:t>
      </w:r>
      <w:r>
        <w:rPr>
          <w:rFonts w:ascii="Times New Roman" w:hAnsi="Times New Roman"/>
          <w:sz w:val="24"/>
          <w:szCs w:val="24"/>
        </w:rPr>
        <w:t>Nosotros, los mercados</w:t>
      </w:r>
      <w:r w:rsidR="00707B7F">
        <w:rPr>
          <w:rFonts w:ascii="Times New Roman" w:hAnsi="Times New Roman"/>
          <w:sz w:val="24"/>
          <w:szCs w:val="24"/>
        </w:rPr>
        <w:t>”</w:t>
      </w:r>
      <w:r>
        <w:rPr>
          <w:rFonts w:ascii="Times New Roman" w:hAnsi="Times New Roman"/>
          <w:sz w:val="24"/>
          <w:szCs w:val="24"/>
        </w:rPr>
        <w:t xml:space="preserve"> y </w:t>
      </w:r>
      <w:r w:rsidR="00707B7F">
        <w:rPr>
          <w:rFonts w:ascii="Times New Roman" w:hAnsi="Times New Roman"/>
          <w:sz w:val="24"/>
          <w:szCs w:val="24"/>
        </w:rPr>
        <w:t>“</w:t>
      </w:r>
      <w:r w:rsidRPr="00830E08">
        <w:rPr>
          <w:rFonts w:ascii="Times New Roman" w:hAnsi="Times New Roman"/>
          <w:sz w:val="24"/>
          <w:szCs w:val="24"/>
        </w:rPr>
        <w:t>Viaje a la libertad económica</w:t>
      </w:r>
      <w:r w:rsidR="00707B7F">
        <w:rPr>
          <w:rFonts w:ascii="Times New Roman" w:hAnsi="Times New Roman"/>
          <w:sz w:val="24"/>
          <w:szCs w:val="24"/>
        </w:rPr>
        <w:t>”</w:t>
      </w:r>
      <w:r>
        <w:rPr>
          <w:rFonts w:ascii="Times New Roman" w:hAnsi="Times New Roman"/>
          <w:sz w:val="24"/>
          <w:szCs w:val="24"/>
        </w:rPr>
        <w:t>)</w:t>
      </w:r>
    </w:p>
    <w:p w:rsidR="00707B7F" w:rsidRDefault="00707B7F" w:rsidP="00707B7F">
      <w:pPr>
        <w:pStyle w:val="Ttulo2"/>
        <w:jc w:val="both"/>
        <w:rPr>
          <w:sz w:val="24"/>
          <w:szCs w:val="24"/>
        </w:rPr>
      </w:pPr>
      <w:r>
        <w:rPr>
          <w:sz w:val="24"/>
          <w:szCs w:val="24"/>
        </w:rPr>
        <w:lastRenderedPageBreak/>
        <w:t xml:space="preserve">- </w:t>
      </w:r>
      <w:r w:rsidRPr="00A17D00">
        <w:rPr>
          <w:sz w:val="24"/>
          <w:szCs w:val="24"/>
        </w:rPr>
        <w:t>Un modelo no tan modélico</w:t>
      </w:r>
      <w:r>
        <w:rPr>
          <w:sz w:val="24"/>
          <w:szCs w:val="24"/>
        </w:rPr>
        <w:t xml:space="preserve"> (el milagro alemán de los 8 millones de minijobers)</w:t>
      </w:r>
    </w:p>
    <w:p w:rsidR="00707B7F" w:rsidRPr="00707B7F" w:rsidRDefault="00707B7F" w:rsidP="00707B7F">
      <w:pPr>
        <w:pStyle w:val="NormalWeb"/>
        <w:jc w:val="both"/>
      </w:pPr>
      <w:r w:rsidRPr="00707B7F">
        <w:t>Alemania se ha convertido en el niño modelo de la clase entre los socios europeos. Su capacidad para aumentar su cuota exportadora a lo largo de la última década, mientras Europa perdía terreno en el mundo, su saneada situación financiera, sus bajos niveles de desempleo y, sobre todo, su capacidad para resistir los golpes de la gran recesión han transformado a Berlín en el ejemplo a imitar.</w:t>
      </w:r>
    </w:p>
    <w:p w:rsidR="00707B7F" w:rsidRPr="00707B7F" w:rsidRDefault="00707B7F" w:rsidP="00707B7F">
      <w:pPr>
        <w:pStyle w:val="NormalWeb"/>
        <w:jc w:val="both"/>
      </w:pPr>
      <w:r w:rsidRPr="00707B7F">
        <w:t>El segundo milagro alemán hizo que su economía pasara de ser el enfermo de Europa a principios de este milenio a ser la locomotora del continente. Sin embargo, este milagro tiene sombras peligrosas que ponen en riesgo todo el crecimiento europeo.</w:t>
      </w:r>
    </w:p>
    <w:p w:rsidR="00707B7F" w:rsidRPr="00707B7F" w:rsidRDefault="00707B7F" w:rsidP="00707B7F">
      <w:pPr>
        <w:pStyle w:val="NormalWeb"/>
        <w:jc w:val="both"/>
        <w:rPr>
          <w:i/>
        </w:rPr>
      </w:pPr>
      <w:r w:rsidRPr="00707B7F">
        <w:rPr>
          <w:i/>
        </w:rPr>
        <w:t>“Existe otro país detrás de esta historia de éxito”, explica Marcel Fratzcher, presidente del Instituto Alemán para la Investigación Económica, uno de los principales “</w:t>
      </w:r>
      <w:r w:rsidRPr="00707B7F">
        <w:rPr>
          <w:i/>
          <w:iCs/>
        </w:rPr>
        <w:t>think-tanks”</w:t>
      </w:r>
      <w:r w:rsidRPr="00707B7F">
        <w:rPr>
          <w:i/>
        </w:rPr>
        <w:t xml:space="preserve"> del continente. El economista, que ha trabajado en el Banco Central Europeo y en varios organismos internacionales, observa un país que encara un problema de crecimiento, ya que </w:t>
      </w:r>
      <w:hyperlink r:id="rId23" w:history="1">
        <w:r w:rsidRPr="00707B7F">
          <w:rPr>
            <w:rStyle w:val="Hipervnculo"/>
            <w:i/>
            <w:color w:val="auto"/>
            <w:u w:val="none"/>
          </w:rPr>
          <w:t>su PIB ha aumentado por debajo de la media</w:t>
        </w:r>
      </w:hyperlink>
      <w:r w:rsidRPr="00707B7F">
        <w:rPr>
          <w:i/>
        </w:rPr>
        <w:t xml:space="preserve"> de la UE durante los últimos años”…</w:t>
      </w:r>
      <w:r>
        <w:rPr>
          <w:i/>
        </w:rPr>
        <w:t xml:space="preserve"> </w:t>
      </w:r>
      <w:r>
        <w:rPr>
          <w:u w:val="single"/>
        </w:rPr>
        <w:t>Las sombras del “milagro alemán”</w:t>
      </w:r>
      <w:r w:rsidRPr="00707B7F">
        <w:rPr>
          <w:u w:val="single"/>
        </w:rPr>
        <w:t>, una amenaza para el crecimiento europeo</w:t>
      </w:r>
      <w:r w:rsidRPr="00707B7F">
        <w:t xml:space="preserve"> </w:t>
      </w:r>
      <w:r>
        <w:t xml:space="preserve">(El Economista - </w:t>
      </w:r>
      <w:r w:rsidRPr="00A17D00">
        <w:rPr>
          <w:b/>
        </w:rPr>
        <w:t>6/10/14</w:t>
      </w:r>
      <w:r>
        <w:t>)</w:t>
      </w:r>
      <w:r>
        <w:rPr>
          <w:u w:val="single"/>
        </w:rPr>
        <w:t xml:space="preserve"> </w:t>
      </w:r>
    </w:p>
    <w:p w:rsidR="00707B7F" w:rsidRPr="003F53DF" w:rsidRDefault="00707B7F" w:rsidP="00707B7F">
      <w:pPr>
        <w:pStyle w:val="NormalWeb"/>
        <w:jc w:val="both"/>
      </w:pPr>
      <w:r w:rsidRPr="003F53DF">
        <w:t xml:space="preserve">Alemania, además, tiene un desafío importante con el empleo precario, ya que la franja baja del 60% de sus trabajadores gana menos que hace 15 años. A pesar de que el país es conocido por ser ahorrador, este músculo financiero no se convierte en riqueza al estar mal canalizado, ni invertir en educación o prepararse para el envejecimiento de la población. Alemania es también una de las naciones europeas con mayor desigualdad entre sus ciudadanos. Y, sobre todo, continúa con un alarmante problema de inversión. </w:t>
      </w:r>
    </w:p>
    <w:p w:rsidR="00707B7F" w:rsidRPr="003F53DF" w:rsidRDefault="00707B7F" w:rsidP="00707B7F">
      <w:pPr>
        <w:pStyle w:val="Ttulo2"/>
        <w:jc w:val="both"/>
        <w:rPr>
          <w:b w:val="0"/>
          <w:sz w:val="24"/>
          <w:szCs w:val="24"/>
          <w:u w:val="single"/>
        </w:rPr>
      </w:pPr>
      <w:r w:rsidRPr="003F53DF">
        <w:rPr>
          <w:b w:val="0"/>
          <w:sz w:val="24"/>
          <w:szCs w:val="24"/>
          <w:u w:val="single"/>
        </w:rPr>
        <w:t>Las tres ilusiones del país</w:t>
      </w:r>
    </w:p>
    <w:p w:rsidR="00707B7F" w:rsidRPr="00A17D00" w:rsidRDefault="00707B7F" w:rsidP="00707B7F">
      <w:pPr>
        <w:pStyle w:val="NormalWeb"/>
        <w:jc w:val="both"/>
      </w:pPr>
      <w:r w:rsidRPr="00A17D00">
        <w:t xml:space="preserve">Como cuenta Fratzscher en su libro La Ilusión de Alemania, el aumento de la distancia entre estas dos Alemanias, la del milagro económico y la que tiene unos pilares no tan robustos, ha llevado a la emergencia de tres ilusiones dentro del país. </w:t>
      </w:r>
    </w:p>
    <w:p w:rsidR="00707B7F" w:rsidRPr="00A17D00" w:rsidRDefault="00707B7F" w:rsidP="00707B7F">
      <w:pPr>
        <w:pStyle w:val="NormalWeb"/>
        <w:jc w:val="both"/>
      </w:pPr>
      <w:r w:rsidRPr="00A17D00">
        <w:t>La primera es que todas las reformas económicas han sido un éxito y la nación tiene un futuro prometedor por delante. Pero su economía sufre un problema de inversión galopante no sólo en infraestructuras, también en maquinaria, I+D, o educación, donde gasta por debajo de la media de los países desarrollados. La consecuencia es que la competitividad alemana, y su crecimiento, está en riesgo a medio y largo plazo.</w:t>
      </w:r>
    </w:p>
    <w:p w:rsidR="00707B7F" w:rsidRPr="00A17D00" w:rsidRDefault="00707B7F" w:rsidP="00707B7F">
      <w:pPr>
        <w:pStyle w:val="NormalWeb"/>
        <w:jc w:val="both"/>
      </w:pPr>
      <w:r w:rsidRPr="00A17D00">
        <w:t xml:space="preserve">La segunda ilusión entre los alemanes es pensar que no necesitan a Europa, ya que son una potencia exportadora global. Sin embargo, más de la mitad de los intercambios comerciales los realiza con el resto de socios de la UE, con quienes mantiene una profunda integración económica y financiera. </w:t>
      </w:r>
    </w:p>
    <w:p w:rsidR="00707B7F" w:rsidRPr="00A17D00" w:rsidRDefault="00707B7F" w:rsidP="003F53DF">
      <w:pPr>
        <w:pStyle w:val="NormalWeb"/>
        <w:jc w:val="both"/>
      </w:pPr>
      <w:r w:rsidRPr="00A17D00">
        <w:t xml:space="preserve">Por último, Alemania se considera el pagador de Europa en esta crisis, un papel que estima excesivo al tener que correr con demasiados riesgos y cubrir los errores </w:t>
      </w:r>
      <w:r w:rsidR="003F53DF">
        <w:t>de los países de la periferia. “</w:t>
      </w:r>
      <w:r w:rsidRPr="00A17D00">
        <w:t>Es verdad que Alemania ha dado mucho, y ha tomado muchos riesgos, pero si miras el balance, se ha convertido en uno de los principales beneficiarios indirec</w:t>
      </w:r>
      <w:r w:rsidR="003F53DF">
        <w:t>tos de los programas de rescate”</w:t>
      </w:r>
      <w:r w:rsidRPr="00A17D00">
        <w:t xml:space="preserve">, dice Fratzcher, quien además recuerda que gran </w:t>
      </w:r>
      <w:r w:rsidRPr="00A17D00">
        <w:lastRenderedPageBreak/>
        <w:t>parte de las decisiones durante la gestión de la crisis han sido influidas por la prin</w:t>
      </w:r>
      <w:r w:rsidR="003F53DF">
        <w:t xml:space="preserve">cipal economía de la eurozona. </w:t>
      </w:r>
    </w:p>
    <w:p w:rsidR="00707B7F" w:rsidRPr="00A17D00" w:rsidRDefault="00707B7F" w:rsidP="00707B7F">
      <w:pPr>
        <w:pStyle w:val="NormalWeb"/>
        <w:jc w:val="both"/>
      </w:pPr>
      <w:r w:rsidRPr="00A17D00">
        <w:t>Alemania ha querido convertir su economía y las reformas que emprendió hace una década, sobre todo en el mercado laboral, en modelo para el resto de los estados miembros. Pero como apunta Sebastian Dullien, del Consejo Europeo para las Relaciones Exteriores (ECFR, por sus siglas en inglés), y profesor de Economía Internacional en la HTW de B</w:t>
      </w:r>
      <w:r w:rsidR="003F53DF">
        <w:t>erlín, el éxito alemán “</w:t>
      </w:r>
      <w:r w:rsidRPr="00A17D00">
        <w:t>no puede servir en su conjunto com</w:t>
      </w:r>
      <w:r w:rsidR="003F53DF">
        <w:t>o un plan de acción para Europa”, ya que “</w:t>
      </w:r>
      <w:r w:rsidRPr="00A17D00">
        <w:t>algunos elementos del modelo alemán tienen externalidades negativas en sus socios europeos, mientras que otros deprimen e</w:t>
      </w:r>
      <w:r w:rsidR="003F53DF">
        <w:t>l crecimiento económico interno”</w:t>
      </w:r>
      <w:r w:rsidRPr="00A17D00">
        <w:t xml:space="preserve">. </w:t>
      </w:r>
    </w:p>
    <w:p w:rsidR="00707B7F" w:rsidRPr="00A17D00" w:rsidRDefault="00707B7F" w:rsidP="00707B7F">
      <w:pPr>
        <w:pStyle w:val="NormalWeb"/>
        <w:jc w:val="both"/>
      </w:pPr>
      <w:r w:rsidRPr="00A17D00">
        <w:t xml:space="preserve">Dullien, que pinta un cuadro clínico similar al de Fratzcher en un </w:t>
      </w:r>
      <w:r w:rsidR="003F53DF">
        <w:t>documento del ECFR, señala que “</w:t>
      </w:r>
      <w:r w:rsidRPr="00A17D00">
        <w:t>la resistencia de Berlín a gastar en I+D y en educación rebaja el potencial de crecimiento no sólo en Alemania, sino también en el resto de Europa a través de los efectos de contagio al ral</w:t>
      </w:r>
      <w:r w:rsidR="003F53DF">
        <w:t>entizar el progreso tecnológico”</w:t>
      </w:r>
      <w:r w:rsidRPr="00A17D00">
        <w:t xml:space="preserve">. Un efecto que se amplificaría si todas las economías europeas actuaran igual. </w:t>
      </w:r>
    </w:p>
    <w:p w:rsidR="00707B7F" w:rsidRDefault="00707B7F" w:rsidP="00707B7F">
      <w:pPr>
        <w:pStyle w:val="NormalWeb"/>
        <w:jc w:val="both"/>
      </w:pPr>
      <w:r w:rsidRPr="00A17D00">
        <w:t>La Comisión Europea también tiene en el punto de mira a la locomotora alemana. El Ejecutivo comunitario finalmente no le abrió un procedimiento por el excesivo y persistente superávit en su balanza comercial, que va a continuar por encima del 7% durante los próximos años. Bruselas alaba este superávit por ilustrar la robusta competitividad alemana, pero también lo considera un síntoma peligroso de la débil demanda interna y la ineficiente asignación de recursos económicos. Sin llegar a poner a Berlín bajo la amenaza de sanciones, la Comisión ha lanzado repetidos avisos y ha pedido a Berlín medidas para estimular la demanda interna, más inversión en capital físico y humano, y mejorar la eficiencia de todos los sectores económicos, en particular en el sector servicios.</w:t>
      </w:r>
    </w:p>
    <w:p w:rsidR="003F53DF" w:rsidRPr="000E1DEA" w:rsidRDefault="003F53DF" w:rsidP="003F53DF">
      <w:pPr>
        <w:pStyle w:val="NormalWeb"/>
        <w:jc w:val="both"/>
        <w:rPr>
          <w:b/>
          <w:i/>
        </w:rPr>
      </w:pPr>
      <w:r>
        <w:rPr>
          <w:i/>
        </w:rPr>
        <w:t>“</w:t>
      </w:r>
      <w:r w:rsidRPr="003F53DF">
        <w:rPr>
          <w:i/>
        </w:rPr>
        <w:t xml:space="preserve">Siete años más tarde de que se dieran los primeros síntomas de la crisis financiera que a punto estuvo de acabar con los sistemas financieros de las economías más desarrolladas, algunos de los </w:t>
      </w:r>
      <w:r w:rsidRPr="003F53DF">
        <w:rPr>
          <w:rStyle w:val="Textoennegrita"/>
          <w:b w:val="0"/>
          <w:i/>
        </w:rPr>
        <w:t>pecados originales</w:t>
      </w:r>
      <w:r w:rsidRPr="003F53DF">
        <w:rPr>
          <w:i/>
        </w:rPr>
        <w:t xml:space="preserve"> que condujeron a tal situación </w:t>
      </w:r>
      <w:r w:rsidRPr="003F53DF">
        <w:rPr>
          <w:rStyle w:val="Textoennegrita"/>
          <w:b w:val="0"/>
          <w:i/>
        </w:rPr>
        <w:t>siguen sin ser expiados</w:t>
      </w:r>
      <w:r>
        <w:rPr>
          <w:rStyle w:val="Textoennegrita"/>
          <w:b w:val="0"/>
          <w:i/>
        </w:rPr>
        <w:t>”..</w:t>
      </w:r>
      <w:r w:rsidRPr="003F53DF">
        <w:rPr>
          <w:b/>
          <w:i/>
        </w:rPr>
        <w:t>.</w:t>
      </w:r>
      <w:r>
        <w:rPr>
          <w:b/>
          <w:i/>
        </w:rPr>
        <w:t xml:space="preserve"> </w:t>
      </w:r>
      <w:r w:rsidRPr="006B6705">
        <w:rPr>
          <w:u w:val="single"/>
        </w:rPr>
        <w:t>Alemania no hace sus deberes</w:t>
      </w:r>
      <w:r>
        <w:t xml:space="preserve"> (El Confidencial - </w:t>
      </w:r>
      <w:r w:rsidRPr="006B6705">
        <w:rPr>
          <w:b/>
        </w:rPr>
        <w:t>7/10/14</w:t>
      </w:r>
      <w:r>
        <w:t>)</w:t>
      </w:r>
    </w:p>
    <w:p w:rsidR="003F53DF" w:rsidRDefault="003F53DF" w:rsidP="003F53DF">
      <w:pPr>
        <w:pStyle w:val="NormalWeb"/>
        <w:jc w:val="both"/>
      </w:pPr>
      <w:r>
        <w:rPr>
          <w:noProof/>
        </w:rPr>
        <w:drawing>
          <wp:inline distT="0" distB="0" distL="0" distR="0" wp14:anchorId="28D7DFC8" wp14:editId="7CB0B460">
            <wp:extent cx="5264150" cy="2825750"/>
            <wp:effectExtent l="0" t="0" r="0" b="0"/>
            <wp:docPr id="15" name="Imagen 15" descr="http://www.ecestaticos.com/file/ac23d01b228fa7202b9acbe3cd7e5472/1412612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cestaticos.com/file/ac23d01b228fa7202b9acbe3cd7e5472/141261242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64150" cy="2825750"/>
                    </a:xfrm>
                    <a:prstGeom prst="rect">
                      <a:avLst/>
                    </a:prstGeom>
                    <a:noFill/>
                    <a:ln>
                      <a:noFill/>
                    </a:ln>
                  </pic:spPr>
                </pic:pic>
              </a:graphicData>
            </a:graphic>
          </wp:inline>
        </w:drawing>
      </w:r>
    </w:p>
    <w:p w:rsidR="003F53DF" w:rsidRPr="000E1DEA" w:rsidRDefault="003F53DF" w:rsidP="003F53DF">
      <w:pPr>
        <w:pStyle w:val="NormalWeb"/>
        <w:jc w:val="both"/>
        <w:rPr>
          <w:b/>
        </w:rPr>
      </w:pPr>
      <w:r w:rsidRPr="000E1DEA">
        <w:rPr>
          <w:rStyle w:val="Textoennegrita"/>
          <w:b w:val="0"/>
        </w:rPr>
        <w:lastRenderedPageBreak/>
        <w:t>Alemania se ha convertido en la economía con mayor superávit comercial del mundo</w:t>
      </w:r>
      <w:r>
        <w:t>, esto es: con mayor capacidad de ahorro (la estimación es de un saldo positivo corriente del 10% de su PIB en 2015 desde el 7,5% a</w:t>
      </w:r>
      <w:r w:rsidR="000E1DEA">
        <w:t>ctual). Hay que recordar</w:t>
      </w:r>
      <w:r>
        <w:t xml:space="preserve"> que buena parte de los desequilibrios internos de la Unión Europea se justificaron, precisamente, desde esta realidad: la abundancia germana qu</w:t>
      </w:r>
      <w:r w:rsidR="000E1DEA">
        <w:t>e contrastaba con la necesidad -mejor dicho, ilusión de riqueza-</w:t>
      </w:r>
      <w:r>
        <w:t xml:space="preserve"> de la periferia regional. No sólo eso, en las declaraciones de buenas intenciones que siguieron al estallido del apocalipsis griego, cualquier solución estructural para que la Vieja Europa recuperara esplendores pasados pasaba, precisamente, por un cambio de su modelo: </w:t>
      </w:r>
      <w:r w:rsidRPr="000E1DEA">
        <w:rPr>
          <w:rStyle w:val="Textoennegrita"/>
          <w:b w:val="0"/>
        </w:rPr>
        <w:t>más demanda interna y menos exportaciones</w:t>
      </w:r>
      <w:r w:rsidR="000E1DEA">
        <w:rPr>
          <w:b/>
        </w:rPr>
        <w:t xml:space="preserve">. </w:t>
      </w:r>
      <w:r>
        <w:t xml:space="preserve">Pues </w:t>
      </w:r>
      <w:r w:rsidRPr="000E1DEA">
        <w:rPr>
          <w:rStyle w:val="Textoennegrita"/>
          <w:b w:val="0"/>
        </w:rPr>
        <w:t>va a ser que no</w:t>
      </w:r>
      <w:r w:rsidR="000E1DEA">
        <w:t xml:space="preserve">, visto lo visto. </w:t>
      </w:r>
    </w:p>
    <w:p w:rsidR="003F53DF" w:rsidRPr="000E1DEA" w:rsidRDefault="003F53DF" w:rsidP="003F53DF">
      <w:pPr>
        <w:pStyle w:val="NormalWeb"/>
        <w:jc w:val="both"/>
        <w:rPr>
          <w:b/>
        </w:rPr>
      </w:pPr>
      <w:r>
        <w:t xml:space="preserve">Es evidente que esta situación tiene un </w:t>
      </w:r>
      <w:r w:rsidRPr="000E1DEA">
        <w:rPr>
          <w:rStyle w:val="Textoennegrita"/>
          <w:b w:val="0"/>
        </w:rPr>
        <w:t>impacto sobre el resto de los miembros de la Eurozona</w:t>
      </w:r>
      <w:r w:rsidRPr="000E1DEA">
        <w:rPr>
          <w:b/>
        </w:rPr>
        <w:t>.</w:t>
      </w:r>
    </w:p>
    <w:p w:rsidR="003F53DF" w:rsidRDefault="003F53DF" w:rsidP="003F53DF">
      <w:pPr>
        <w:pStyle w:val="NormalWeb"/>
        <w:ind w:left="600"/>
        <w:jc w:val="both"/>
      </w:pPr>
      <w:r>
        <w:t xml:space="preserve">Por una parte, una </w:t>
      </w:r>
      <w:r w:rsidRPr="000E1DEA">
        <w:rPr>
          <w:rStyle w:val="Textoennegrita"/>
          <w:b w:val="0"/>
        </w:rPr>
        <w:t>demanda interna</w:t>
      </w:r>
      <w:r>
        <w:t xml:space="preserve"> menor de lo esperad</w:t>
      </w:r>
      <w:r w:rsidR="000E1DEA">
        <w:t>o de la locomotora continental -</w:t>
      </w:r>
      <w:r>
        <w:t xml:space="preserve">25% de su población, 27% de su riqueza y </w:t>
      </w:r>
      <w:r w:rsidR="000E1DEA">
        <w:t>con un paro por debajo del 7%-</w:t>
      </w:r>
      <w:r>
        <w:t xml:space="preserve"> limita las posibilidad</w:t>
      </w:r>
      <w:r w:rsidR="000E1DEA">
        <w:t>es</w:t>
      </w:r>
      <w:r>
        <w:t xml:space="preserve"> de venta al exterior del resto de socios comunitarios y, por ende, la capacidad de recuperación del conjunto</w:t>
      </w:r>
      <w:r>
        <w:rPr>
          <w:rStyle w:val="Textoennegrita"/>
        </w:rPr>
        <w:t xml:space="preserve"> </w:t>
      </w:r>
      <w:r w:rsidRPr="000E1DEA">
        <w:rPr>
          <w:rStyle w:val="Textoennegrita"/>
          <w:b w:val="0"/>
        </w:rPr>
        <w:t>alentando el fantasma de la tercera recesión</w:t>
      </w:r>
      <w:r w:rsidR="000E1DEA">
        <w:t xml:space="preserve">. </w:t>
      </w:r>
    </w:p>
    <w:p w:rsidR="003F53DF" w:rsidRDefault="003F53DF" w:rsidP="00716204">
      <w:pPr>
        <w:pStyle w:val="NormalWeb"/>
        <w:ind w:left="600"/>
        <w:jc w:val="both"/>
      </w:pPr>
      <w:r>
        <w:t xml:space="preserve">Por otra, el </w:t>
      </w:r>
      <w:r w:rsidRPr="000E1DEA">
        <w:rPr>
          <w:rStyle w:val="Textoennegrita"/>
          <w:b w:val="0"/>
        </w:rPr>
        <w:t>exceso de ahorro</w:t>
      </w:r>
      <w:r>
        <w:t xml:space="preserve"> alemán, y la búsqueda de una rentabilidad adecuada para el mismo, alimentan </w:t>
      </w:r>
      <w:r w:rsidRPr="000E1DEA">
        <w:rPr>
          <w:rStyle w:val="Textoennegrita"/>
          <w:b w:val="0"/>
        </w:rPr>
        <w:t>viejos fantasmas de burbujas</w:t>
      </w:r>
      <w:r>
        <w:t xml:space="preserve"> de activos de toda clase y condición, todavía sin concretar. </w:t>
      </w:r>
    </w:p>
    <w:p w:rsidR="003F53DF" w:rsidRDefault="003F53DF" w:rsidP="003F53DF">
      <w:pPr>
        <w:pStyle w:val="NormalWeb"/>
        <w:jc w:val="both"/>
      </w:pPr>
      <w:r>
        <w:rPr>
          <w:noProof/>
        </w:rPr>
        <w:drawing>
          <wp:inline distT="0" distB="0" distL="0" distR="0" wp14:anchorId="26572576" wp14:editId="7844DB48">
            <wp:extent cx="5264150" cy="2870200"/>
            <wp:effectExtent l="0" t="0" r="0" b="6350"/>
            <wp:docPr id="13" name="Imagen 13" descr="http://www.ecestaticos.com/file/0ecc0adcdab1d6e0847fef100671cc89/1412612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cestaticos.com/file/0ecc0adcdab1d6e0847fef100671cc89/141261242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4150" cy="2870200"/>
                    </a:xfrm>
                    <a:prstGeom prst="rect">
                      <a:avLst/>
                    </a:prstGeom>
                    <a:noFill/>
                    <a:ln>
                      <a:noFill/>
                    </a:ln>
                  </pic:spPr>
                </pic:pic>
              </a:graphicData>
            </a:graphic>
          </wp:inline>
        </w:drawing>
      </w:r>
    </w:p>
    <w:p w:rsidR="00716204" w:rsidRDefault="003F53DF" w:rsidP="003F53DF">
      <w:pPr>
        <w:pStyle w:val="NormalWeb"/>
        <w:jc w:val="both"/>
      </w:pPr>
      <w:r>
        <w:t xml:space="preserve">El exceso de liquidez ha hecho que, al contrario de lo que ocurre con el conjunto de naciones industrializadas excluida ella misma, </w:t>
      </w:r>
      <w:r w:rsidRPr="00716204">
        <w:rPr>
          <w:rStyle w:val="Textoennegrita"/>
          <w:b w:val="0"/>
        </w:rPr>
        <w:t>el nivel de endeudamiento agregado de Alemania</w:t>
      </w:r>
      <w:r>
        <w:rPr>
          <w:rStyle w:val="Textoennegrita"/>
        </w:rPr>
        <w:t xml:space="preserve"> </w:t>
      </w:r>
      <w:r>
        <w:t xml:space="preserve">no sólo haya caído en términos absolutos desde 2004, sino que la ha situado en una posición financiera mucho más ventajosa que la mayoría de sus competidores, algo que en una situación como la actual le permitirá </w:t>
      </w:r>
      <w:r w:rsidRPr="00716204">
        <w:rPr>
          <w:rStyle w:val="Textoennegrita"/>
          <w:b w:val="0"/>
        </w:rPr>
        <w:t>sentar las bases para un dominio difícilmente reversible</w:t>
      </w:r>
      <w:r w:rsidR="00716204">
        <w:t xml:space="preserve"> en mucho, mucho tiempo</w:t>
      </w:r>
      <w:r>
        <w:t xml:space="preserve">. </w:t>
      </w:r>
    </w:p>
    <w:p w:rsidR="003F53DF" w:rsidRPr="00716204" w:rsidRDefault="003F53DF" w:rsidP="003F53DF">
      <w:pPr>
        <w:pStyle w:val="NormalWeb"/>
        <w:jc w:val="both"/>
        <w:rPr>
          <w:b/>
        </w:rPr>
      </w:pPr>
      <w:r>
        <w:t xml:space="preserve">Cada día que pasa, por tanto, sin que esta situación se revierta la Eurozona está más cerca de implosionar debido al dominio germano. Y las dinámicas internas de la propia </w:t>
      </w:r>
      <w:r>
        <w:lastRenderedPageBreak/>
        <w:t xml:space="preserve">Alemania dificultan la tarea. Una sociedad envejecida y, por ende, menos propensa al consumo; con una elevada precariedad laboral y en deflación salarial hasta hace bien poco, lo que afecta a las decisiones de compra; que disfruta de un crecimiento estructuralmente bajo, 1,3% anual de 2003 a 2013; y cuyo </w:t>
      </w:r>
      <w:r w:rsidR="00716204">
        <w:t>“</w:t>
      </w:r>
      <w:r w:rsidRPr="00716204">
        <w:rPr>
          <w:rStyle w:val="nfasis"/>
          <w:i w:val="0"/>
        </w:rPr>
        <w:t>gap</w:t>
      </w:r>
      <w:r w:rsidR="00716204">
        <w:rPr>
          <w:rStyle w:val="nfasis"/>
          <w:i w:val="0"/>
        </w:rPr>
        <w:t>”</w:t>
      </w:r>
      <w:r>
        <w:t xml:space="preserve"> entre ahorro interno e inversión en los últimos años se ha disparado al 46% de su producto interior bruto, algo que ahora se quiere revertir a través de estímulos tales como los nuevos </w:t>
      </w:r>
      <w:r w:rsidRPr="00716204">
        <w:rPr>
          <w:rStyle w:val="Textoennegrita"/>
          <w:b w:val="0"/>
        </w:rPr>
        <w:t>planes de infraestructuras que se están programando. ¿Será suficiente?</w:t>
      </w:r>
    </w:p>
    <w:p w:rsidR="003F53DF" w:rsidRDefault="003F53DF" w:rsidP="003F53DF">
      <w:pPr>
        <w:pStyle w:val="NormalWeb"/>
        <w:jc w:val="both"/>
      </w:pPr>
      <w:r w:rsidRPr="00716204">
        <w:t xml:space="preserve">Vivimos sin lugar a dudas en una </w:t>
      </w:r>
      <w:r w:rsidRPr="00716204">
        <w:rPr>
          <w:rStyle w:val="Textoennegrita"/>
          <w:b w:val="0"/>
        </w:rPr>
        <w:t xml:space="preserve">Europa </w:t>
      </w:r>
      <w:r w:rsidR="00B85DF1">
        <w:rPr>
          <w:rStyle w:val="Textoennegrita"/>
          <w:b w:val="0"/>
        </w:rPr>
        <w:t>“</w:t>
      </w:r>
      <w:r w:rsidRPr="00716204">
        <w:rPr>
          <w:rStyle w:val="Textoennegrita"/>
          <w:b w:val="0"/>
        </w:rPr>
        <w:t>gatopardesca</w:t>
      </w:r>
      <w:r w:rsidR="00B85DF1">
        <w:rPr>
          <w:rStyle w:val="Textoennegrita"/>
          <w:b w:val="0"/>
        </w:rPr>
        <w:t>”</w:t>
      </w:r>
      <w:r w:rsidRPr="00716204">
        <w:t>, donde todo cambia para volver, al cabo del tiempo, al punto de inicio con la única y peligrosa excepción del nuevo rol asumido por el Banco Central. Igual pero peor, vaya. Ante este panorama, ¿es realmente viable el sueño de una mayor y mejor integración? Muy difícil nos lo ponen. Visto el desapego de los ciudadanos hacia el proyect</w:t>
      </w:r>
      <w:r w:rsidR="00716204" w:rsidRPr="00716204">
        <w:t>o común, hablar del “imposible”</w:t>
      </w:r>
      <w:r w:rsidRPr="00716204">
        <w:t xml:space="preserve"> de la desintegración no es, ni mucho menos, una boutade. Aunque no seamos conscientes, las </w:t>
      </w:r>
      <w:r w:rsidRPr="00716204">
        <w:rPr>
          <w:rStyle w:val="Textoennegrita"/>
          <w:b w:val="0"/>
        </w:rPr>
        <w:t>probabilidades de ruptura y continuidad de la idea comunitaria están mucho más próximas</w:t>
      </w:r>
      <w:r w:rsidRPr="00716204">
        <w:t xml:space="preserve"> de lo que, a la luz de la institucionalidad política, pudiera parecer. Permanezcan atentos a sus pantallas.</w:t>
      </w:r>
    </w:p>
    <w:p w:rsidR="00716204" w:rsidRDefault="00764A0A" w:rsidP="00764A0A">
      <w:pPr>
        <w:pStyle w:val="NormalWeb"/>
        <w:jc w:val="both"/>
        <w:rPr>
          <w:b/>
        </w:rPr>
      </w:pPr>
      <w:r>
        <w:rPr>
          <w:b/>
        </w:rPr>
        <w:t xml:space="preserve">- </w:t>
      </w:r>
      <w:r w:rsidR="00716204">
        <w:rPr>
          <w:b/>
        </w:rPr>
        <w:t>A por la tercera recesión europea (</w:t>
      </w:r>
      <w:r>
        <w:rPr>
          <w:b/>
        </w:rPr>
        <w:t>ni V, ni W, creo que es más alemán decir VW)</w:t>
      </w:r>
    </w:p>
    <w:p w:rsidR="00764A0A" w:rsidRDefault="00764A0A" w:rsidP="00764A0A">
      <w:pPr>
        <w:spacing w:before="100" w:beforeAutospacing="1" w:after="100" w:afterAutospacing="1" w:line="240" w:lineRule="auto"/>
        <w:jc w:val="both"/>
        <w:rPr>
          <w:rFonts w:ascii="Times New Roman" w:hAnsi="Times New Roman"/>
          <w:sz w:val="24"/>
          <w:szCs w:val="24"/>
        </w:rPr>
      </w:pPr>
      <w:r>
        <w:rPr>
          <w:rFonts w:ascii="Times New Roman" w:hAnsi="Times New Roman"/>
          <w:i/>
          <w:sz w:val="24"/>
          <w:szCs w:val="24"/>
        </w:rPr>
        <w:t>“</w:t>
      </w:r>
      <w:r w:rsidRPr="00764A0A">
        <w:rPr>
          <w:rFonts w:ascii="Times New Roman" w:hAnsi="Times New Roman"/>
          <w:i/>
          <w:sz w:val="24"/>
          <w:szCs w:val="24"/>
        </w:rPr>
        <w:t>El Fondo Monetario Internacional ha hecho sonar las alarmas sobre el estado de la economía de la eurozona, advirtiendo de que hay un 40% de posibilidades de que la eurozona entre en su tercera recesión desde la crisis financiera</w:t>
      </w:r>
      <w:r w:rsidRPr="00764A0A">
        <w:rPr>
          <w:rFonts w:ascii="Times New Roman" w:hAnsi="Times New Roman"/>
          <w:sz w:val="24"/>
          <w:szCs w:val="24"/>
        </w:rPr>
        <w:t>.</w:t>
      </w:r>
      <w:r>
        <w:rPr>
          <w:rFonts w:ascii="Times New Roman" w:hAnsi="Times New Roman"/>
          <w:sz w:val="24"/>
          <w:szCs w:val="24"/>
        </w:rPr>
        <w:t xml:space="preserve">”… </w:t>
      </w:r>
      <w:r w:rsidRPr="0056131D">
        <w:rPr>
          <w:rFonts w:ascii="Times New Roman" w:hAnsi="Times New Roman"/>
          <w:sz w:val="24"/>
          <w:szCs w:val="24"/>
          <w:u w:val="single"/>
        </w:rPr>
        <w:t>El FMI advierte de la tercera recesión de la eurozona desde la crisis financiera</w:t>
      </w:r>
      <w:r>
        <w:rPr>
          <w:rFonts w:ascii="Times New Roman" w:hAnsi="Times New Roman"/>
          <w:sz w:val="24"/>
          <w:szCs w:val="24"/>
        </w:rPr>
        <w:t xml:space="preserve"> (Expansión - FT - </w:t>
      </w:r>
      <w:r w:rsidRPr="0056131D">
        <w:rPr>
          <w:rFonts w:ascii="Times New Roman" w:hAnsi="Times New Roman"/>
          <w:b/>
          <w:sz w:val="24"/>
          <w:szCs w:val="24"/>
        </w:rPr>
        <w:t>7/10/14</w:t>
      </w:r>
      <w:r>
        <w:rPr>
          <w:rFonts w:ascii="Times New Roman" w:hAnsi="Times New Roman"/>
          <w:sz w:val="24"/>
          <w:szCs w:val="24"/>
        </w:rPr>
        <w:t>)</w:t>
      </w:r>
    </w:p>
    <w:p w:rsidR="00764A0A" w:rsidRPr="0056131D" w:rsidRDefault="00764A0A" w:rsidP="00764A0A">
      <w:pPr>
        <w:spacing w:before="100" w:beforeAutospacing="1" w:after="100" w:afterAutospacing="1" w:line="240" w:lineRule="auto"/>
        <w:jc w:val="both"/>
        <w:rPr>
          <w:rFonts w:ascii="Times New Roman" w:hAnsi="Times New Roman"/>
          <w:sz w:val="24"/>
          <w:szCs w:val="24"/>
        </w:rPr>
      </w:pPr>
      <w:r w:rsidRPr="0056131D">
        <w:rPr>
          <w:rFonts w:ascii="Times New Roman" w:hAnsi="Times New Roman"/>
          <w:sz w:val="24"/>
          <w:szCs w:val="24"/>
        </w:rPr>
        <w:t>La advertencia del FMI llega después de conocerse que la producción industrial en Alemania sufrió su mayor caída mensual desde 2009, lo que alimenta los temores de que la mayor economía del bloque también vaya camino de una recesión. La fuerte contracción de la producción industrial, que cayó un 4% entre julio y agosto</w:t>
      </w:r>
      <w:r>
        <w:rPr>
          <w:rFonts w:ascii="Times New Roman" w:hAnsi="Times New Roman"/>
          <w:sz w:val="24"/>
          <w:szCs w:val="24"/>
        </w:rPr>
        <w:t xml:space="preserve"> (2014)</w:t>
      </w:r>
      <w:r w:rsidRPr="0056131D">
        <w:rPr>
          <w:rFonts w:ascii="Times New Roman" w:hAnsi="Times New Roman"/>
          <w:sz w:val="24"/>
          <w:szCs w:val="24"/>
        </w:rPr>
        <w:t xml:space="preserve">, se ha visto agravada por los débiles datos de pedidos del sector industrial </w:t>
      </w:r>
      <w:r>
        <w:rPr>
          <w:rFonts w:ascii="Times New Roman" w:hAnsi="Times New Roman"/>
          <w:sz w:val="24"/>
          <w:szCs w:val="24"/>
        </w:rPr>
        <w:t>correspondientes a la primera semana de octubre (2014).</w:t>
      </w:r>
    </w:p>
    <w:p w:rsidR="00764A0A" w:rsidRPr="0056131D" w:rsidRDefault="00764A0A" w:rsidP="00764A0A">
      <w:pPr>
        <w:spacing w:before="100" w:beforeAutospacing="1" w:after="100" w:afterAutospacing="1" w:line="240" w:lineRule="auto"/>
        <w:jc w:val="both"/>
        <w:rPr>
          <w:rFonts w:ascii="Times New Roman" w:hAnsi="Times New Roman"/>
          <w:sz w:val="24"/>
          <w:szCs w:val="24"/>
        </w:rPr>
      </w:pPr>
      <w:r w:rsidRPr="0056131D">
        <w:rPr>
          <w:rFonts w:ascii="Times New Roman" w:hAnsi="Times New Roman"/>
          <w:sz w:val="24"/>
          <w:szCs w:val="24"/>
        </w:rPr>
        <w:t xml:space="preserve">Además, demuestran que Alemania ha empezado a sufrir un retroceso de la demanda de sus exportaciones debido a las tensiones geopolíticas y a la ralentización del resto de la eurozona. El debilitamiento de la economía alemana hará que las autoridades del país se sientan presionadas para impulsar la demanda interna a través de recortes fiscales y un aumento de la inversión. En las últimas semanas, otros gobiernos de la eurozona y el BCE han hecho un llamamiento al Gobierno alemán para que relaje su política fiscal, lo que contribuiría a fomentar el crecimiento en la eurozona. Según las previsiones del FMI, la eurozona crecerá solamente un </w:t>
      </w:r>
      <w:r>
        <w:rPr>
          <w:rFonts w:ascii="Times New Roman" w:hAnsi="Times New Roman"/>
          <w:sz w:val="24"/>
          <w:szCs w:val="24"/>
        </w:rPr>
        <w:t>0.8% en 2014 y un 1,3% en 2015.</w:t>
      </w:r>
    </w:p>
    <w:p w:rsidR="00764A0A" w:rsidRPr="0056131D" w:rsidRDefault="00764A0A" w:rsidP="00764A0A">
      <w:pPr>
        <w:spacing w:before="100" w:beforeAutospacing="1" w:after="100" w:afterAutospacing="1" w:line="240" w:lineRule="auto"/>
        <w:jc w:val="both"/>
        <w:rPr>
          <w:rFonts w:ascii="Times New Roman" w:hAnsi="Times New Roman"/>
          <w:sz w:val="24"/>
          <w:szCs w:val="24"/>
        </w:rPr>
      </w:pPr>
      <w:r w:rsidRPr="0056131D">
        <w:rPr>
          <w:rFonts w:ascii="Times New Roman" w:hAnsi="Times New Roman"/>
          <w:sz w:val="24"/>
          <w:szCs w:val="24"/>
        </w:rPr>
        <w:t>El FMI también calculó que el riesgo de recesión en la eurozona se ha duplicado desde el 20% de abril hasta casi el 40%. Al FMI le preocupa sobre todo que la zona euro caiga en deflación. En conjunto, el FMI recortó sus previsiones de crecimiento económico global en 2014 al 3,3%, una rebaja de 0,4 puntos porcentuales desde abril y de 0,1 p</w:t>
      </w:r>
      <w:r>
        <w:rPr>
          <w:rFonts w:ascii="Times New Roman" w:hAnsi="Times New Roman"/>
          <w:sz w:val="24"/>
          <w:szCs w:val="24"/>
        </w:rPr>
        <w:t>untos porcentuales desde julio.</w:t>
      </w:r>
    </w:p>
    <w:p w:rsidR="00764A0A" w:rsidRPr="00764A0A" w:rsidRDefault="00764A0A" w:rsidP="00764A0A">
      <w:pPr>
        <w:spacing w:before="100" w:beforeAutospacing="1" w:after="100" w:afterAutospacing="1" w:line="240" w:lineRule="auto"/>
        <w:jc w:val="both"/>
        <w:rPr>
          <w:rFonts w:ascii="Times New Roman" w:hAnsi="Times New Roman"/>
          <w:sz w:val="24"/>
          <w:szCs w:val="24"/>
        </w:rPr>
      </w:pPr>
      <w:r w:rsidRPr="0056131D">
        <w:rPr>
          <w:rFonts w:ascii="Times New Roman" w:hAnsi="Times New Roman"/>
          <w:sz w:val="24"/>
          <w:szCs w:val="24"/>
        </w:rPr>
        <w:t xml:space="preserve">Los cálculos del FMI que apuntan a una menor expansión global reflejan que todavía se sufren las consecuencias de la crisis de 2008, junto con el temor de que la economía global haya entrado en una nueva fase de débil crecimiento. </w:t>
      </w:r>
      <w:r w:rsidRPr="00764A0A">
        <w:rPr>
          <w:rFonts w:ascii="Times New Roman" w:hAnsi="Times New Roman"/>
          <w:sz w:val="24"/>
          <w:szCs w:val="24"/>
        </w:rPr>
        <w:t xml:space="preserve">Según Olivier Blanchard, </w:t>
      </w:r>
      <w:r w:rsidRPr="00764A0A">
        <w:rPr>
          <w:rFonts w:ascii="Times New Roman" w:hAnsi="Times New Roman"/>
          <w:sz w:val="24"/>
          <w:szCs w:val="24"/>
        </w:rPr>
        <w:lastRenderedPageBreak/>
        <w:t>economista jefe de la Institución, las autoridades tendrán que “recuperar la confianza diseñando un plan para abordar tanto el legado de la crisis como los desafíos de un bajo potencial de crecimiento”.</w:t>
      </w:r>
    </w:p>
    <w:p w:rsidR="00764A0A" w:rsidRPr="0056131D" w:rsidRDefault="00764A0A" w:rsidP="00764A0A">
      <w:pPr>
        <w:spacing w:before="100" w:beforeAutospacing="1" w:after="100" w:afterAutospacing="1" w:line="240" w:lineRule="auto"/>
        <w:jc w:val="both"/>
        <w:rPr>
          <w:rFonts w:ascii="Times New Roman" w:hAnsi="Times New Roman"/>
          <w:sz w:val="24"/>
          <w:szCs w:val="24"/>
        </w:rPr>
      </w:pPr>
      <w:r w:rsidRPr="0056131D">
        <w:rPr>
          <w:rFonts w:ascii="Times New Roman" w:hAnsi="Times New Roman"/>
          <w:sz w:val="24"/>
          <w:szCs w:val="24"/>
        </w:rPr>
        <w:t>Por otra parte, el FMI cree que el crecimiento en EEUU seguirá siendo sólido, ya que hay condiciones propicias para una aceleración. Según sus previsiones, la economía es</w:t>
      </w:r>
      <w:r>
        <w:rPr>
          <w:rFonts w:ascii="Times New Roman" w:hAnsi="Times New Roman"/>
          <w:sz w:val="24"/>
          <w:szCs w:val="24"/>
        </w:rPr>
        <w:t>tadounidense puede mantener un “</w:t>
      </w:r>
      <w:r w:rsidRPr="0056131D">
        <w:rPr>
          <w:rFonts w:ascii="Times New Roman" w:hAnsi="Times New Roman"/>
          <w:sz w:val="24"/>
          <w:szCs w:val="24"/>
        </w:rPr>
        <w:t xml:space="preserve">crecimiento del 3% en la </w:t>
      </w:r>
      <w:r>
        <w:rPr>
          <w:rFonts w:ascii="Times New Roman" w:hAnsi="Times New Roman"/>
          <w:sz w:val="24"/>
          <w:szCs w:val="24"/>
        </w:rPr>
        <w:t>segunda mitad de 2014 y en 2015”</w:t>
      </w:r>
      <w:r w:rsidRPr="0056131D">
        <w:rPr>
          <w:rFonts w:ascii="Times New Roman" w:hAnsi="Times New Roman"/>
          <w:sz w:val="24"/>
          <w:szCs w:val="24"/>
        </w:rPr>
        <w:t>. El Fondo también cree que Rusia no experimentará apenas crecimiento en los próximos dos años debido a las sanciones y a las tensiones geopolíticas, que han llevado a muchos inversores a retirar su capital. El FMI ha abandonado sus llamamientos a la introducción de estímulos fiscales, asegurando que la mayoría de las economías avanzadas necesitan abordar un elevado nivel de deuda</w:t>
      </w:r>
      <w:r>
        <w:rPr>
          <w:rFonts w:ascii="Times New Roman" w:hAnsi="Times New Roman"/>
          <w:sz w:val="24"/>
          <w:szCs w:val="24"/>
        </w:rPr>
        <w:t xml:space="preserve"> del sector público.</w:t>
      </w:r>
    </w:p>
    <w:p w:rsidR="00764A0A" w:rsidRDefault="00764A0A" w:rsidP="00764A0A">
      <w:pPr>
        <w:spacing w:before="100" w:beforeAutospacing="1" w:after="100" w:afterAutospacing="1" w:line="240" w:lineRule="auto"/>
        <w:jc w:val="both"/>
        <w:rPr>
          <w:rFonts w:ascii="Times New Roman" w:hAnsi="Times New Roman"/>
          <w:sz w:val="24"/>
          <w:szCs w:val="24"/>
        </w:rPr>
      </w:pPr>
      <w:r w:rsidRPr="0056131D">
        <w:rPr>
          <w:rFonts w:ascii="Times New Roman" w:hAnsi="Times New Roman"/>
          <w:sz w:val="24"/>
          <w:szCs w:val="24"/>
        </w:rPr>
        <w:t>El informe aseguró que el BCE deb</w:t>
      </w:r>
      <w:r>
        <w:rPr>
          <w:rFonts w:ascii="Times New Roman" w:hAnsi="Times New Roman"/>
          <w:sz w:val="24"/>
          <w:szCs w:val="24"/>
        </w:rPr>
        <w:t>ería mostrar más disposición a “tomar más medidas”</w:t>
      </w:r>
      <w:r w:rsidRPr="0056131D">
        <w:rPr>
          <w:rFonts w:ascii="Times New Roman" w:hAnsi="Times New Roman"/>
          <w:sz w:val="24"/>
          <w:szCs w:val="24"/>
        </w:rPr>
        <w:t xml:space="preserve"> si los pasos dados para relajar su política monetaria no consiguen evitar el riesgo de caer en deflación.</w:t>
      </w:r>
    </w:p>
    <w:p w:rsidR="00764A0A" w:rsidRDefault="00532906" w:rsidP="00764A0A">
      <w:pPr>
        <w:pStyle w:val="NormalWeb"/>
        <w:jc w:val="both"/>
      </w:pPr>
      <w:r>
        <w:t>En particular, l</w:t>
      </w:r>
      <w:r w:rsidR="00764A0A">
        <w:t xml:space="preserve">a </w:t>
      </w:r>
      <w:r w:rsidR="00764A0A" w:rsidRPr="00532906">
        <w:rPr>
          <w:rStyle w:val="Textoennegrita"/>
          <w:b w:val="0"/>
        </w:rPr>
        <w:t>zona euro</w:t>
      </w:r>
      <w:r>
        <w:t xml:space="preserve"> </w:t>
      </w:r>
      <w:r w:rsidR="00764A0A">
        <w:t>es la región con más probabilidades de hundirse en una nueva recaída. Sería la tercera recesión en apenas media docena de años. Lo peor, con todo, es que esos</w:t>
      </w:r>
      <w:r w:rsidR="00764A0A">
        <w:rPr>
          <w:rStyle w:val="Textoennegrita"/>
        </w:rPr>
        <w:t xml:space="preserve"> </w:t>
      </w:r>
      <w:r w:rsidR="00764A0A" w:rsidRPr="00532906">
        <w:rPr>
          <w:rStyle w:val="Textoennegrita"/>
          <w:b w:val="0"/>
        </w:rPr>
        <w:t>riesgos</w:t>
      </w:r>
      <w:r w:rsidR="00764A0A">
        <w:t>, lejos de reducirse, se han incrementado respecto de las previsiones de</w:t>
      </w:r>
      <w:r w:rsidR="00764A0A">
        <w:rPr>
          <w:rStyle w:val="Textoennegrita"/>
        </w:rPr>
        <w:t xml:space="preserve"> </w:t>
      </w:r>
      <w:r w:rsidR="00764A0A" w:rsidRPr="00532906">
        <w:rPr>
          <w:rStyle w:val="Textoennegrita"/>
          <w:b w:val="0"/>
        </w:rPr>
        <w:t>primavera</w:t>
      </w:r>
      <w:r w:rsidR="00764A0A">
        <w:t>.</w:t>
      </w:r>
    </w:p>
    <w:p w:rsidR="00764A0A" w:rsidRDefault="00764A0A" w:rsidP="00764A0A">
      <w:pPr>
        <w:pStyle w:val="NormalWeb"/>
        <w:jc w:val="both"/>
      </w:pPr>
      <w:r>
        <w:t>El Fondo lo achaca a una</w:t>
      </w:r>
      <w:r>
        <w:rPr>
          <w:rStyle w:val="Textoennegrita"/>
        </w:rPr>
        <w:t xml:space="preserve"> </w:t>
      </w:r>
      <w:r w:rsidRPr="00532906">
        <w:rPr>
          <w:rStyle w:val="Textoennegrita"/>
          <w:b w:val="0"/>
        </w:rPr>
        <w:t>panoplia</w:t>
      </w:r>
      <w:r>
        <w:t xml:space="preserve"> de causas: crecientes </w:t>
      </w:r>
      <w:r w:rsidRPr="00532906">
        <w:rPr>
          <w:rStyle w:val="Textoennegrita"/>
          <w:b w:val="0"/>
        </w:rPr>
        <w:t>tensiones geopolíticas</w:t>
      </w:r>
      <w:r>
        <w:t xml:space="preserve"> (Ucrania y Oriente  Medio) y sus repercusiones en los mercados de </w:t>
      </w:r>
      <w:r w:rsidRPr="00532906">
        <w:rPr>
          <w:rStyle w:val="Textoennegrita"/>
          <w:b w:val="0"/>
        </w:rPr>
        <w:t>materias primas</w:t>
      </w:r>
      <w:r>
        <w:t xml:space="preserve"> y en la actividad real; </w:t>
      </w:r>
      <w:r w:rsidR="00532906">
        <w:t>“</w:t>
      </w:r>
      <w:r w:rsidRPr="00532906">
        <w:rPr>
          <w:rStyle w:val="nfasis"/>
          <w:i w:val="0"/>
        </w:rPr>
        <w:t>shocks</w:t>
      </w:r>
      <w:r w:rsidR="00532906">
        <w:rPr>
          <w:rStyle w:val="nfasis"/>
          <w:i w:val="0"/>
        </w:rPr>
        <w:t>”</w:t>
      </w:r>
      <w:r>
        <w:rPr>
          <w:rStyle w:val="nfasis"/>
        </w:rPr>
        <w:t xml:space="preserve"> </w:t>
      </w:r>
      <w:r>
        <w:t xml:space="preserve">originados en los mercados financieros (por la posible existencia de </w:t>
      </w:r>
      <w:r w:rsidRPr="00532906">
        <w:rPr>
          <w:rStyle w:val="nfasis"/>
          <w:bCs/>
          <w:i w:val="0"/>
        </w:rPr>
        <w:t>burbujas</w:t>
      </w:r>
      <w:r w:rsidRPr="00532906">
        <w:t>)</w:t>
      </w:r>
      <w:r>
        <w:t xml:space="preserve"> y </w:t>
      </w:r>
      <w:r w:rsidRPr="00532906">
        <w:rPr>
          <w:rStyle w:val="Textoennegrita"/>
          <w:b w:val="0"/>
        </w:rPr>
        <w:t>resultados macroeconómicos</w:t>
      </w:r>
      <w:r>
        <w:t xml:space="preserve"> decepcionantes en los países o regiones de importancia sistémica. La conclusión no deja lugar a dudas: “Existe la preocup</w:t>
      </w:r>
      <w:r w:rsidR="00532906">
        <w:t>ación -</w:t>
      </w:r>
      <w:r>
        <w:t>sos</w:t>
      </w:r>
      <w:r w:rsidR="00532906">
        <w:t>tienen  los economistas del FMI-</w:t>
      </w:r>
      <w:r>
        <w:t xml:space="preserve"> de que los mercados estén </w:t>
      </w:r>
      <w:r w:rsidRPr="00532906">
        <w:rPr>
          <w:rStyle w:val="Textoennegrita"/>
          <w:b w:val="0"/>
        </w:rPr>
        <w:t>subestimando el riesgo</w:t>
      </w:r>
      <w:r>
        <w:t>”.</w:t>
      </w:r>
    </w:p>
    <w:p w:rsidR="00764A0A" w:rsidRDefault="00764A0A" w:rsidP="00764A0A">
      <w:pPr>
        <w:pStyle w:val="NormalWeb"/>
        <w:jc w:val="both"/>
      </w:pPr>
      <w:r>
        <w:t>Para llegar a este desenlace, el Fondo parte de un hecho. Los bajos niveles de las</w:t>
      </w:r>
      <w:r>
        <w:rPr>
          <w:rStyle w:val="Textoennegrita"/>
        </w:rPr>
        <w:t xml:space="preserve"> </w:t>
      </w:r>
      <w:r w:rsidRPr="00532906">
        <w:rPr>
          <w:rStyle w:val="Textoennegrita"/>
          <w:b w:val="0"/>
        </w:rPr>
        <w:t>tipos de interés</w:t>
      </w:r>
      <w:r>
        <w:rPr>
          <w:rStyle w:val="Textoennegrita"/>
        </w:rPr>
        <w:t xml:space="preserve"> </w:t>
      </w:r>
      <w:r w:rsidR="00532906">
        <w:t>-</w:t>
      </w:r>
      <w:r>
        <w:t>por la agresiva política mo</w:t>
      </w:r>
      <w:r w:rsidR="00532906">
        <w:t>netaria de los bancos centrales-</w:t>
      </w:r>
      <w:r>
        <w:t xml:space="preserve"> y el mayor apetito de riesgo en los mercados financieros (la liquidez es prácticamente ilimitada) han  traído consigo aumentos de </w:t>
      </w:r>
      <w:r w:rsidRPr="00532906">
        <w:rPr>
          <w:rStyle w:val="Textoennegrita"/>
          <w:b w:val="0"/>
        </w:rPr>
        <w:t>precios de las acciones</w:t>
      </w:r>
      <w:r>
        <w:t xml:space="preserve">, una reducción de los </w:t>
      </w:r>
      <w:r w:rsidRPr="00532906">
        <w:rPr>
          <w:rStyle w:val="Textoennegrita"/>
          <w:b w:val="0"/>
        </w:rPr>
        <w:t>diferenciales</w:t>
      </w:r>
      <w:r>
        <w:rPr>
          <w:rStyle w:val="Textoennegrita"/>
        </w:rPr>
        <w:t xml:space="preserve"> </w:t>
      </w:r>
      <w:r>
        <w:t xml:space="preserve">en términos de prima de riesgo y un descenso de la </w:t>
      </w:r>
      <w:r w:rsidRPr="00532906">
        <w:rPr>
          <w:rStyle w:val="Textoennegrita"/>
          <w:b w:val="0"/>
        </w:rPr>
        <w:t>volatilidad</w:t>
      </w:r>
      <w:r>
        <w:rPr>
          <w:rStyle w:val="Textoennegrita"/>
        </w:rPr>
        <w:t xml:space="preserve"> </w:t>
      </w:r>
      <w:r>
        <w:t>a niveles muy bajos.  </w:t>
      </w:r>
    </w:p>
    <w:p w:rsidR="00764A0A" w:rsidRDefault="00764A0A" w:rsidP="00764A0A">
      <w:pPr>
        <w:pStyle w:val="NormalWeb"/>
        <w:jc w:val="both"/>
      </w:pPr>
      <w:r>
        <w:t xml:space="preserve">Sin embargo, como subraya el informe, el mayor </w:t>
      </w:r>
      <w:r w:rsidRPr="00532906">
        <w:rPr>
          <w:rStyle w:val="Textoennegrita"/>
          <w:b w:val="0"/>
        </w:rPr>
        <w:t>apetito de  riesgo</w:t>
      </w:r>
      <w:r>
        <w:t xml:space="preserve"> en los mercados financieros “no se ha traducido  en un repunte de la inversión, la cual ha permanecido  </w:t>
      </w:r>
      <w:r w:rsidRPr="00532906">
        <w:rPr>
          <w:rStyle w:val="Textoennegrita"/>
          <w:b w:val="0"/>
        </w:rPr>
        <w:t>deprimida</w:t>
      </w:r>
      <w:r>
        <w:t xml:space="preserve">, sobre todo en las economías más ricas. La consecuencia de ello es que los mercados no han asimilado las incertidumbres que existen, principalmente en las economías avanzadas. El FMI, incluso, muestra preocupación porque los mercados ni siquiera estén valorando en su justa medida la posibilidad de que EEUU </w:t>
      </w:r>
      <w:r w:rsidRPr="00532906">
        <w:rPr>
          <w:rStyle w:val="Textoennegrita"/>
          <w:b w:val="0"/>
        </w:rPr>
        <w:t>aumente</w:t>
      </w:r>
      <w:r>
        <w:t xml:space="preserve"> los tipos de interés mucho más rápido de lo previsto.</w:t>
      </w:r>
    </w:p>
    <w:p w:rsidR="00532906" w:rsidRDefault="00532906" w:rsidP="00532906">
      <w:pPr>
        <w:pStyle w:val="NormalWeb"/>
        <w:jc w:val="both"/>
      </w:pPr>
      <w:r>
        <w:t xml:space="preserve">El Fondo admite que si EEUU cambia el sesgo de su política monetaria será, en todo caso, porque la economía va mejor de los estimado y eso ayudará a las </w:t>
      </w:r>
      <w:r w:rsidRPr="00532906">
        <w:rPr>
          <w:rStyle w:val="Textoennegrita"/>
          <w:b w:val="0"/>
        </w:rPr>
        <w:t>exportaciones</w:t>
      </w:r>
      <w:r w:rsidRPr="00532906">
        <w:rPr>
          <w:b/>
        </w:rPr>
        <w:t xml:space="preserve"> </w:t>
      </w:r>
      <w:r>
        <w:t xml:space="preserve">de sus principales socios comerciales, como Europa; pero dicho esto, asegura que también tendría efectos perjudiciales. Y de forma singular recuerda que el aumento de los diferenciales en la curva de tipos “podría a su  vez elevar las </w:t>
      </w:r>
      <w:r w:rsidRPr="00532906">
        <w:rPr>
          <w:rStyle w:val="Textoennegrita"/>
          <w:b w:val="0"/>
        </w:rPr>
        <w:t>primas de riesgo</w:t>
      </w:r>
      <w:r>
        <w:t xml:space="preserve"> y la </w:t>
      </w:r>
      <w:r w:rsidRPr="00532906">
        <w:rPr>
          <w:rStyle w:val="Textoennegrita"/>
          <w:b w:val="0"/>
        </w:rPr>
        <w:t>volatilidad</w:t>
      </w:r>
      <w:r>
        <w:rPr>
          <w:rStyle w:val="Textoennegrita"/>
        </w:rPr>
        <w:t xml:space="preserve"> </w:t>
      </w:r>
      <w:r>
        <w:t xml:space="preserve">en los  mercados financieros mundiales y provocar un vuelco en los flujos de </w:t>
      </w:r>
      <w:r>
        <w:lastRenderedPageBreak/>
        <w:t xml:space="preserve">capitales, en especial los procedentes  de los </w:t>
      </w:r>
      <w:r w:rsidRPr="00532906">
        <w:rPr>
          <w:rStyle w:val="Textoennegrita"/>
          <w:b w:val="0"/>
        </w:rPr>
        <w:t>mercados emergentes</w:t>
      </w:r>
      <w:r>
        <w:t xml:space="preserve"> en situación vulnerable”. O expresado de otra forma: Un aumento de la aversión mundial al riesgo puede dar lugar a afluencias de capitales en busca de refugio, y los países más beneficiados serían EEUU o Alemania.</w:t>
      </w:r>
    </w:p>
    <w:p w:rsidR="00532906" w:rsidRDefault="00532906" w:rsidP="00532906">
      <w:pPr>
        <w:pStyle w:val="NormalWeb"/>
        <w:jc w:val="both"/>
      </w:pPr>
      <w:r>
        <w:t xml:space="preserve">El Fondo Monetario estima que un shock de este tipo “podría ocasionar fuertes pérdidas en las </w:t>
      </w:r>
      <w:r w:rsidRPr="00532906">
        <w:rPr>
          <w:rStyle w:val="Textoennegrita"/>
          <w:b w:val="0"/>
        </w:rPr>
        <w:t>carteras de bonos</w:t>
      </w:r>
      <w:r>
        <w:t xml:space="preserve"> mundiales”, las cuales podrían dar lugar a rápidos ajustes de las carteras y una “considerable agitación en los mercados”.</w:t>
      </w:r>
    </w:p>
    <w:p w:rsidR="00532906" w:rsidRDefault="00532906" w:rsidP="00532906">
      <w:pPr>
        <w:pStyle w:val="NormalWeb"/>
        <w:jc w:val="both"/>
      </w:pPr>
      <w:r>
        <w:t xml:space="preserve">El otro peligro se llama </w:t>
      </w:r>
      <w:r w:rsidRPr="00532906">
        <w:rPr>
          <w:rStyle w:val="Textoennegrita"/>
          <w:b w:val="0"/>
        </w:rPr>
        <w:t>deflación</w:t>
      </w:r>
      <w:r>
        <w:t xml:space="preserve">. Y en este sentido, el FMI observa que un período prolongado de inflación baja o una deflación propiamente dicha” plantean riesgos para la actividad, particularmente en los casos en que la crisis haya dejado como secuela una elevada deuda </w:t>
      </w:r>
      <w:r w:rsidRPr="00532906">
        <w:rPr>
          <w:rStyle w:val="Textoennegrita"/>
          <w:b w:val="0"/>
        </w:rPr>
        <w:t>pública</w:t>
      </w:r>
      <w:r>
        <w:t xml:space="preserve"> o</w:t>
      </w:r>
      <w:r>
        <w:rPr>
          <w:rStyle w:val="Textoennegrita"/>
        </w:rPr>
        <w:t xml:space="preserve"> </w:t>
      </w:r>
      <w:r w:rsidRPr="00532906">
        <w:rPr>
          <w:rStyle w:val="Textoennegrita"/>
          <w:b w:val="0"/>
        </w:rPr>
        <w:t>privada</w:t>
      </w:r>
      <w:r>
        <w:t>, o ambas cosas”. ¿Y quiénes son los países con mayor riesgo? Pues según el FMI,</w:t>
      </w:r>
      <w:r>
        <w:rPr>
          <w:rStyle w:val="Textoennegrita"/>
        </w:rPr>
        <w:t xml:space="preserve"> </w:t>
      </w:r>
      <w:r w:rsidRPr="00532906">
        <w:rPr>
          <w:rStyle w:val="Textoennegrita"/>
          <w:b w:val="0"/>
        </w:rPr>
        <w:t xml:space="preserve">Grecia </w:t>
      </w:r>
      <w:r w:rsidRPr="00532906">
        <w:rPr>
          <w:b/>
        </w:rPr>
        <w:t xml:space="preserve">y </w:t>
      </w:r>
      <w:r w:rsidRPr="00532906">
        <w:rPr>
          <w:rStyle w:val="Textoennegrita"/>
          <w:b w:val="0"/>
        </w:rPr>
        <w:t>España</w:t>
      </w:r>
      <w:r>
        <w:rPr>
          <w:rStyle w:val="Textoennegrita"/>
        </w:rPr>
        <w:t xml:space="preserve"> </w:t>
      </w:r>
      <w:r>
        <w:t>(ver gráfico), ambos con un imponente endeudamiento, que en el caso español (deuda pública y privada) se sitúa en el entorno del 300% del PIB.</w:t>
      </w:r>
    </w:p>
    <w:p w:rsidR="00532906" w:rsidRDefault="00532906" w:rsidP="00532906">
      <w:pPr>
        <w:pStyle w:val="NormalWeb"/>
        <w:jc w:val="both"/>
      </w:pPr>
      <w:r>
        <w:t xml:space="preserve">           </w:t>
      </w:r>
      <w:r>
        <w:rPr>
          <w:noProof/>
          <w:color w:val="0000FF"/>
        </w:rPr>
        <w:drawing>
          <wp:inline distT="0" distB="0" distL="0" distR="0" wp14:anchorId="6ED25F5F" wp14:editId="17A1B1DB">
            <wp:extent cx="4616450" cy="5905500"/>
            <wp:effectExtent l="0" t="0" r="0" b="0"/>
            <wp:docPr id="6" name="Imagen 6" descr="http://www.ecestaticos.com/image/clipping/8701ea6f7839c932336d4040cd46a942/imagen-sin-titulo.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image/clipping/8701ea6f7839c932336d4040cd46a942/imagen-sin-titulo.jpg">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16450" cy="5905500"/>
                    </a:xfrm>
                    <a:prstGeom prst="rect">
                      <a:avLst/>
                    </a:prstGeom>
                    <a:noFill/>
                    <a:ln>
                      <a:noFill/>
                    </a:ln>
                  </pic:spPr>
                </pic:pic>
              </a:graphicData>
            </a:graphic>
          </wp:inline>
        </w:drawing>
      </w:r>
    </w:p>
    <w:p w:rsidR="00532906" w:rsidRDefault="00532906" w:rsidP="00532906">
      <w:pPr>
        <w:pStyle w:val="NormalWeb"/>
        <w:jc w:val="both"/>
      </w:pPr>
      <w:r>
        <w:lastRenderedPageBreak/>
        <w:t xml:space="preserve">Según sus estimaciones, en la zona del euro, el </w:t>
      </w:r>
      <w:r w:rsidRPr="00532906">
        <w:rPr>
          <w:rStyle w:val="Textoennegrita"/>
          <w:b w:val="0"/>
        </w:rPr>
        <w:t>riesgo de deflación</w:t>
      </w:r>
      <w:r>
        <w:t xml:space="preserve"> -medido como la probabilidad de dos trimestres consecutivos de inflación negativa dentro de un período de pronóstico de cuatro trimestres- se estima que es de aproximadamente un 30%.</w:t>
      </w:r>
    </w:p>
    <w:p w:rsidR="00532906" w:rsidRDefault="00532906" w:rsidP="00532906">
      <w:pPr>
        <w:pStyle w:val="NormalWeb"/>
        <w:jc w:val="both"/>
      </w:pPr>
      <w:r>
        <w:t xml:space="preserve">A medio plazo, las previsiones no son mucho mejores.  El bajo crecimiento del producto potencial, afirma el FMI, y un </w:t>
      </w:r>
      <w:r w:rsidRPr="00532906">
        <w:rPr>
          <w:rStyle w:val="Textoennegrita"/>
          <w:b w:val="0"/>
        </w:rPr>
        <w:t>“estancamiento</w:t>
      </w:r>
      <w:r w:rsidRPr="00532906">
        <w:rPr>
          <w:b/>
        </w:rPr>
        <w:t xml:space="preserve"> </w:t>
      </w:r>
      <w:r w:rsidRPr="00532906">
        <w:rPr>
          <w:rStyle w:val="Textoennegrita"/>
          <w:b w:val="0"/>
        </w:rPr>
        <w:t>secular”</w:t>
      </w:r>
      <w:r>
        <w:t xml:space="preserve"> siguen siendo riesgos  importantes en las economías avanzadas dado que aún no se observa un </w:t>
      </w:r>
      <w:r w:rsidRPr="00EF1E80">
        <w:rPr>
          <w:rStyle w:val="Textoennegrita"/>
          <w:b w:val="0"/>
        </w:rPr>
        <w:t>crecimiento robusto</w:t>
      </w:r>
      <w:r>
        <w:rPr>
          <w:rStyle w:val="Textoennegrita"/>
        </w:rPr>
        <w:t xml:space="preserve"> </w:t>
      </w:r>
      <w:r>
        <w:t>de la demanda.</w:t>
      </w:r>
    </w:p>
    <w:p w:rsidR="00532906" w:rsidRDefault="00532906" w:rsidP="00532906">
      <w:pPr>
        <w:pStyle w:val="NormalWeb"/>
        <w:jc w:val="both"/>
      </w:pPr>
      <w:r>
        <w:t>Otro gran riesgo procede de</w:t>
      </w:r>
      <w:r>
        <w:rPr>
          <w:rStyle w:val="Textoennegrita"/>
        </w:rPr>
        <w:t xml:space="preserve"> </w:t>
      </w:r>
      <w:r w:rsidRPr="00532906">
        <w:rPr>
          <w:rStyle w:val="Textoennegrita"/>
          <w:b w:val="0"/>
        </w:rPr>
        <w:t>China</w:t>
      </w:r>
      <w:r>
        <w:t>, y, según el Fondo, “no dejan de preocupar los riesgos de un “</w:t>
      </w:r>
      <w:r w:rsidRPr="00532906">
        <w:rPr>
          <w:rStyle w:val="nfasis"/>
          <w:bCs/>
          <w:i w:val="0"/>
        </w:rPr>
        <w:t>aterrizaje brusco</w:t>
      </w:r>
      <w:r>
        <w:rPr>
          <w:rStyle w:val="nfasis"/>
          <w:bCs/>
          <w:i w:val="0"/>
        </w:rPr>
        <w:t>”</w:t>
      </w:r>
      <w:r>
        <w:t xml:space="preserve"> en China a medio plazo debido a la capacidad excedentaria y al “</w:t>
      </w:r>
      <w:r w:rsidRPr="00532906">
        <w:rPr>
          <w:rStyle w:val="Textoennegrita"/>
          <w:b w:val="0"/>
        </w:rPr>
        <w:t>exceso de crédito</w:t>
      </w:r>
      <w:r>
        <w:rPr>
          <w:rStyle w:val="Textoennegrita"/>
          <w:b w:val="0"/>
        </w:rPr>
        <w:t>”</w:t>
      </w:r>
      <w:r>
        <w:t>, puesto que la inversión y el crédito “siguen siendo los principales impulsores del crecimiento”.</w:t>
      </w:r>
    </w:p>
    <w:p w:rsidR="00EF1E80" w:rsidRDefault="00EF1E80" w:rsidP="00532906">
      <w:pPr>
        <w:pStyle w:val="NormalWeb"/>
        <w:jc w:val="both"/>
        <w:rPr>
          <w:b/>
        </w:rPr>
      </w:pPr>
      <w:r w:rsidRPr="00EF1E80">
        <w:rPr>
          <w:b/>
        </w:rPr>
        <w:t xml:space="preserve">- Europa </w:t>
      </w:r>
      <w:r>
        <w:rPr>
          <w:b/>
        </w:rPr>
        <w:t>¿</w:t>
      </w:r>
      <w:r w:rsidRPr="00EF1E80">
        <w:rPr>
          <w:b/>
        </w:rPr>
        <w:t>la nueva China?</w:t>
      </w:r>
      <w:r>
        <w:rPr>
          <w:b/>
        </w:rPr>
        <w:t>:</w:t>
      </w:r>
      <w:r w:rsidRPr="00EF1E80">
        <w:rPr>
          <w:b/>
        </w:rPr>
        <w:t xml:space="preserve"> devaluación interna</w:t>
      </w:r>
      <w:r>
        <w:rPr>
          <w:b/>
        </w:rPr>
        <w:t xml:space="preserve"> y monetaria del 25%</w:t>
      </w:r>
    </w:p>
    <w:p w:rsidR="00EF1E80" w:rsidRPr="00EF1E80" w:rsidRDefault="00EF1E80" w:rsidP="00EF1E80">
      <w:pPr>
        <w:spacing w:before="100" w:beforeAutospacing="1" w:after="100" w:afterAutospacing="1" w:line="240" w:lineRule="auto"/>
        <w:jc w:val="both"/>
        <w:rPr>
          <w:rFonts w:ascii="Times New Roman" w:hAnsi="Times New Roman"/>
          <w:color w:val="000000"/>
          <w:sz w:val="24"/>
          <w:szCs w:val="24"/>
        </w:rPr>
      </w:pPr>
      <w:r w:rsidRPr="00EF1E80">
        <w:rPr>
          <w:rFonts w:ascii="Times New Roman" w:hAnsi="Times New Roman" w:cs="Times New Roman"/>
          <w:i/>
          <w:color w:val="000000"/>
          <w:sz w:val="24"/>
          <w:szCs w:val="24"/>
        </w:rPr>
        <w:t xml:space="preserve">“El mundo al revés en siete años. En el 2007 el superávit por cuenta corriente de China alcanzaba el 10% de su PIB, cerca de 400.000 millones de euros. China era el mayor acreedor mundial. Mientras tanto, en la eurozona el déficit por cuenta corriente era cercano a los 100.000 millones de euros. España con un déficit por cuenta corriente superior al 9% del PIB era el país que encabezaba la necesidad de financiación exterior en el Viejo Continente. Tras varios años de crisis todo ha cambiado y la eurozona se ha convertido en la nueva China. </w:t>
      </w:r>
      <w:hyperlink r:id="rId28" w:history="1">
        <w:r w:rsidRPr="00EF1E80">
          <w:rPr>
            <w:rStyle w:val="Hipervnculo"/>
            <w:rFonts w:ascii="Times New Roman" w:hAnsi="Times New Roman" w:cs="Times New Roman"/>
            <w:i/>
            <w:color w:val="auto"/>
            <w:sz w:val="24"/>
            <w:szCs w:val="24"/>
            <w:u w:val="none"/>
          </w:rPr>
          <w:t>La devaluación interna ha conseguido casi todos los efectos que pretendía</w:t>
        </w:r>
      </w:hyperlink>
      <w:r w:rsidRPr="00EF1E80">
        <w:rPr>
          <w:rFonts w:ascii="Times New Roman" w:hAnsi="Times New Roman" w:cs="Times New Roman"/>
          <w:i/>
          <w:sz w:val="24"/>
          <w:szCs w:val="24"/>
        </w:rPr>
        <w:t>:</w:t>
      </w:r>
      <w:r w:rsidRPr="00EF1E80">
        <w:rPr>
          <w:rFonts w:ascii="Times New Roman" w:hAnsi="Times New Roman" w:cs="Times New Roman"/>
          <w:i/>
          <w:color w:val="000000"/>
          <w:sz w:val="24"/>
          <w:szCs w:val="24"/>
        </w:rPr>
        <w:t xml:space="preserve"> las exportaciones han crecido con fuerza, las importaciones se han moderado y la eurozona tendrá el mayor superávit mundial el año que viene. Nada menos que 391.000 millones de euros, el mayor superávit de la historia”...</w:t>
      </w:r>
      <w:r>
        <w:rPr>
          <w:i/>
          <w:color w:val="000000"/>
        </w:rPr>
        <w:t xml:space="preserve"> </w:t>
      </w:r>
      <w:r w:rsidRPr="004B1C70">
        <w:rPr>
          <w:rFonts w:ascii="Times New Roman" w:hAnsi="Times New Roman"/>
          <w:color w:val="000000"/>
          <w:sz w:val="24"/>
          <w:szCs w:val="24"/>
          <w:u w:val="single"/>
        </w:rPr>
        <w:t>Europa, la nueva China: el euro se podría depreciar un 25% y caer por debajo del dólar</w:t>
      </w:r>
      <w:r>
        <w:rPr>
          <w:rFonts w:ascii="Times New Roman" w:hAnsi="Times New Roman"/>
          <w:color w:val="000000"/>
          <w:sz w:val="24"/>
          <w:szCs w:val="24"/>
        </w:rPr>
        <w:t xml:space="preserve"> (El Economista - </w:t>
      </w:r>
      <w:r w:rsidRPr="004B1C70">
        <w:rPr>
          <w:rFonts w:ascii="Times New Roman" w:hAnsi="Times New Roman"/>
          <w:b/>
          <w:color w:val="000000"/>
          <w:sz w:val="24"/>
          <w:szCs w:val="24"/>
        </w:rPr>
        <w:t>8/10/14</w:t>
      </w:r>
      <w:r>
        <w:rPr>
          <w:rFonts w:ascii="Times New Roman" w:hAnsi="Times New Roman"/>
          <w:color w:val="000000"/>
          <w:sz w:val="24"/>
          <w:szCs w:val="24"/>
        </w:rPr>
        <w:t>)</w:t>
      </w:r>
    </w:p>
    <w:p w:rsidR="00EF1E80" w:rsidRPr="004B1C70" w:rsidRDefault="00EF1E80" w:rsidP="00EF1E80">
      <w:pPr>
        <w:pStyle w:val="NormalWeb"/>
        <w:shd w:val="clear" w:color="auto" w:fill="FFFFFF"/>
        <w:jc w:val="both"/>
        <w:rPr>
          <w:color w:val="000000"/>
        </w:rPr>
      </w:pPr>
      <w:r w:rsidRPr="004B1C70">
        <w:rPr>
          <w:color w:val="000000"/>
        </w:rPr>
        <w:t>Pero existe una diferencia fundamental entre la llamada nueva China (la eurozona) y la antigua China (China real). La tasa de paro en la eurozona es del 11,5%, mientras que en China nunca llegó a superar el 5%. La moderación salarial no ha servido, como se esperaba, para incrementar con contundencia la demanda de trabajo.</w:t>
      </w:r>
    </w:p>
    <w:p w:rsidR="00EF1E80" w:rsidRPr="004B1C70" w:rsidRDefault="00EF1E80" w:rsidP="00EF1E80">
      <w:pPr>
        <w:pStyle w:val="NormalWeb"/>
        <w:shd w:val="clear" w:color="auto" w:fill="FFFFFF"/>
        <w:jc w:val="both"/>
        <w:rPr>
          <w:color w:val="000000"/>
        </w:rPr>
      </w:pPr>
      <w:r w:rsidRPr="004B1C70">
        <w:rPr>
          <w:color w:val="000000"/>
        </w:rPr>
        <w:t xml:space="preserve">La elevada tasa de paro y la moderación salarial son la causa, entre otros factores, de la débil demanda interna en la eurozona y de la pérdida de peso de las importaciones. Tal y como señala </w:t>
      </w:r>
      <w:r w:rsidRPr="004B1C70">
        <w:rPr>
          <w:i/>
          <w:iCs/>
          <w:color w:val="000000"/>
        </w:rPr>
        <w:t xml:space="preserve">Bloomberg, </w:t>
      </w:r>
      <w:r w:rsidRPr="004B1C70">
        <w:rPr>
          <w:color w:val="000000"/>
        </w:rPr>
        <w:t>el mundo está comprando bienes y servicios (especialmente a Alemania), mientras que la eurozona no compra cas</w:t>
      </w:r>
      <w:r>
        <w:rPr>
          <w:color w:val="000000"/>
        </w:rPr>
        <w:t xml:space="preserve">i nada fuera de sus fronteras. </w:t>
      </w:r>
    </w:p>
    <w:p w:rsidR="00EF1E80" w:rsidRDefault="00EF1E80" w:rsidP="00EF1E80">
      <w:pPr>
        <w:pStyle w:val="NormalWeb"/>
        <w:shd w:val="clear" w:color="auto" w:fill="FFFFFF"/>
        <w:jc w:val="both"/>
        <w:rPr>
          <w:color w:val="000000"/>
        </w:rPr>
      </w:pPr>
      <w:r w:rsidRPr="004B1C70">
        <w:rPr>
          <w:color w:val="000000"/>
        </w:rPr>
        <w:t xml:space="preserve">A pesar del superávit por cuenta corriente en la eurozona, los desequilibrios y los </w:t>
      </w:r>
      <w:r>
        <w:rPr>
          <w:color w:val="000000"/>
        </w:rPr>
        <w:t>“</w:t>
      </w:r>
      <w:r w:rsidRPr="00EF1E80">
        <w:rPr>
          <w:iCs/>
          <w:color w:val="000000"/>
        </w:rPr>
        <w:t>shocks</w:t>
      </w:r>
      <w:r>
        <w:rPr>
          <w:iCs/>
          <w:color w:val="000000"/>
        </w:rPr>
        <w:t>”</w:t>
      </w:r>
      <w:r w:rsidRPr="00EF1E80">
        <w:rPr>
          <w:color w:val="000000"/>
        </w:rPr>
        <w:t xml:space="preserve"> </w:t>
      </w:r>
      <w:r w:rsidRPr="004B1C70">
        <w:rPr>
          <w:color w:val="000000"/>
        </w:rPr>
        <w:t xml:space="preserve">asimétricos continúan vivos. Y es que, aunque la periferia ha logrado mejorar sus balanzas por cuenta corriente, Alemania sigue siendo la culpable de más del 50% del superávit por cuenta corriente de la eurozona. </w:t>
      </w:r>
    </w:p>
    <w:p w:rsidR="00EF1E80" w:rsidRPr="004B1C70" w:rsidRDefault="00EF1E80" w:rsidP="00EF1E80">
      <w:pPr>
        <w:pStyle w:val="NormalWeb"/>
        <w:shd w:val="clear" w:color="auto" w:fill="FFFFFF"/>
        <w:jc w:val="both"/>
        <w:rPr>
          <w:color w:val="000000"/>
        </w:rPr>
      </w:pPr>
      <w:r w:rsidRPr="004B1C70">
        <w:rPr>
          <w:color w:val="000000"/>
        </w:rPr>
        <w:t xml:space="preserve">Según publica </w:t>
      </w:r>
      <w:r w:rsidRPr="004B1C70">
        <w:rPr>
          <w:i/>
          <w:iCs/>
          <w:color w:val="000000"/>
        </w:rPr>
        <w:t xml:space="preserve">The Economist, </w:t>
      </w:r>
      <w:r w:rsidRPr="004B1C70">
        <w:rPr>
          <w:color w:val="000000"/>
        </w:rPr>
        <w:t xml:space="preserve">el superávit por cuenta corriente de Alemania es de 284.000 millones de euros. Los germanos siguen centrados en conseguir que sus exportaciones sean las más competitivas, lo que impide la consecución del ansiado equilibrio dentro de la eurozona. </w:t>
      </w:r>
    </w:p>
    <w:p w:rsidR="00EF1E80" w:rsidRPr="004B1C70" w:rsidRDefault="00EF1E80" w:rsidP="00B71D19">
      <w:pPr>
        <w:pStyle w:val="NormalWeb"/>
        <w:shd w:val="clear" w:color="auto" w:fill="FFFFFF"/>
        <w:jc w:val="both"/>
        <w:rPr>
          <w:color w:val="000000"/>
        </w:rPr>
      </w:pPr>
      <w:r w:rsidRPr="004B1C70">
        <w:rPr>
          <w:color w:val="000000"/>
        </w:rPr>
        <w:lastRenderedPageBreak/>
        <w:t xml:space="preserve">Nos son pocos, los economistas que piden a Alemania que estimule su consumo e inversión, que se incrementen sus importaciones para ayudar a los países de la periferia a logar un equilibrio más placentero en sus balanzas por cuenta corriente. </w:t>
      </w:r>
    </w:p>
    <w:p w:rsidR="00EF1E80" w:rsidRPr="004B1C70" w:rsidRDefault="00EF1E80" w:rsidP="00EF1E80">
      <w:pPr>
        <w:shd w:val="clear" w:color="auto" w:fill="FFFFFF"/>
        <w:jc w:val="both"/>
        <w:rPr>
          <w:rFonts w:ascii="Times New Roman" w:hAnsi="Times New Roman"/>
          <w:color w:val="000000"/>
          <w:sz w:val="24"/>
          <w:szCs w:val="24"/>
        </w:rPr>
      </w:pPr>
      <w:r w:rsidRPr="004B1C70">
        <w:rPr>
          <w:rFonts w:ascii="Times New Roman" w:hAnsi="Times New Roman"/>
          <w:noProof/>
          <w:color w:val="000000"/>
          <w:sz w:val="24"/>
          <w:szCs w:val="24"/>
          <w:lang w:eastAsia="es-ES"/>
        </w:rPr>
        <w:drawing>
          <wp:inline distT="0" distB="0" distL="0" distR="0" wp14:anchorId="495166DB" wp14:editId="52E3BECB">
            <wp:extent cx="5511800" cy="2495550"/>
            <wp:effectExtent l="0" t="0" r="0" b="0"/>
            <wp:docPr id="12" name="Imagen 12" descr="http://s01.s3c.es/imag/_v0/630x262/9/6/6/balanza-cuenta-corriente-bu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1.s3c.es/imag/_v0/630x262/9/6/6/balanza-cuenta-corriente-buena.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11800" cy="2495550"/>
                    </a:xfrm>
                    <a:prstGeom prst="rect">
                      <a:avLst/>
                    </a:prstGeom>
                    <a:noFill/>
                    <a:ln>
                      <a:noFill/>
                    </a:ln>
                  </pic:spPr>
                </pic:pic>
              </a:graphicData>
            </a:graphic>
          </wp:inline>
        </w:drawing>
      </w:r>
    </w:p>
    <w:p w:rsidR="00EF1E80" w:rsidRPr="00B71D19" w:rsidRDefault="00EF1E80" w:rsidP="00B71D19">
      <w:pPr>
        <w:pStyle w:val="Ttulo5"/>
        <w:shd w:val="clear" w:color="auto" w:fill="FFFFFF"/>
        <w:jc w:val="both"/>
        <w:rPr>
          <w:rFonts w:ascii="Times New Roman" w:hAnsi="Times New Roman" w:cs="Times New Roman"/>
          <w:color w:val="000000"/>
          <w:sz w:val="24"/>
          <w:szCs w:val="24"/>
        </w:rPr>
      </w:pPr>
      <w:r w:rsidRPr="004B1C70">
        <w:rPr>
          <w:rFonts w:ascii="Times New Roman" w:hAnsi="Times New Roman" w:cs="Times New Roman"/>
          <w:color w:val="000000"/>
          <w:sz w:val="24"/>
          <w:szCs w:val="24"/>
        </w:rPr>
        <w:t xml:space="preserve">Superávit de todos los países (izq) | Cuenta corriente de China, EEUU y la eurozona (der). Fuente: </w:t>
      </w:r>
      <w:r w:rsidRPr="004B1C70">
        <w:rPr>
          <w:rFonts w:ascii="Times New Roman" w:hAnsi="Times New Roman" w:cs="Times New Roman"/>
          <w:i/>
          <w:iCs/>
          <w:color w:val="000000"/>
          <w:sz w:val="24"/>
          <w:szCs w:val="24"/>
        </w:rPr>
        <w:t>Deutsche Bank y FMI</w:t>
      </w:r>
    </w:p>
    <w:p w:rsidR="00EF1E80" w:rsidRPr="004B1C70" w:rsidRDefault="00EF1E80" w:rsidP="00EF1E80">
      <w:pPr>
        <w:pStyle w:val="NormalWeb"/>
        <w:shd w:val="clear" w:color="auto" w:fill="FFFFFF"/>
        <w:jc w:val="both"/>
        <w:rPr>
          <w:color w:val="000000"/>
        </w:rPr>
      </w:pPr>
      <w:r w:rsidRPr="004B1C70">
        <w:rPr>
          <w:color w:val="000000"/>
        </w:rPr>
        <w:t>La eurozona logrará el próximo ejercicio el mayor superávit por cuenta corriente de la historia. Este fenóme</w:t>
      </w:r>
      <w:r w:rsidR="00B71D19">
        <w:rPr>
          <w:color w:val="000000"/>
        </w:rPr>
        <w:t>no ya ha sido bautizado como la “euro-abundancia”</w:t>
      </w:r>
      <w:r w:rsidRPr="004B1C70">
        <w:rPr>
          <w:color w:val="000000"/>
        </w:rPr>
        <w:t xml:space="preserve"> o </w:t>
      </w:r>
      <w:r w:rsidR="00B71D19">
        <w:rPr>
          <w:color w:val="000000"/>
        </w:rPr>
        <w:t>“</w:t>
      </w:r>
      <w:r w:rsidRPr="00B71D19">
        <w:rPr>
          <w:iCs/>
          <w:color w:val="000000"/>
        </w:rPr>
        <w:t>euro-glut</w:t>
      </w:r>
      <w:r w:rsidR="00B71D19">
        <w:rPr>
          <w:iCs/>
          <w:color w:val="000000"/>
        </w:rPr>
        <w:t>”</w:t>
      </w:r>
      <w:r w:rsidRPr="004B1C70">
        <w:rPr>
          <w:i/>
          <w:iCs/>
          <w:color w:val="000000"/>
        </w:rPr>
        <w:t xml:space="preserve"> </w:t>
      </w:r>
      <w:r w:rsidRPr="004B1C70">
        <w:rPr>
          <w:color w:val="000000"/>
        </w:rPr>
        <w:t>en inglés, por el exceso de ahorro que se está generando en la zona euro.</w:t>
      </w:r>
    </w:p>
    <w:p w:rsidR="00EF1E80" w:rsidRPr="004B1C70" w:rsidRDefault="00EF1E80" w:rsidP="00EF1E80">
      <w:pPr>
        <w:pStyle w:val="NormalWeb"/>
        <w:shd w:val="clear" w:color="auto" w:fill="FFFFFF"/>
        <w:jc w:val="both"/>
        <w:rPr>
          <w:color w:val="000000"/>
        </w:rPr>
      </w:pPr>
      <w:r w:rsidRPr="004B1C70">
        <w:rPr>
          <w:color w:val="000000"/>
        </w:rPr>
        <w:t>Para George Saravelos, jefe de estrategias del mercad</w:t>
      </w:r>
      <w:r w:rsidR="00B71D19">
        <w:rPr>
          <w:color w:val="000000"/>
        </w:rPr>
        <w:t>o de Divisas de Deutsche Bank, “</w:t>
      </w:r>
      <w:r w:rsidRPr="004B1C70">
        <w:rPr>
          <w:color w:val="000000"/>
        </w:rPr>
        <w:t>Europa se va a convertir en el mayor exportador de flujos de capital ante la escasa opo</w:t>
      </w:r>
      <w:r w:rsidR="00B71D19">
        <w:rPr>
          <w:color w:val="000000"/>
        </w:rPr>
        <w:t>rtunidad de inversión en Europa”</w:t>
      </w:r>
      <w:r w:rsidRPr="004B1C70">
        <w:rPr>
          <w:color w:val="000000"/>
        </w:rPr>
        <w:t>. Los flujos saldrán fuera del Viejo Continente porque un superávit por cuenta corriente implica a la fuerza salidas de capital a otros lugares.</w:t>
      </w:r>
    </w:p>
    <w:p w:rsidR="00EF1E80" w:rsidRPr="004B1C70" w:rsidRDefault="00EF1E80" w:rsidP="00EF1E80">
      <w:pPr>
        <w:pStyle w:val="NormalWeb"/>
        <w:shd w:val="clear" w:color="auto" w:fill="FFFFFF"/>
        <w:jc w:val="both"/>
        <w:rPr>
          <w:color w:val="000000"/>
        </w:rPr>
      </w:pPr>
      <w:r w:rsidRPr="004B1C70">
        <w:rPr>
          <w:color w:val="000000"/>
        </w:rPr>
        <w:t xml:space="preserve">Desde Deutsche Bank aseguran que la depreciación del euro en el mercado de divisas podría continuar hasta situarse en los 0,95 dólares por euro en 2017, es decir, para comprar un euro bastaría con 95 centavos de dólar, lo que significaría una caída del 25% frente a los niveles actuales. </w:t>
      </w:r>
    </w:p>
    <w:p w:rsidR="00EF1E80" w:rsidRPr="004B1C70" w:rsidRDefault="00EF1E80" w:rsidP="00EF1E80">
      <w:pPr>
        <w:pStyle w:val="NormalWeb"/>
        <w:shd w:val="clear" w:color="auto" w:fill="FFFFFF"/>
        <w:jc w:val="both"/>
        <w:rPr>
          <w:color w:val="000000"/>
        </w:rPr>
      </w:pPr>
      <w:r w:rsidRPr="004B1C70">
        <w:rPr>
          <w:color w:val="000000"/>
        </w:rPr>
        <w:t xml:space="preserve">Si esto termina ocurriendo, el superávit por cuenta corriente de la eurozona podría alcanzar cotas insospechadas. Un euro débil hace que las exportaciones de la eurozona sean mucho más competitivas, algo que ya se había conseguido vía moderación salarial y precios (baja inflación). </w:t>
      </w:r>
    </w:p>
    <w:p w:rsidR="00EF1E80" w:rsidRPr="004B1C70" w:rsidRDefault="00EF1E80" w:rsidP="00EF1E80">
      <w:pPr>
        <w:pStyle w:val="NormalWeb"/>
        <w:shd w:val="clear" w:color="auto" w:fill="FFFFFF"/>
        <w:jc w:val="both"/>
        <w:rPr>
          <w:color w:val="000000"/>
        </w:rPr>
      </w:pPr>
      <w:r w:rsidRPr="004B1C70">
        <w:rPr>
          <w:color w:val="000000"/>
        </w:rPr>
        <w:t xml:space="preserve">Ahora, </w:t>
      </w:r>
      <w:hyperlink r:id="rId30" w:history="1">
        <w:r w:rsidRPr="00B71D19">
          <w:rPr>
            <w:rStyle w:val="Hipervnculo"/>
            <w:color w:val="auto"/>
            <w:u w:val="none"/>
          </w:rPr>
          <w:t>con las últimas decisiones de política monetaria en el BCE</w:t>
        </w:r>
      </w:hyperlink>
      <w:r w:rsidRPr="004B1C70">
        <w:rPr>
          <w:color w:val="000000"/>
        </w:rPr>
        <w:t>, todas ellas expansivas, podría desembocarse en un euro muy débil. Y es que, Alemania y Europa han decidido tomar el camino de las exportaciones para salir de la crisis.</w:t>
      </w:r>
    </w:p>
    <w:p w:rsidR="00B71D19" w:rsidRDefault="00B71D19" w:rsidP="00B71D19">
      <w:pPr>
        <w:spacing w:before="100" w:beforeAutospacing="1" w:after="100" w:afterAutospacing="1" w:line="240" w:lineRule="auto"/>
        <w:jc w:val="both"/>
        <w:rPr>
          <w:rFonts w:ascii="Times New Roman" w:hAnsi="Times New Roman"/>
          <w:sz w:val="24"/>
          <w:szCs w:val="24"/>
          <w:u w:val="single"/>
        </w:rPr>
      </w:pPr>
      <w:r w:rsidRPr="00516A72">
        <w:rPr>
          <w:rFonts w:ascii="Times New Roman" w:hAnsi="Times New Roman"/>
          <w:sz w:val="24"/>
          <w:szCs w:val="24"/>
          <w:u w:val="single"/>
        </w:rPr>
        <w:t>Hans-Werner Sinn (Ifo):</w:t>
      </w:r>
      <w:r>
        <w:rPr>
          <w:rFonts w:ascii="Times New Roman" w:hAnsi="Times New Roman"/>
          <w:sz w:val="24"/>
          <w:szCs w:val="24"/>
          <w:u w:val="single"/>
        </w:rPr>
        <w:t xml:space="preserve"> devaluación interna o riesgo de perder una nueva década</w:t>
      </w:r>
      <w:r w:rsidRPr="00516A72">
        <w:rPr>
          <w:rFonts w:ascii="Times New Roman" w:hAnsi="Times New Roman"/>
          <w:sz w:val="24"/>
          <w:szCs w:val="24"/>
          <w:u w:val="single"/>
        </w:rPr>
        <w:t xml:space="preserve"> </w:t>
      </w:r>
    </w:p>
    <w:p w:rsidR="00B71D19" w:rsidRPr="00B71D19" w:rsidRDefault="00B71D19" w:rsidP="00B71D19">
      <w:pPr>
        <w:spacing w:before="100" w:beforeAutospacing="1" w:after="100" w:afterAutospacing="1" w:line="240" w:lineRule="auto"/>
        <w:jc w:val="both"/>
        <w:rPr>
          <w:rFonts w:ascii="Times New Roman" w:hAnsi="Times New Roman"/>
          <w:sz w:val="24"/>
          <w:szCs w:val="24"/>
        </w:rPr>
      </w:pPr>
      <w:r w:rsidRPr="00B71D19">
        <w:rPr>
          <w:rFonts w:ascii="Times New Roman" w:hAnsi="Times New Roman" w:cs="Times New Roman"/>
          <w:i/>
          <w:sz w:val="24"/>
          <w:szCs w:val="24"/>
        </w:rPr>
        <w:t xml:space="preserve">“Tras pedir una quita para las deudas de los países periféricos, Hans-Werner Sinn, economista alemán y presidente del Ifo, les reclama que se “sometan” a la devaluación </w:t>
      </w:r>
      <w:r w:rsidRPr="00B71D19">
        <w:rPr>
          <w:rFonts w:ascii="Times New Roman" w:hAnsi="Times New Roman" w:cs="Times New Roman"/>
          <w:i/>
          <w:sz w:val="24"/>
          <w:szCs w:val="24"/>
        </w:rPr>
        <w:lastRenderedPageBreak/>
        <w:t xml:space="preserve">interna por dolorosa que sea y ayuden a evitar que la zona euro se sumerja en una nueva “década perdida”… </w:t>
      </w:r>
      <w:r>
        <w:rPr>
          <w:rFonts w:ascii="Times New Roman" w:hAnsi="Times New Roman"/>
          <w:sz w:val="24"/>
          <w:szCs w:val="24"/>
        </w:rPr>
        <w:t>“</w:t>
      </w:r>
      <w:r w:rsidRPr="00516A72">
        <w:rPr>
          <w:rFonts w:ascii="Times New Roman" w:hAnsi="Times New Roman"/>
          <w:sz w:val="24"/>
          <w:szCs w:val="24"/>
          <w:u w:val="single"/>
        </w:rPr>
        <w:t>La periferia ha engullido el dinero europeo en</w:t>
      </w:r>
      <w:r>
        <w:rPr>
          <w:rFonts w:ascii="Times New Roman" w:hAnsi="Times New Roman"/>
          <w:sz w:val="24"/>
          <w:szCs w:val="24"/>
          <w:u w:val="single"/>
        </w:rPr>
        <w:t xml:space="preserve"> vez de elevar su productividad</w:t>
      </w:r>
      <w:r w:rsidRPr="00B71D19">
        <w:rPr>
          <w:rFonts w:ascii="Times New Roman" w:hAnsi="Times New Roman"/>
          <w:sz w:val="24"/>
          <w:szCs w:val="24"/>
        </w:rPr>
        <w:t>”</w:t>
      </w:r>
      <w:r>
        <w:rPr>
          <w:rFonts w:ascii="Times New Roman" w:hAnsi="Times New Roman"/>
          <w:sz w:val="24"/>
          <w:szCs w:val="24"/>
        </w:rPr>
        <w:t xml:space="preserve"> (El Economista - </w:t>
      </w:r>
      <w:r w:rsidRPr="00516A72">
        <w:rPr>
          <w:rFonts w:ascii="Times New Roman" w:hAnsi="Times New Roman"/>
          <w:b/>
          <w:sz w:val="24"/>
          <w:szCs w:val="24"/>
        </w:rPr>
        <w:t>10/10/14</w:t>
      </w:r>
      <w:r>
        <w:rPr>
          <w:rFonts w:ascii="Times New Roman" w:hAnsi="Times New Roman"/>
          <w:sz w:val="24"/>
          <w:szCs w:val="24"/>
        </w:rPr>
        <w:t>)</w:t>
      </w:r>
      <w:r w:rsidRPr="00516A72">
        <w:rPr>
          <w:rFonts w:ascii="Times New Roman" w:hAnsi="Times New Roman"/>
          <w:sz w:val="24"/>
          <w:szCs w:val="24"/>
        </w:rPr>
        <w:t xml:space="preserve"> </w:t>
      </w:r>
    </w:p>
    <w:p w:rsidR="00B71D19" w:rsidRPr="008C3CB0" w:rsidRDefault="00B71D19" w:rsidP="00B71D19">
      <w:pPr>
        <w:pStyle w:val="NormalWeb"/>
        <w:shd w:val="clear" w:color="auto" w:fill="FFFFFF"/>
        <w:jc w:val="both"/>
      </w:pPr>
      <w:r w:rsidRPr="008C3CB0">
        <w:t xml:space="preserve">En opinión de este experto, la región comunitaria corre el riesgo de experimentar otro periodo prolongado de estancamiento con un crecimiento anémico a menos que los países periféricos e incluso Francia, una de las mayores economías europeas, completen sus reformas e impulsen la productividad. </w:t>
      </w:r>
    </w:p>
    <w:p w:rsidR="00B71D19" w:rsidRPr="008C3CB0" w:rsidRDefault="00B71D19" w:rsidP="00B71D19">
      <w:pPr>
        <w:pStyle w:val="NormalWeb"/>
        <w:shd w:val="clear" w:color="auto" w:fill="FFFFFF"/>
        <w:jc w:val="both"/>
      </w:pPr>
      <w:r w:rsidRPr="008C3CB0">
        <w:t xml:space="preserve">Porque, en su opinión, la técnica empleada hasta ahora, consistente en llevar a cabo rescates a países, como Grecia o Portugal, y sistemas bancarios, como el español, no ha dado los resultados esperados. ¿El motivo? Que estas ayudas se han concedido a países, los de la llamada periferia, que han “engullido” el dinero en lugar de usarlo para elevar su productividad. </w:t>
      </w:r>
    </w:p>
    <w:p w:rsidR="00B71D19" w:rsidRPr="008C3CB0" w:rsidRDefault="00B71D19" w:rsidP="00B71D19">
      <w:pPr>
        <w:pStyle w:val="NormalWeb"/>
        <w:shd w:val="clear" w:color="auto" w:fill="FFFFFF"/>
        <w:jc w:val="both"/>
      </w:pPr>
      <w:r w:rsidRPr="008C3CB0">
        <w:t>“Ya hemos perdido una década entera debido a los enormes flujos de capital transferidos a los usuarios del sur de Europa, que no son productivos, y vamos a pe</w:t>
      </w:r>
      <w:r w:rsidR="008C3CB0" w:rsidRPr="008C3CB0">
        <w:t>rder otra década si no actuamos”</w:t>
      </w:r>
      <w:r w:rsidRPr="008C3CB0">
        <w:t xml:space="preserve">, ha asegurado Sinn en una entrevista a la </w:t>
      </w:r>
      <w:r w:rsidRPr="008C3CB0">
        <w:rPr>
          <w:i/>
          <w:iCs/>
        </w:rPr>
        <w:t>CNBC</w:t>
      </w:r>
      <w:r w:rsidRPr="008C3CB0">
        <w:t>.</w:t>
      </w:r>
    </w:p>
    <w:p w:rsidR="00B71D19" w:rsidRPr="008C3CB0" w:rsidRDefault="00B71D19" w:rsidP="00B71D19">
      <w:pPr>
        <w:shd w:val="clear" w:color="auto" w:fill="FFFFFF"/>
        <w:spacing w:line="240" w:lineRule="auto"/>
        <w:jc w:val="both"/>
        <w:rPr>
          <w:rFonts w:ascii="Times New Roman" w:hAnsi="Times New Roman"/>
          <w:sz w:val="24"/>
          <w:szCs w:val="24"/>
        </w:rPr>
      </w:pPr>
      <w:r w:rsidRPr="008C3CB0">
        <w:rPr>
          <w:rFonts w:ascii="Times New Roman" w:hAnsi="Times New Roman"/>
          <w:sz w:val="24"/>
          <w:szCs w:val="24"/>
        </w:rPr>
        <w:t>El presidente del Ifo considera que no se trata de un problema cíclico que pueda ser resuelto con métodos basados en el modelo keynesiano, sino que se debe hacer énfasis en corregir el problema estructural, que es a largo plazo, con ref</w:t>
      </w:r>
      <w:r w:rsidR="008C3CB0" w:rsidRPr="008C3CB0">
        <w:rPr>
          <w:rFonts w:ascii="Times New Roman" w:hAnsi="Times New Roman"/>
          <w:sz w:val="24"/>
          <w:szCs w:val="24"/>
        </w:rPr>
        <w:t>ormas que hasta ahora han sido “</w:t>
      </w:r>
      <w:r w:rsidRPr="008C3CB0">
        <w:rPr>
          <w:rFonts w:ascii="Times New Roman" w:hAnsi="Times New Roman"/>
          <w:sz w:val="24"/>
          <w:szCs w:val="24"/>
        </w:rPr>
        <w:t>constan</w:t>
      </w:r>
      <w:r w:rsidR="008C3CB0" w:rsidRPr="008C3CB0">
        <w:rPr>
          <w:rFonts w:ascii="Times New Roman" w:hAnsi="Times New Roman"/>
          <w:sz w:val="24"/>
          <w:szCs w:val="24"/>
        </w:rPr>
        <w:t>temente pospuestas”</w:t>
      </w:r>
      <w:r w:rsidRPr="008C3CB0">
        <w:rPr>
          <w:rFonts w:ascii="Times New Roman" w:hAnsi="Times New Roman"/>
          <w:sz w:val="24"/>
          <w:szCs w:val="24"/>
        </w:rPr>
        <w:t xml:space="preserve">. </w:t>
      </w:r>
    </w:p>
    <w:p w:rsidR="00B71D19" w:rsidRPr="008C3CB0" w:rsidRDefault="00B71D19" w:rsidP="00B71D19">
      <w:pPr>
        <w:pStyle w:val="NormalWeb"/>
        <w:shd w:val="clear" w:color="auto" w:fill="FFFFFF"/>
        <w:jc w:val="both"/>
      </w:pPr>
      <w:r w:rsidRPr="008C3CB0">
        <w:t xml:space="preserve">En este sentido, </w:t>
      </w:r>
      <w:hyperlink r:id="rId31" w:history="1">
        <w:r w:rsidRPr="008C3CB0">
          <w:rPr>
            <w:rStyle w:val="Hipervnculo"/>
            <w:color w:val="auto"/>
            <w:u w:val="none"/>
          </w:rPr>
          <w:t>coincide con el gobierno alemán</w:t>
        </w:r>
      </w:hyperlink>
      <w:r w:rsidRPr="008C3CB0">
        <w:t xml:space="preserve"> al afirmar que el Banco Central Europeo (BCE) se equivoca con su </w:t>
      </w:r>
      <w:hyperlink r:id="rId32" w:history="1">
        <w:r w:rsidRPr="008C3CB0">
          <w:rPr>
            <w:rStyle w:val="Hipervnculo"/>
            <w:color w:val="auto"/>
            <w:u w:val="none"/>
          </w:rPr>
          <w:t>plan de compra de activos</w:t>
        </w:r>
      </w:hyperlink>
      <w:r w:rsidRPr="008C3CB0">
        <w:t xml:space="preserve">, ya que solo supondría </w:t>
      </w:r>
      <w:r w:rsidR="008C3CB0" w:rsidRPr="008C3CB0">
        <w:t>“una droga a corto plazo”, lo que equivale a un “camino peligroso”</w:t>
      </w:r>
      <w:r w:rsidRPr="008C3CB0">
        <w:t xml:space="preserve">. </w:t>
      </w:r>
    </w:p>
    <w:p w:rsidR="00B71D19" w:rsidRPr="008C3CB0" w:rsidRDefault="00B71D19" w:rsidP="00B71D19">
      <w:pPr>
        <w:pStyle w:val="NormalWeb"/>
        <w:shd w:val="clear" w:color="auto" w:fill="FFFFFF"/>
        <w:jc w:val="both"/>
      </w:pPr>
      <w:r w:rsidRPr="008C3CB0">
        <w:t>Por eso, Sinn incide en la necesidad de que los países del sur de Europa y también Francia, que ha empezado a dar señales</w:t>
      </w:r>
      <w:r w:rsidR="008C3CB0" w:rsidRPr="008C3CB0">
        <w:t xml:space="preserve"> de debilidad, se sometan a la “dolorosa devaluación interna”</w:t>
      </w:r>
      <w:r w:rsidRPr="008C3CB0">
        <w:t xml:space="preserve"> y recuperen la senda del crecimiento. Esto conlleva también un reequilibrio de los precios, que podría traducirse en inflación en Alemania o </w:t>
      </w:r>
      <w:r w:rsidR="008C3CB0" w:rsidRPr="008C3CB0">
        <w:t>deflación en el sur de Europa, “o ambos”</w:t>
      </w:r>
      <w:r w:rsidRPr="008C3CB0">
        <w:t>, añade el economista alemán.</w:t>
      </w:r>
    </w:p>
    <w:p w:rsidR="00B71D19" w:rsidRDefault="00B71D19" w:rsidP="00B71D19">
      <w:pPr>
        <w:pStyle w:val="NormalWeb"/>
        <w:shd w:val="clear" w:color="auto" w:fill="FFFFFF"/>
        <w:jc w:val="both"/>
      </w:pPr>
      <w:r w:rsidRPr="008C3CB0">
        <w:t>Sin estas</w:t>
      </w:r>
      <w:r w:rsidR="008C3CB0" w:rsidRPr="008C3CB0">
        <w:t xml:space="preserve"> medidas, la crisis financiera “</w:t>
      </w:r>
      <w:r w:rsidRPr="008C3CB0">
        <w:t>podría r</w:t>
      </w:r>
      <w:r w:rsidR="008C3CB0" w:rsidRPr="008C3CB0">
        <w:t>eaparecer en cualquier momento”</w:t>
      </w:r>
      <w:r w:rsidRPr="008C3CB0">
        <w:t>, asegura.</w:t>
      </w:r>
    </w:p>
    <w:p w:rsidR="00DB5B29" w:rsidRPr="00DB5B29" w:rsidRDefault="00DB5B29" w:rsidP="00B71D19">
      <w:pPr>
        <w:pStyle w:val="NormalWeb"/>
        <w:shd w:val="clear" w:color="auto" w:fill="FFFFFF"/>
        <w:jc w:val="both"/>
        <w:rPr>
          <w:b/>
        </w:rPr>
      </w:pPr>
      <w:r w:rsidRPr="00DB5B29">
        <w:rPr>
          <w:b/>
        </w:rPr>
        <w:t xml:space="preserve">- </w:t>
      </w:r>
      <w:r>
        <w:rPr>
          <w:b/>
        </w:rPr>
        <w:t>Devaluar a la gente y revaluar a las bolsas</w:t>
      </w:r>
      <w:r w:rsidR="00BC60E1">
        <w:rPr>
          <w:b/>
        </w:rPr>
        <w:t xml:space="preserve">: todo sea por la </w:t>
      </w:r>
      <w:r w:rsidR="00C15AD8">
        <w:rPr>
          <w:b/>
        </w:rPr>
        <w:t>“</w:t>
      </w:r>
      <w:r w:rsidR="00BC60E1">
        <w:rPr>
          <w:b/>
        </w:rPr>
        <w:t>pax</w:t>
      </w:r>
      <w:r w:rsidR="00C15AD8">
        <w:rPr>
          <w:b/>
        </w:rPr>
        <w:t>”</w:t>
      </w:r>
      <w:r w:rsidR="00BC60E1">
        <w:rPr>
          <w:b/>
        </w:rPr>
        <w:t xml:space="preserve"> de los mercados</w:t>
      </w:r>
    </w:p>
    <w:p w:rsidR="00DB5B29" w:rsidRPr="00DB5B29" w:rsidRDefault="00DB5B29" w:rsidP="00DB5B29">
      <w:pPr>
        <w:pStyle w:val="NormalWeb"/>
        <w:shd w:val="clear" w:color="auto" w:fill="FFFFFF"/>
        <w:jc w:val="both"/>
        <w:rPr>
          <w:bCs/>
          <w:iCs/>
        </w:rPr>
      </w:pPr>
      <w:r w:rsidRPr="00DB5B29">
        <w:rPr>
          <w:i/>
        </w:rPr>
        <w:t xml:space="preserve">“La ingente inyección de liquidez realizada por los bancos centrales en los últimos años </w:t>
      </w:r>
      <w:r w:rsidRPr="00DB5B29">
        <w:rPr>
          <w:bCs/>
          <w:i/>
        </w:rPr>
        <w:t>no se ha traducido en un incremento de la inflación</w:t>
      </w:r>
      <w:r w:rsidRPr="00DB5B29">
        <w:rPr>
          <w:i/>
        </w:rPr>
        <w:t>, pero es indudable su efecto en la valoración de los mercados financieros”...</w:t>
      </w:r>
      <w:r>
        <w:t xml:space="preserve"> </w:t>
      </w:r>
      <w:r w:rsidRPr="007768E9">
        <w:rPr>
          <w:bCs/>
          <w:iCs/>
          <w:u w:val="single"/>
        </w:rPr>
        <w:t>El BCE, al rescate de las bolsas</w:t>
      </w:r>
      <w:r>
        <w:rPr>
          <w:bCs/>
          <w:iCs/>
        </w:rPr>
        <w:t xml:space="preserve"> (El Confidencial - </w:t>
      </w:r>
      <w:r w:rsidRPr="007768E9">
        <w:rPr>
          <w:b/>
          <w:bCs/>
          <w:iCs/>
        </w:rPr>
        <w:t>14/10/14</w:t>
      </w:r>
      <w:r>
        <w:rPr>
          <w:bCs/>
          <w:iCs/>
        </w:rPr>
        <w:t>)</w:t>
      </w:r>
    </w:p>
    <w:p w:rsidR="00DB5B29" w:rsidRPr="00DB5B29" w:rsidRDefault="00DB5B29" w:rsidP="00DB5B29">
      <w:pPr>
        <w:spacing w:before="100" w:beforeAutospacing="1" w:after="100" w:afterAutospacing="1" w:line="240" w:lineRule="auto"/>
        <w:jc w:val="both"/>
        <w:rPr>
          <w:rFonts w:ascii="Times New Roman" w:hAnsi="Times New Roman"/>
          <w:sz w:val="24"/>
          <w:szCs w:val="24"/>
        </w:rPr>
      </w:pPr>
      <w:r w:rsidRPr="00DB5B29">
        <w:rPr>
          <w:rFonts w:ascii="Times New Roman" w:hAnsi="Times New Roman"/>
          <w:sz w:val="24"/>
          <w:szCs w:val="24"/>
        </w:rPr>
        <w:t xml:space="preserve">La inflación, medida como variación de precios al consumo, no ha aflorado por ningún lado: ni en las economías desarrolladas, ni en los países emergentes. </w:t>
      </w:r>
      <w:r w:rsidRPr="00DB5B29">
        <w:rPr>
          <w:rFonts w:ascii="Times New Roman" w:hAnsi="Times New Roman"/>
          <w:bCs/>
          <w:sz w:val="24"/>
          <w:szCs w:val="24"/>
        </w:rPr>
        <w:t>El mundo parece estar dentro de un proceso de desinflación</w:t>
      </w:r>
      <w:r w:rsidRPr="00DB5B29">
        <w:rPr>
          <w:rFonts w:ascii="Times New Roman" w:hAnsi="Times New Roman"/>
          <w:sz w:val="24"/>
          <w:szCs w:val="24"/>
        </w:rPr>
        <w:t>, o inflación reducida, acorde con los moderados ritmos de crecimiento económico actuales.</w:t>
      </w:r>
    </w:p>
    <w:p w:rsidR="00DB5B29" w:rsidRPr="007768E9" w:rsidRDefault="00DB5B29" w:rsidP="00DB5B29">
      <w:pPr>
        <w:spacing w:after="0" w:line="240" w:lineRule="auto"/>
        <w:jc w:val="both"/>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noProof/>
          <w:sz w:val="24"/>
          <w:szCs w:val="24"/>
          <w:lang w:eastAsia="es-ES"/>
        </w:rPr>
        <w:drawing>
          <wp:inline distT="0" distB="0" distL="0" distR="0" wp14:anchorId="30E2DE31" wp14:editId="0A72BB19">
            <wp:extent cx="5264150" cy="2368550"/>
            <wp:effectExtent l="0" t="0" r="0" b="0"/>
            <wp:docPr id="28" name="Imagen 28" descr="http://www.ecestaticos.com/image/clipping/622948b52f7a92f32ebd61484aa994f3/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cestaticos.com/image/clipping/622948b52f7a92f32ebd61484aa994f3/imagen-sin-titulo.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64150" cy="2368550"/>
                    </a:xfrm>
                    <a:prstGeom prst="rect">
                      <a:avLst/>
                    </a:prstGeom>
                    <a:noFill/>
                    <a:ln>
                      <a:noFill/>
                    </a:ln>
                  </pic:spPr>
                </pic:pic>
              </a:graphicData>
            </a:graphic>
          </wp:inline>
        </w:drawing>
      </w:r>
    </w:p>
    <w:p w:rsidR="00DB5B29" w:rsidRPr="00DB5B29" w:rsidRDefault="00DB5B29" w:rsidP="00DB5B29">
      <w:pPr>
        <w:spacing w:before="100" w:beforeAutospacing="1" w:after="100" w:afterAutospacing="1" w:line="240" w:lineRule="auto"/>
        <w:jc w:val="both"/>
        <w:rPr>
          <w:rFonts w:ascii="Times New Roman" w:hAnsi="Times New Roman"/>
          <w:sz w:val="24"/>
          <w:szCs w:val="24"/>
        </w:rPr>
      </w:pPr>
      <w:r w:rsidRPr="00DB5B29">
        <w:rPr>
          <w:rFonts w:ascii="Times New Roman" w:hAnsi="Times New Roman"/>
          <w:sz w:val="24"/>
          <w:szCs w:val="24"/>
        </w:rPr>
        <w:t xml:space="preserve">Por el contrario, es innegable que </w:t>
      </w:r>
      <w:r w:rsidRPr="00DB5B29">
        <w:rPr>
          <w:rFonts w:ascii="Times New Roman" w:hAnsi="Times New Roman"/>
          <w:bCs/>
          <w:sz w:val="24"/>
          <w:szCs w:val="24"/>
        </w:rPr>
        <w:t>los mercados financieros han sido los principales destinatarios de la liquidez inyectada por los bancos centrales</w:t>
      </w:r>
      <w:r w:rsidRPr="00DB5B29">
        <w:rPr>
          <w:rFonts w:ascii="Times New Roman" w:hAnsi="Times New Roman"/>
          <w:sz w:val="24"/>
          <w:szCs w:val="24"/>
        </w:rPr>
        <w:t xml:space="preserve">. El actual nivel de los tipos de interés de los bonos soberanos de cualquier país europeo sólo se puede explicar por la liquidez proporcionada por el Banco Central Europeo (BCE) y el Banco de Inglaterra y, en ningún caso, por la mejora del nivel de deuda pública de cada uno de los países. </w:t>
      </w:r>
      <w:r w:rsidRPr="00DB5B29">
        <w:rPr>
          <w:rFonts w:ascii="Times New Roman" w:hAnsi="Times New Roman"/>
          <w:bCs/>
          <w:sz w:val="24"/>
          <w:szCs w:val="24"/>
        </w:rPr>
        <w:t>El volumen de deuda pública sigue incrementándose</w:t>
      </w:r>
      <w:r w:rsidRPr="00DB5B29">
        <w:rPr>
          <w:rFonts w:ascii="Times New Roman" w:hAnsi="Times New Roman"/>
          <w:sz w:val="24"/>
          <w:szCs w:val="24"/>
        </w:rPr>
        <w:t xml:space="preserve"> en todos los países, excepto en Alemania, aunque los tipos de interés exigidos se reduzcan.</w:t>
      </w:r>
    </w:p>
    <w:p w:rsidR="00DB5B29" w:rsidRPr="00DB5B29" w:rsidRDefault="00DB5B29" w:rsidP="00DB5B29">
      <w:pPr>
        <w:spacing w:before="100" w:beforeAutospacing="1" w:after="100" w:afterAutospacing="1" w:line="240" w:lineRule="auto"/>
        <w:jc w:val="both"/>
        <w:rPr>
          <w:rFonts w:ascii="Times New Roman" w:hAnsi="Times New Roman"/>
          <w:sz w:val="24"/>
          <w:szCs w:val="24"/>
        </w:rPr>
      </w:pPr>
      <w:r w:rsidRPr="00DB5B29">
        <w:rPr>
          <w:rFonts w:ascii="Times New Roman" w:hAnsi="Times New Roman"/>
          <w:sz w:val="24"/>
          <w:szCs w:val="24"/>
        </w:rPr>
        <w:t>La evolución de la bolsa norteamericana ha ido pareja al tamaño del balance de la Reserva Federal (Fed) durante toda la crisis. Mientras la Fed aumentaba su balance, la bolsa subía. En cuanto finalizaba cada uno de los programas de inyección de liquidez (</w:t>
      </w:r>
      <w:r w:rsidRPr="00DB5B29">
        <w:rPr>
          <w:rFonts w:ascii="Times New Roman" w:hAnsi="Times New Roman"/>
          <w:i/>
          <w:iCs/>
          <w:sz w:val="24"/>
          <w:szCs w:val="24"/>
        </w:rPr>
        <w:t>QE1</w:t>
      </w:r>
      <w:r w:rsidRPr="00DB5B29">
        <w:rPr>
          <w:rFonts w:ascii="Times New Roman" w:hAnsi="Times New Roman"/>
          <w:sz w:val="24"/>
          <w:szCs w:val="24"/>
        </w:rPr>
        <w:t xml:space="preserve">, </w:t>
      </w:r>
      <w:r w:rsidRPr="00DB5B29">
        <w:rPr>
          <w:rFonts w:ascii="Times New Roman" w:hAnsi="Times New Roman"/>
          <w:i/>
          <w:iCs/>
          <w:sz w:val="24"/>
          <w:szCs w:val="24"/>
        </w:rPr>
        <w:t>QE2</w:t>
      </w:r>
      <w:r w:rsidRPr="00DB5B29">
        <w:rPr>
          <w:rFonts w:ascii="Times New Roman" w:hAnsi="Times New Roman"/>
          <w:sz w:val="24"/>
          <w:szCs w:val="24"/>
        </w:rPr>
        <w:t xml:space="preserve">) la bolsa sufría correcciones. Ahora, ante la cercanía de la finalización del último y definitivo programa de expansión monetaria, </w:t>
      </w:r>
      <w:r w:rsidRPr="00DB5B29">
        <w:rPr>
          <w:rFonts w:ascii="Times New Roman" w:hAnsi="Times New Roman"/>
          <w:i/>
          <w:iCs/>
          <w:sz w:val="24"/>
          <w:szCs w:val="24"/>
        </w:rPr>
        <w:t>QE3</w:t>
      </w:r>
      <w:r w:rsidRPr="00DB5B29">
        <w:rPr>
          <w:rFonts w:ascii="Times New Roman" w:hAnsi="Times New Roman"/>
          <w:sz w:val="24"/>
          <w:szCs w:val="24"/>
        </w:rPr>
        <w:t xml:space="preserve">, </w:t>
      </w:r>
      <w:r w:rsidRPr="00DB5B29">
        <w:rPr>
          <w:rFonts w:ascii="Times New Roman" w:hAnsi="Times New Roman"/>
          <w:bCs/>
          <w:sz w:val="24"/>
          <w:szCs w:val="24"/>
        </w:rPr>
        <w:t>la bolsa estadounidense ha comenzado a corregir con fuerza</w:t>
      </w:r>
      <w:r w:rsidRPr="00DB5B29">
        <w:rPr>
          <w:rFonts w:ascii="Times New Roman" w:hAnsi="Times New Roman"/>
          <w:sz w:val="24"/>
          <w:szCs w:val="24"/>
        </w:rPr>
        <w:t>.</w:t>
      </w:r>
    </w:p>
    <w:p w:rsidR="00DB5B29" w:rsidRPr="00522F72" w:rsidRDefault="00FD6362" w:rsidP="00522F72">
      <w:pPr>
        <w:spacing w:after="0" w:line="240" w:lineRule="auto"/>
        <w:jc w:val="both"/>
        <w:rPr>
          <w:rFonts w:ascii="Times New Roman" w:hAnsi="Times New Roman"/>
          <w:sz w:val="24"/>
          <w:szCs w:val="24"/>
        </w:rPr>
      </w:pPr>
      <w:r>
        <w:rPr>
          <w:rFonts w:ascii="Times New Roman" w:hAnsi="Times New Roman"/>
          <w:sz w:val="24"/>
          <w:szCs w:val="24"/>
        </w:rPr>
        <w:t xml:space="preserve">  </w:t>
      </w:r>
      <w:r w:rsidR="00DB5B29">
        <w:rPr>
          <w:rFonts w:ascii="Times New Roman" w:hAnsi="Times New Roman"/>
          <w:noProof/>
          <w:sz w:val="24"/>
          <w:szCs w:val="24"/>
          <w:lang w:eastAsia="es-ES"/>
        </w:rPr>
        <w:drawing>
          <wp:inline distT="0" distB="0" distL="0" distR="0" wp14:anchorId="6CC36B0B" wp14:editId="1FEE6AD3">
            <wp:extent cx="5346700" cy="2978150"/>
            <wp:effectExtent l="0" t="0" r="6350" b="0"/>
            <wp:docPr id="27" name="Imagen 27" descr="http://www.ecestaticos.com/image/clipping/b276e5edfa1ecea9635ed9013f7cd98e/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ecestaticos.com/image/clipping/b276e5edfa1ecea9635ed9013f7cd98e/imagen-sin-titulo.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46700" cy="2978150"/>
                    </a:xfrm>
                    <a:prstGeom prst="rect">
                      <a:avLst/>
                    </a:prstGeom>
                    <a:noFill/>
                    <a:ln>
                      <a:noFill/>
                    </a:ln>
                  </pic:spPr>
                </pic:pic>
              </a:graphicData>
            </a:graphic>
          </wp:inline>
        </w:drawing>
      </w:r>
      <w:r w:rsidR="00DB5B29" w:rsidRPr="00522F72">
        <w:rPr>
          <w:rFonts w:ascii="Times New Roman" w:hAnsi="Times New Roman"/>
          <w:bCs/>
          <w:sz w:val="24"/>
          <w:szCs w:val="24"/>
        </w:rPr>
        <w:t>El BCE ha sido el gran causante de la subida de los precios de los bonos, de la caída de rentabilidades y de las subidas de las bolsas</w:t>
      </w:r>
      <w:r w:rsidR="00DB5B29" w:rsidRPr="00522F72">
        <w:rPr>
          <w:rFonts w:ascii="Times New Roman" w:hAnsi="Times New Roman"/>
          <w:sz w:val="24"/>
          <w:szCs w:val="24"/>
        </w:rPr>
        <w:t xml:space="preserve"> con su actuación desde 2012: primero </w:t>
      </w:r>
      <w:r w:rsidR="00DB5B29" w:rsidRPr="00522F72">
        <w:rPr>
          <w:rFonts w:ascii="Times New Roman" w:hAnsi="Times New Roman"/>
          <w:sz w:val="24"/>
          <w:szCs w:val="24"/>
        </w:rPr>
        <w:lastRenderedPageBreak/>
        <w:t>gracias al “</w:t>
      </w:r>
      <w:r w:rsidR="00DB5B29" w:rsidRPr="00522F72">
        <w:rPr>
          <w:rFonts w:ascii="Times New Roman" w:hAnsi="Times New Roman"/>
          <w:iCs/>
          <w:sz w:val="24"/>
          <w:szCs w:val="24"/>
        </w:rPr>
        <w:t>whatever it takes</w:t>
      </w:r>
      <w:r w:rsidR="00DB5B29" w:rsidRPr="00522F72">
        <w:rPr>
          <w:rFonts w:ascii="Times New Roman" w:hAnsi="Times New Roman"/>
          <w:sz w:val="24"/>
          <w:szCs w:val="24"/>
        </w:rPr>
        <w:t>”; más tarde, con la aprobación del programa de compra de deuda pública OMT; posteriormente, con el anuncio de aumento de su balance en un billón de euros. Cada vez que ha habido una situación de inestabilidad financiera, la actuación del BCE ha logrado dar un nuevo impulso a las cotizaciones. </w:t>
      </w:r>
    </w:p>
    <w:p w:rsidR="00DB5B29" w:rsidRPr="00522F72" w:rsidRDefault="00DB5B29" w:rsidP="00DB5B29">
      <w:pPr>
        <w:spacing w:before="100" w:beforeAutospacing="1" w:after="100" w:afterAutospacing="1" w:line="240" w:lineRule="auto"/>
        <w:jc w:val="both"/>
        <w:rPr>
          <w:rFonts w:ascii="Times New Roman" w:hAnsi="Times New Roman"/>
          <w:sz w:val="24"/>
          <w:szCs w:val="24"/>
        </w:rPr>
      </w:pPr>
      <w:r w:rsidRPr="00522F72">
        <w:rPr>
          <w:rFonts w:ascii="Times New Roman" w:hAnsi="Times New Roman"/>
          <w:sz w:val="24"/>
          <w:szCs w:val="24"/>
        </w:rPr>
        <w:t xml:space="preserve">Conviene no echar en saco roto las advertencias del propio Draghi: </w:t>
      </w:r>
      <w:r w:rsidRPr="00522F72">
        <w:rPr>
          <w:rFonts w:ascii="Times New Roman" w:hAnsi="Times New Roman"/>
          <w:bCs/>
          <w:sz w:val="24"/>
          <w:szCs w:val="24"/>
        </w:rPr>
        <w:t>las medidas del BCE no son suficientes para devolver el crecimiento</w:t>
      </w:r>
      <w:r w:rsidRPr="00522F72">
        <w:rPr>
          <w:rFonts w:ascii="Times New Roman" w:hAnsi="Times New Roman"/>
          <w:sz w:val="24"/>
          <w:szCs w:val="24"/>
        </w:rPr>
        <w:t xml:space="preserve"> si los Gobiernos no hacen la parte que les corresponde, es decir, reformas estructurales.</w:t>
      </w:r>
    </w:p>
    <w:p w:rsidR="00DB5B29" w:rsidRPr="00522F72" w:rsidRDefault="00DB5B29" w:rsidP="00522F72">
      <w:pPr>
        <w:spacing w:before="100" w:beforeAutospacing="1" w:after="100" w:afterAutospacing="1" w:line="240" w:lineRule="auto"/>
        <w:jc w:val="both"/>
        <w:rPr>
          <w:rFonts w:ascii="Times New Roman" w:hAnsi="Times New Roman"/>
          <w:sz w:val="24"/>
          <w:szCs w:val="24"/>
        </w:rPr>
      </w:pPr>
      <w:r w:rsidRPr="00522F72">
        <w:rPr>
          <w:rFonts w:ascii="Times New Roman" w:hAnsi="Times New Roman"/>
          <w:sz w:val="24"/>
          <w:szCs w:val="24"/>
        </w:rPr>
        <w:t>El escenario ante el que nos enfrentamos es de bajo crecimiento, baja inflación y bajos tipos de interés. El ínfimo nivel de los tipos de interés, tanto a corto como a largo plazo,</w:t>
      </w:r>
      <w:r w:rsidRPr="00522F72">
        <w:rPr>
          <w:rFonts w:ascii="Times New Roman" w:hAnsi="Times New Roman"/>
          <w:bCs/>
          <w:sz w:val="24"/>
          <w:szCs w:val="24"/>
        </w:rPr>
        <w:t xml:space="preserve"> incentiva la toma de riesgo</w:t>
      </w:r>
      <w:r w:rsidRPr="00522F72">
        <w:rPr>
          <w:rFonts w:ascii="Times New Roman" w:hAnsi="Times New Roman"/>
          <w:sz w:val="24"/>
          <w:szCs w:val="24"/>
        </w:rPr>
        <w:t>. Es frecuente escuchar la recomendación generalizada de invertir en renta variable ante la escasa rentabilidad del resto de inversiones financieras. El comportamient</w:t>
      </w:r>
      <w:r w:rsidR="00522F72">
        <w:rPr>
          <w:rFonts w:ascii="Times New Roman" w:hAnsi="Times New Roman"/>
          <w:sz w:val="24"/>
          <w:szCs w:val="24"/>
        </w:rPr>
        <w:t>o de las bolsas en el mes de octubre (2014)</w:t>
      </w:r>
      <w:r w:rsidRPr="00522F72">
        <w:rPr>
          <w:rFonts w:ascii="Times New Roman" w:hAnsi="Times New Roman"/>
          <w:sz w:val="24"/>
          <w:szCs w:val="24"/>
        </w:rPr>
        <w:t xml:space="preserve">, con caídas superiores al 10%, pone en cuestionamiento dicha recomendación, </w:t>
      </w:r>
      <w:r w:rsidR="00522F72">
        <w:rPr>
          <w:rFonts w:ascii="Times New Roman" w:hAnsi="Times New Roman"/>
          <w:sz w:val="24"/>
          <w:szCs w:val="24"/>
        </w:rPr>
        <w:t>al menos de forma generalizada.</w:t>
      </w:r>
    </w:p>
    <w:p w:rsidR="008C3CB0" w:rsidRDefault="00FD6362" w:rsidP="00B71D19">
      <w:pPr>
        <w:pStyle w:val="NormalWeb"/>
        <w:shd w:val="clear" w:color="auto" w:fill="FFFFFF"/>
        <w:jc w:val="both"/>
        <w:rPr>
          <w:b/>
        </w:rPr>
      </w:pPr>
      <w:r>
        <w:rPr>
          <w:b/>
        </w:rPr>
        <w:t xml:space="preserve">- </w:t>
      </w:r>
      <w:r w:rsidR="00AB3464">
        <w:rPr>
          <w:b/>
        </w:rPr>
        <w:t>Ser USA,</w:t>
      </w:r>
      <w:r w:rsidR="00C15AD8">
        <w:rPr>
          <w:b/>
        </w:rPr>
        <w:t xml:space="preserve"> ser Japón, ser China o ser (al</w:t>
      </w:r>
      <w:r w:rsidR="00AB3464">
        <w:rPr>
          <w:b/>
        </w:rPr>
        <w:t xml:space="preserve"> fin) </w:t>
      </w:r>
      <w:r>
        <w:rPr>
          <w:b/>
        </w:rPr>
        <w:t>‘</w:t>
      </w:r>
      <w:r w:rsidR="00AB3464">
        <w:rPr>
          <w:b/>
        </w:rPr>
        <w:t>Europa</w:t>
      </w:r>
      <w:r>
        <w:rPr>
          <w:b/>
        </w:rPr>
        <w:t>’</w:t>
      </w:r>
      <w:r w:rsidR="00DB0CCD">
        <w:rPr>
          <w:b/>
        </w:rPr>
        <w:t>: ¿e</w:t>
      </w:r>
      <w:r w:rsidR="00AB3464">
        <w:rPr>
          <w:b/>
        </w:rPr>
        <w:t>l futuro puede esperar?</w:t>
      </w:r>
    </w:p>
    <w:p w:rsidR="00522F72" w:rsidRPr="005B354C" w:rsidRDefault="00522F72" w:rsidP="00522F72">
      <w:pPr>
        <w:pStyle w:val="NormalWeb"/>
        <w:jc w:val="both"/>
      </w:pPr>
      <w:r w:rsidRPr="005B354C">
        <w:t xml:space="preserve">- </w:t>
      </w:r>
      <w:r w:rsidRPr="005B354C">
        <w:rPr>
          <w:u w:val="single"/>
        </w:rPr>
        <w:t>¿Son los servicios las nuevas manufacturas?</w:t>
      </w:r>
      <w:r>
        <w:t xml:space="preserve"> (Project Syndicate - </w:t>
      </w:r>
      <w:r w:rsidRPr="005B354C">
        <w:rPr>
          <w:b/>
        </w:rPr>
        <w:t>13/10/14</w:t>
      </w:r>
      <w:r>
        <w:t>)</w:t>
      </w:r>
      <w:r w:rsidR="00FD6362">
        <w:t xml:space="preserve"> Lectura recomendada</w:t>
      </w:r>
    </w:p>
    <w:p w:rsidR="00522F72" w:rsidRPr="00721EC6" w:rsidRDefault="00FD6362" w:rsidP="00522F72">
      <w:pPr>
        <w:pStyle w:val="NormalWeb"/>
        <w:jc w:val="both"/>
        <w:rPr>
          <w:color w:val="FF0000"/>
          <w:u w:val="single"/>
        </w:rPr>
      </w:pPr>
      <w:r>
        <w:t>Princeton.-</w:t>
      </w:r>
      <w:r w:rsidR="00522F72" w:rsidRPr="005B354C">
        <w:t xml:space="preserve"> </w:t>
      </w:r>
      <w:r w:rsidR="00522F72" w:rsidRPr="00721EC6">
        <w:rPr>
          <w:color w:val="FF0000"/>
          <w:u w:val="single"/>
        </w:rPr>
        <w:t>El debate mundial sobre el crecimiento en el mundo en desarrollo ha experimentado un profundo cambio recientemente. El revuelo y el entusiasmo de los últimos años sobre la perspectiva de una rápida nivelación con las economías avanzadas se han evaporado. Pocos son los analistas serios que siguen creyendo que la espectacular convergencia económica experimentada por los países asiáticos y menos espectacularmente por la mayoría de los países latinoamericanos y africanos vaya a mantenerse en los próximos decenios. No es probable que persistan los bajos tipos de interés, los altos precios de los productos básicos, la rápida mundialización y la estabilidad posterior a la Guerra Fría, que han sostenido ese extraordinario período.</w:t>
      </w:r>
    </w:p>
    <w:p w:rsidR="00522F72" w:rsidRPr="00FD6362" w:rsidRDefault="00522F72" w:rsidP="00522F72">
      <w:pPr>
        <w:pStyle w:val="NormalWeb"/>
        <w:jc w:val="both"/>
        <w:rPr>
          <w:b/>
          <w:color w:val="FF0000"/>
          <w:u w:val="single"/>
        </w:rPr>
      </w:pPr>
      <w:r w:rsidRPr="00721EC6">
        <w:rPr>
          <w:u w:val="single"/>
        </w:rPr>
        <w:t xml:space="preserve">Otra comprensión ha calado: los países en desarrollo necesitan un nuevo modelo de crecimiento. El problema no es simplemente que necesiten liberarse de su dependencia de unas corrientes de capitales inestables y de los auges de los productos básicos, que  con frecuencia los han vuelto vulnerables frente a las sacudidas y propensos a las crisis. Más importante es que </w:t>
      </w:r>
      <w:r w:rsidRPr="00FD6362">
        <w:rPr>
          <w:b/>
          <w:color w:val="FF0000"/>
          <w:u w:val="single"/>
        </w:rPr>
        <w:t xml:space="preserve">la industrialización orientada a la exportación, que ha sido la senda a la riqueza más segura de la Historia, puede haberse agotado. </w:t>
      </w:r>
    </w:p>
    <w:p w:rsidR="00522F72" w:rsidRPr="00FD6362" w:rsidRDefault="00522F72" w:rsidP="00522F72">
      <w:pPr>
        <w:pStyle w:val="NormalWeb"/>
        <w:jc w:val="both"/>
        <w:rPr>
          <w:b/>
          <w:color w:val="FF0000"/>
          <w:u w:val="single"/>
        </w:rPr>
      </w:pPr>
      <w:r w:rsidRPr="00FD6362">
        <w:rPr>
          <w:b/>
          <w:color w:val="FF0000"/>
          <w:u w:val="single"/>
        </w:rPr>
        <w:t>Desde la Revolución Industrial, la manufactura ha sido siempre la clave para un crecimiento económico rápido. Todos los países que alcanzaron a Gran Bretaña y más adelante la superaron, como, por ejemplo, Alemania, los Estados Unidos y el Japón, lo hicieron desarrollando sus industrias manufactureras. Tras la segunda guerra mundial, hubo dos olas de convergencia económica rápida: una en la periferia europea durante los decenios de 1950 y 1960 y otra en el Asia oriental a partir del decenio de 1960.</w:t>
      </w:r>
    </w:p>
    <w:p w:rsidR="00522F72" w:rsidRPr="00721EC6" w:rsidRDefault="00522F72" w:rsidP="00522F72">
      <w:pPr>
        <w:pStyle w:val="NormalWeb"/>
        <w:jc w:val="both"/>
        <w:rPr>
          <w:u w:val="single"/>
        </w:rPr>
      </w:pPr>
      <w:r w:rsidRPr="00FD6362">
        <w:rPr>
          <w:b/>
          <w:color w:val="FF0000"/>
          <w:u w:val="single"/>
        </w:rPr>
        <w:t>En los dos casos, la base fue la manufactura industrial</w:t>
      </w:r>
      <w:r w:rsidRPr="00721EC6">
        <w:rPr>
          <w:u w:val="single"/>
        </w:rPr>
        <w:t>. China, que ha surgido como el arquetipo de esa estrategia de crecimiento desde el decenio de 1970, recorrió un camino ya trillado.</w:t>
      </w:r>
    </w:p>
    <w:p w:rsidR="00522F72" w:rsidRPr="00721EC6" w:rsidRDefault="00522F72" w:rsidP="00522F72">
      <w:pPr>
        <w:pStyle w:val="NormalWeb"/>
        <w:jc w:val="both"/>
        <w:rPr>
          <w:b/>
          <w:color w:val="FF0000"/>
          <w:u w:val="single"/>
        </w:rPr>
      </w:pPr>
      <w:r w:rsidRPr="00721EC6">
        <w:rPr>
          <w:b/>
          <w:color w:val="FF0000"/>
          <w:u w:val="single"/>
        </w:rPr>
        <w:lastRenderedPageBreak/>
        <w:t>Pero hoy en día la manufactura no es lo que era. Ha adquirido una densidad de capital y de conocimientos técnicos mucho mayor y tiene muchas menos posibilidades de absorber grandes cantidades de mano de obra procedente del campo.</w:t>
      </w:r>
    </w:p>
    <w:p w:rsidR="00522F72" w:rsidRPr="00721EC6" w:rsidRDefault="00522F72" w:rsidP="00522F72">
      <w:pPr>
        <w:pStyle w:val="NormalWeb"/>
        <w:jc w:val="both"/>
        <w:rPr>
          <w:b/>
          <w:color w:val="FF0000"/>
          <w:u w:val="single"/>
        </w:rPr>
      </w:pPr>
      <w:r w:rsidRPr="00721EC6">
        <w:rPr>
          <w:u w:val="single"/>
        </w:rPr>
        <w:t xml:space="preserve">Aunque las cadenas de suministro mundiales han facilitado la entrada en el sector manufacturero, también han reducido los beneficios desde el punto de vista del valor añadido que van a parar al país. Es probable que muchas industrias tradicionales,  como, por ejemplo, la textil y la siderúrgica, afronten unos mercados mundiales más reducidos y un exceso de capacidad, impulsados por cambios de la demanda y preocupaciones medioambientales. Y un inconveniente del éxito de China es el de que a muchos otros países les está resultando mucho más difícil establecer más de un nicho en el sector manufacturero. </w:t>
      </w:r>
      <w:r w:rsidRPr="00721EC6">
        <w:rPr>
          <w:color w:val="FF0000"/>
          <w:u w:val="single"/>
        </w:rPr>
        <w:t xml:space="preserve">A consecuencia de ello, los países en desarrollo están empezando a desindustrializarse y a volverse más dependientes de los servicios en niveles de ingresos muy  inferiores a los habituales en los países desarrollados, </w:t>
      </w:r>
      <w:r w:rsidRPr="00721EC6">
        <w:rPr>
          <w:b/>
          <w:color w:val="FF0000"/>
          <w:u w:val="single"/>
        </w:rPr>
        <w:t>fenómeno que yo he llamado desindustrialización prematura.</w:t>
      </w:r>
    </w:p>
    <w:p w:rsidR="00522F72" w:rsidRPr="00721EC6" w:rsidRDefault="00522F72" w:rsidP="00522F72">
      <w:pPr>
        <w:pStyle w:val="NormalWeb"/>
        <w:jc w:val="both"/>
        <w:rPr>
          <w:color w:val="FF0000"/>
          <w:u w:val="single"/>
        </w:rPr>
      </w:pPr>
      <w:r w:rsidRPr="00721EC6">
        <w:rPr>
          <w:b/>
          <w:color w:val="FF0000"/>
          <w:u w:val="single"/>
        </w:rPr>
        <w:t>¿Podrán las industrias de servicios desempeñar el papel que correspondió en el pasado a la manufactura?</w:t>
      </w:r>
      <w:r w:rsidRPr="00721EC6">
        <w:rPr>
          <w:color w:val="FF0000"/>
          <w:u w:val="single"/>
        </w:rPr>
        <w:t xml:space="preserve"> Los servicios aportan ya la mayor parte del PIB de los países en desarrollo, incluso en los países de ingresos escasos, donde la agricultura ha desempeñado tradicionalmente un papel mayor. </w:t>
      </w:r>
      <w:r w:rsidRPr="000B5259">
        <w:rPr>
          <w:b/>
          <w:color w:val="FF0000"/>
          <w:u w:val="single"/>
        </w:rPr>
        <w:t>Los empleos en los servicios urbanos,  en lugar de en la manufactura, son los que absorben cada vez más a los trabajadores jóvenes que abandonan el campo para trasladarse a la ciudad. El comercio internacional de servicios ha solido ampliarse más rápidamente que el de mercancías</w:t>
      </w:r>
      <w:r w:rsidRPr="00721EC6">
        <w:rPr>
          <w:color w:val="FF0000"/>
          <w:u w:val="single"/>
        </w:rPr>
        <w:t>.</w:t>
      </w:r>
    </w:p>
    <w:p w:rsidR="00522F72" w:rsidRPr="000B5259" w:rsidRDefault="00522F72" w:rsidP="00522F72">
      <w:pPr>
        <w:pStyle w:val="NormalWeb"/>
        <w:jc w:val="both"/>
        <w:rPr>
          <w:color w:val="FF0000"/>
          <w:u w:val="single"/>
        </w:rPr>
      </w:pPr>
      <w:r w:rsidRPr="00721EC6">
        <w:rPr>
          <w:u w:val="single"/>
        </w:rPr>
        <w:t xml:space="preserve">Entre los optimistas figuran Ejaz Ghani y Stephen D. O’Connell, del Banco Mundial. </w:t>
      </w:r>
      <w:r w:rsidRPr="000B5259">
        <w:rPr>
          <w:color w:val="FF0000"/>
          <w:u w:val="single"/>
        </w:rPr>
        <w:t>En un  estudio reciente, sostienen que las industrias de servicios podrían hacer de impulsoras del crecimiento, papel desempeñado tradicionalmente por la manufactura.</w:t>
      </w:r>
    </w:p>
    <w:p w:rsidR="00522F72" w:rsidRPr="00721EC6" w:rsidRDefault="00522F72" w:rsidP="00522F72">
      <w:pPr>
        <w:pStyle w:val="NormalWeb"/>
        <w:jc w:val="both"/>
        <w:rPr>
          <w:u w:val="single"/>
        </w:rPr>
      </w:pPr>
      <w:r w:rsidRPr="00721EC6">
        <w:rPr>
          <w:u w:val="single"/>
        </w:rPr>
        <w:t>En particular, muestran que recientemente los servicios han exhibido una “convergencia incondicional” en productividad, es decir, que los países más alejados de la frontera mundial de la productividad laboral han tenido el mayor aumento de la productividad en los servicios.</w:t>
      </w:r>
    </w:p>
    <w:p w:rsidR="00522F72" w:rsidRPr="00721EC6" w:rsidRDefault="00522F72" w:rsidP="00522F72">
      <w:pPr>
        <w:pStyle w:val="NormalWeb"/>
        <w:jc w:val="both"/>
        <w:rPr>
          <w:color w:val="FF0000"/>
          <w:u w:val="single"/>
        </w:rPr>
      </w:pPr>
      <w:r w:rsidRPr="00721EC6">
        <w:rPr>
          <w:color w:val="FF0000"/>
          <w:u w:val="single"/>
        </w:rPr>
        <w:t>Sería una buena noticia, pero hay razones para mostrarse cauteloso. La demostración de Ghani-O’Connell comprende datos desde comienzos del decenio de 1990, durante el cual los países en desarrollo estaban experimentando una convergencia a escala de toda la economía, impulsada por las corrientes de capitales y los ingresos extraordinarios correspondientes a los productos básicos. No está claro que se puedan hacer extensibles sus conclusiones a otros períodos.</w:t>
      </w:r>
    </w:p>
    <w:p w:rsidR="00522F72" w:rsidRPr="00721EC6" w:rsidRDefault="00522F72" w:rsidP="00522F72">
      <w:pPr>
        <w:pStyle w:val="NormalWeb"/>
        <w:jc w:val="both"/>
        <w:rPr>
          <w:b/>
          <w:color w:val="FF0000"/>
          <w:u w:val="single"/>
        </w:rPr>
      </w:pPr>
      <w:r w:rsidRPr="00721EC6">
        <w:rPr>
          <w:b/>
          <w:color w:val="FF0000"/>
          <w:u w:val="single"/>
        </w:rPr>
        <w:t>Dos cosas diferencian los servicios de la manufactura. En primer lugar, mientras que algunos segmentos de los servicios son comercializables y están cobrando mayor importancia en el comercio mundial, se trata de sectores que suelen tener una gran densidad de conocimientos técnicos y los trabajadores no especializados que consiguen empleo en ellos son relativamente pocos.</w:t>
      </w:r>
    </w:p>
    <w:p w:rsidR="00522F72" w:rsidRPr="00721EC6" w:rsidRDefault="00522F72" w:rsidP="00522F72">
      <w:pPr>
        <w:pStyle w:val="NormalWeb"/>
        <w:jc w:val="both"/>
        <w:rPr>
          <w:b/>
          <w:color w:val="FF0000"/>
          <w:u w:val="single"/>
        </w:rPr>
      </w:pPr>
      <w:r w:rsidRPr="00721EC6">
        <w:rPr>
          <w:b/>
          <w:color w:val="FF0000"/>
          <w:u w:val="single"/>
        </w:rPr>
        <w:t xml:space="preserve">La banca, las finanzas, los seguros y otros servicios comerciales, junto con la tecnología de la información y las comunicaciones (TIC), son, todos ellos, </w:t>
      </w:r>
      <w:r w:rsidRPr="00721EC6">
        <w:rPr>
          <w:b/>
          <w:color w:val="FF0000"/>
          <w:u w:val="single"/>
        </w:rPr>
        <w:lastRenderedPageBreak/>
        <w:t>actividades con productividad elevada en las que se cobran sueldos altos. Podrían hacer de impulsores del crecimiento en economías en las que la fuerza laboral esté suficientemente capacitada, pero lo habitual en las economías en desarrollo es que predominen en ellas fuerzas laborales con pocos conocimientos técnicos. En esas economías, los servicios comercializables no pueden absorber más que una fracción de la oferta laboral.</w:t>
      </w:r>
    </w:p>
    <w:p w:rsidR="00522F72" w:rsidRPr="00721EC6" w:rsidRDefault="00522F72" w:rsidP="00522F72">
      <w:pPr>
        <w:pStyle w:val="NormalWeb"/>
        <w:jc w:val="both"/>
        <w:rPr>
          <w:u w:val="single"/>
        </w:rPr>
      </w:pPr>
      <w:r w:rsidRPr="00721EC6">
        <w:rPr>
          <w:u w:val="single"/>
        </w:rPr>
        <w:t>Ésa es la razón por la que, pese a sus éxitos, el sector de la TIC en la India no ha sido un impulsor primordial de crecimiento económico. En cambio, la manufactura tradicional podía ofrecer un gran número de puestos de trabajo a los trabajadores que acababan de abandonar la agricultura, con niveles de productividad tres o cuatro veces mayores que en la agricultura.</w:t>
      </w:r>
    </w:p>
    <w:p w:rsidR="00522F72" w:rsidRPr="00721EC6" w:rsidRDefault="00522F72" w:rsidP="00522F72">
      <w:pPr>
        <w:pStyle w:val="NormalWeb"/>
        <w:jc w:val="both"/>
        <w:rPr>
          <w:color w:val="FF0000"/>
          <w:u w:val="single"/>
        </w:rPr>
      </w:pPr>
      <w:r w:rsidRPr="000B5259">
        <w:rPr>
          <w:b/>
          <w:color w:val="FF0000"/>
          <w:u w:val="single"/>
        </w:rPr>
        <w:t>En los países en desarrollo actuales, la mayor parte del exceso de mano de obra es absorbido por los servicios no comercializables que funcionan con un nivel de productividad muy bajo, en actividades como, por ejemplo, el comercio al por menor y las tareas domésticas</w:t>
      </w:r>
      <w:r w:rsidRPr="00721EC6">
        <w:rPr>
          <w:color w:val="FF0000"/>
          <w:u w:val="single"/>
        </w:rPr>
        <w:t>. En principio, muchas de esas actividades podrán beneficiarse de unas tecnologías mejores, una mejor organización y una mayor formalización, pero a ese respecto entra en juego la segunda diferencia entre los servicios y la manufactura.</w:t>
      </w:r>
    </w:p>
    <w:p w:rsidR="00522F72" w:rsidRPr="00721EC6" w:rsidRDefault="00522F72" w:rsidP="00522F72">
      <w:pPr>
        <w:pStyle w:val="NormalWeb"/>
        <w:jc w:val="both"/>
        <w:rPr>
          <w:color w:val="FF0000"/>
          <w:u w:val="single"/>
        </w:rPr>
      </w:pPr>
      <w:r w:rsidRPr="000B5259">
        <w:rPr>
          <w:b/>
          <w:color w:val="FF0000"/>
          <w:u w:val="single"/>
        </w:rPr>
        <w:t>Los aumentos parciales de la productividad en las actividades no comercializables son en última instancia autolimitadores, porque las actividades de servicios no pueden ampliarse sin volver su relación de intercambio contra sí mismas: bajando sus propios precios (y rentabilidad).</w:t>
      </w:r>
      <w:r w:rsidRPr="00721EC6">
        <w:rPr>
          <w:color w:val="FF0000"/>
          <w:u w:val="single"/>
        </w:rPr>
        <w:t xml:space="preserve"> En la manufactura, los países en desarrollo pequeños podrían prosperar a partir de algunos éxitos en la exportación y diversificarse secuencialmente en el tiempo: ahora camisetas, después el montaje de televisiones y hornos de microondas y así sucesivamente, ascendiendo por la cadena de los conocimientos técnicos y del valor.</w:t>
      </w:r>
    </w:p>
    <w:p w:rsidR="00522F72" w:rsidRPr="00721EC6" w:rsidRDefault="00522F72" w:rsidP="00522F72">
      <w:pPr>
        <w:pStyle w:val="NormalWeb"/>
        <w:jc w:val="both"/>
        <w:rPr>
          <w:color w:val="FF0000"/>
          <w:u w:val="single"/>
        </w:rPr>
      </w:pPr>
      <w:r w:rsidRPr="00721EC6">
        <w:rPr>
          <w:color w:val="FF0000"/>
          <w:u w:val="single"/>
        </w:rPr>
        <w:t xml:space="preserve">En cambio, </w:t>
      </w:r>
      <w:r w:rsidRPr="00947B04">
        <w:rPr>
          <w:b/>
          <w:color w:val="FF0000"/>
          <w:u w:val="single"/>
        </w:rPr>
        <w:t>en los servicios, donde el tamaño del mercado está limitado por la demanda interior, el éxito continuo requiere aumentos simultáneos y complementarios de la productividad en el resto de la economía</w:t>
      </w:r>
      <w:r w:rsidRPr="00721EC6">
        <w:rPr>
          <w:color w:val="FF0000"/>
          <w:u w:val="single"/>
        </w:rPr>
        <w:t>. Centrarse en unos pocos sectores no brinda oportunidades rápidas de triunfar. Así, pues, el crecimiento debe depender de la acumulación, mucho más lenta, de capacidades a escala de toda la economía en forma de capital humano e instituciones.</w:t>
      </w:r>
    </w:p>
    <w:p w:rsidR="00522F72" w:rsidRPr="00721EC6" w:rsidRDefault="00522F72" w:rsidP="00522F72">
      <w:pPr>
        <w:pStyle w:val="NormalWeb"/>
        <w:jc w:val="both"/>
        <w:rPr>
          <w:b/>
          <w:color w:val="FF0000"/>
          <w:u w:val="single"/>
        </w:rPr>
      </w:pPr>
      <w:r w:rsidRPr="00721EC6">
        <w:rPr>
          <w:b/>
          <w:color w:val="FF0000"/>
          <w:u w:val="single"/>
        </w:rPr>
        <w:t>De modo que sigo siendo escéptico sobre la posibilidad de que un modelo impulsado por los servicios brinde un crecimiento rápido y buenos puestos de trabajo como ocurrió en tiempos con la manufactura. Aunque los optimistas tecnológicos estén en lo cierto, resulta difícil ver cómo permitirá a los países en desarrollo sostener el tipo de crecimiento que han experimentado en los dos últimos decenios.</w:t>
      </w:r>
    </w:p>
    <w:p w:rsidR="00522F72" w:rsidRDefault="00522F72" w:rsidP="00522F72">
      <w:pPr>
        <w:pStyle w:val="NormalWeb"/>
        <w:jc w:val="both"/>
        <w:rPr>
          <w:lang w:val="en-US"/>
        </w:rPr>
      </w:pPr>
      <w:r>
        <w:rPr>
          <w:lang w:val="en-US"/>
        </w:rPr>
        <w:t>(</w:t>
      </w:r>
      <w:r w:rsidRPr="005B354C">
        <w:rPr>
          <w:lang w:val="en-US"/>
        </w:rPr>
        <w:t>Dani Rodrik is Professor of Social Science at the Institute for Advanced Study, Princeton, New Jersey. He is the author of One Economics, Many Recipes: Globalization, Institutions, and Economic Growth and, most recently, The Globalization Paradox: Democracy and th</w:t>
      </w:r>
      <w:r>
        <w:rPr>
          <w:lang w:val="en-US"/>
        </w:rPr>
        <w:t>e Future of the World Economy…)</w:t>
      </w:r>
    </w:p>
    <w:p w:rsidR="00947B04" w:rsidRDefault="00947B04" w:rsidP="00522F72">
      <w:pPr>
        <w:pStyle w:val="NormalWeb"/>
        <w:jc w:val="both"/>
        <w:rPr>
          <w:lang w:val="en-US"/>
        </w:rPr>
      </w:pPr>
    </w:p>
    <w:p w:rsidR="00947B04" w:rsidRPr="00947B04" w:rsidRDefault="00947B04" w:rsidP="00522F72">
      <w:pPr>
        <w:pStyle w:val="NormalWeb"/>
        <w:jc w:val="both"/>
      </w:pPr>
      <w:r w:rsidRPr="00947B04">
        <w:lastRenderedPageBreak/>
        <w:t xml:space="preserve">- </w:t>
      </w:r>
      <w:r w:rsidRPr="00947B04">
        <w:rPr>
          <w:b/>
        </w:rPr>
        <w:t>Europa copia a los EEUU donde “</w:t>
      </w:r>
      <w:r w:rsidR="00BC60E1">
        <w:rPr>
          <w:b/>
        </w:rPr>
        <w:t>no debe</w:t>
      </w:r>
      <w:r w:rsidR="00C15AD8">
        <w:rPr>
          <w:b/>
        </w:rPr>
        <w:t>, ni puede”</w:t>
      </w:r>
      <w:r w:rsidRPr="00947B04">
        <w:rPr>
          <w:b/>
        </w:rPr>
        <w:t xml:space="preserve"> (</w:t>
      </w:r>
      <w:r w:rsidR="00BC60E1">
        <w:rPr>
          <w:b/>
        </w:rPr>
        <w:t xml:space="preserve">el </w:t>
      </w:r>
      <w:r w:rsidRPr="00947B04">
        <w:rPr>
          <w:b/>
        </w:rPr>
        <w:t xml:space="preserve">negocio financiero o </w:t>
      </w:r>
      <w:r w:rsidR="00BC60E1">
        <w:rPr>
          <w:b/>
        </w:rPr>
        <w:t>tecnológico</w:t>
      </w:r>
      <w:r w:rsidRPr="00947B04">
        <w:rPr>
          <w:b/>
        </w:rPr>
        <w:t>)</w:t>
      </w:r>
      <w:r w:rsidR="00BC60E1">
        <w:rPr>
          <w:b/>
        </w:rPr>
        <w:t>, y no la copia</w:t>
      </w:r>
      <w:r w:rsidRPr="00947B04">
        <w:rPr>
          <w:b/>
        </w:rPr>
        <w:t xml:space="preserve"> donde </w:t>
      </w:r>
      <w:r w:rsidR="00BC60E1">
        <w:rPr>
          <w:b/>
        </w:rPr>
        <w:t>“</w:t>
      </w:r>
      <w:r w:rsidRPr="00947B04">
        <w:rPr>
          <w:b/>
        </w:rPr>
        <w:t>debe</w:t>
      </w:r>
      <w:r w:rsidR="00C15AD8">
        <w:rPr>
          <w:b/>
        </w:rPr>
        <w:t>, y podría”</w:t>
      </w:r>
      <w:r w:rsidR="00BC60E1">
        <w:rPr>
          <w:b/>
        </w:rPr>
        <w:t xml:space="preserve"> (el consumo de los hogares</w:t>
      </w:r>
      <w:r w:rsidRPr="00947B04">
        <w:rPr>
          <w:b/>
        </w:rPr>
        <w:t>)</w:t>
      </w:r>
    </w:p>
    <w:p w:rsidR="00522F72" w:rsidRPr="00BC60E1" w:rsidRDefault="00BC60E1" w:rsidP="00BC60E1">
      <w:pPr>
        <w:spacing w:before="100" w:beforeAutospacing="1" w:after="100" w:afterAutospacing="1" w:line="240" w:lineRule="auto"/>
        <w:jc w:val="both"/>
        <w:rPr>
          <w:rFonts w:ascii="Times New Roman" w:hAnsi="Times New Roman"/>
          <w:color w:val="000000"/>
          <w:sz w:val="24"/>
          <w:szCs w:val="24"/>
        </w:rPr>
      </w:pPr>
      <w:r w:rsidRPr="00BC60E1">
        <w:rPr>
          <w:rFonts w:ascii="Times New Roman" w:hAnsi="Times New Roman" w:cs="Times New Roman"/>
          <w:i/>
          <w:sz w:val="24"/>
          <w:szCs w:val="24"/>
        </w:rPr>
        <w:t>“</w:t>
      </w:r>
      <w:r w:rsidR="00522F72" w:rsidRPr="00BC60E1">
        <w:rPr>
          <w:rFonts w:ascii="Times New Roman" w:hAnsi="Times New Roman" w:cs="Times New Roman"/>
          <w:i/>
          <w:sz w:val="24"/>
          <w:szCs w:val="24"/>
        </w:rPr>
        <w:t>Estados Unidos tiene un arma perfecta para luchar contra la crisis, un escudo que no depende del exterior y que ha sacado a la segunda economía del mundo de la recesión. El consumo representa en Estados Unidos el 70% del PIB, más de 11 billones de dólares que han ayudado a levantar la economía norteamericana</w:t>
      </w:r>
      <w:r w:rsidRPr="00BC60E1">
        <w:rPr>
          <w:rFonts w:ascii="Times New Roman" w:hAnsi="Times New Roman" w:cs="Times New Roman"/>
          <w:i/>
          <w:sz w:val="24"/>
          <w:szCs w:val="24"/>
        </w:rPr>
        <w:t>”…</w:t>
      </w:r>
      <w:r w:rsidR="00522F72" w:rsidRPr="00BC60E1">
        <w:rPr>
          <w:i/>
        </w:rPr>
        <w:t xml:space="preserve"> </w:t>
      </w:r>
      <w:r>
        <w:rPr>
          <w:rFonts w:ascii="Times New Roman" w:hAnsi="Times New Roman"/>
          <w:color w:val="000000"/>
          <w:sz w:val="24"/>
          <w:szCs w:val="24"/>
          <w:u w:val="single"/>
        </w:rPr>
        <w:t>El “gorila de 360 kilos”</w:t>
      </w:r>
      <w:r w:rsidRPr="009C0E17">
        <w:rPr>
          <w:rFonts w:ascii="Times New Roman" w:hAnsi="Times New Roman"/>
          <w:color w:val="000000"/>
          <w:sz w:val="24"/>
          <w:szCs w:val="24"/>
          <w:u w:val="single"/>
        </w:rPr>
        <w:t xml:space="preserve"> y 11 billones de dólares que protege a EEUU de la crisis</w:t>
      </w:r>
      <w:r>
        <w:rPr>
          <w:rFonts w:ascii="Times New Roman" w:hAnsi="Times New Roman"/>
          <w:color w:val="000000"/>
          <w:sz w:val="24"/>
          <w:szCs w:val="24"/>
        </w:rPr>
        <w:t xml:space="preserve"> (El Economista - </w:t>
      </w:r>
      <w:r w:rsidRPr="009C0E17">
        <w:rPr>
          <w:rFonts w:ascii="Times New Roman" w:hAnsi="Times New Roman"/>
          <w:b/>
          <w:color w:val="000000"/>
          <w:sz w:val="24"/>
          <w:szCs w:val="24"/>
        </w:rPr>
        <w:t>14/10/14</w:t>
      </w:r>
      <w:r>
        <w:rPr>
          <w:rFonts w:ascii="Times New Roman" w:hAnsi="Times New Roman"/>
          <w:color w:val="000000"/>
          <w:sz w:val="24"/>
          <w:szCs w:val="24"/>
        </w:rPr>
        <w:t>)</w:t>
      </w:r>
    </w:p>
    <w:p w:rsidR="00522F72" w:rsidRPr="00BC60E1" w:rsidRDefault="00522F72" w:rsidP="00BC60E1">
      <w:pPr>
        <w:pStyle w:val="NormalWeb"/>
        <w:shd w:val="clear" w:color="auto" w:fill="FFFFFF"/>
        <w:jc w:val="both"/>
      </w:pPr>
      <w:r w:rsidRPr="00BC60E1">
        <w:t xml:space="preserve">Según analiza el portal financiero </w:t>
      </w:r>
      <w:r w:rsidRPr="00BC60E1">
        <w:rPr>
          <w:i/>
          <w:iCs/>
        </w:rPr>
        <w:t xml:space="preserve">Bloomberg, </w:t>
      </w:r>
      <w:r w:rsidRPr="00BC60E1">
        <w:t>Estados Unidos tiene una ventaja comparativa respecto al resto del mundo, esta es el espíritu consumidor de su población, 11 billones de dólares que se contabilizan como co</w:t>
      </w:r>
      <w:r w:rsidR="00BC60E1">
        <w:t>nsumo en el PIB norteamericano.</w:t>
      </w:r>
    </w:p>
    <w:p w:rsidR="00522F72" w:rsidRPr="00BC60E1" w:rsidRDefault="00522F72" w:rsidP="00522F72">
      <w:pPr>
        <w:pStyle w:val="NormalWeb"/>
        <w:shd w:val="clear" w:color="auto" w:fill="FFFFFF"/>
        <w:jc w:val="both"/>
        <w:rPr>
          <w:color w:val="000000"/>
        </w:rPr>
      </w:pPr>
      <w:r w:rsidRPr="00BC60E1">
        <w:rPr>
          <w:color w:val="000000"/>
        </w:rPr>
        <w:t>El descenso del desempleo, la caída del precio de la gasolina y de los costes de financiación ha permitido a las familias dedicar una mayor parte de su renta disponible al consumo. Esto se convierte en un círculo virtuoso, más consumo, más empleo, que a su vez vuelve a generar más consumo.</w:t>
      </w:r>
    </w:p>
    <w:p w:rsidR="00522F72" w:rsidRPr="00BC60E1" w:rsidRDefault="00522F72" w:rsidP="00BC60E1">
      <w:pPr>
        <w:shd w:val="clear" w:color="auto" w:fill="FFFFFF"/>
        <w:jc w:val="both"/>
        <w:rPr>
          <w:rFonts w:ascii="Times New Roman" w:hAnsi="Times New Roman"/>
          <w:color w:val="000000"/>
          <w:sz w:val="24"/>
          <w:szCs w:val="24"/>
        </w:rPr>
      </w:pPr>
      <w:r w:rsidRPr="009C0E17">
        <w:rPr>
          <w:rFonts w:ascii="Times New Roman" w:hAnsi="Times New Roman"/>
          <w:noProof/>
          <w:color w:val="000000"/>
          <w:sz w:val="24"/>
          <w:szCs w:val="24"/>
          <w:lang w:eastAsia="es-ES"/>
        </w:rPr>
        <w:drawing>
          <wp:inline distT="0" distB="0" distL="0" distR="0" wp14:anchorId="60BC197C" wp14:editId="2B2A9CEA">
            <wp:extent cx="5480050" cy="2546350"/>
            <wp:effectExtent l="0" t="0" r="6350" b="6350"/>
            <wp:docPr id="26" name="Imagen 26" descr="http://s01.s3c.es/imag/_v0/630x344/b/3/b/desempleo-u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01.s3c.es/imag/_v0/630x344/b/3/b/desempleo-usa.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0050" cy="2546350"/>
                    </a:xfrm>
                    <a:prstGeom prst="rect">
                      <a:avLst/>
                    </a:prstGeom>
                    <a:noFill/>
                    <a:ln>
                      <a:noFill/>
                    </a:ln>
                  </pic:spPr>
                </pic:pic>
              </a:graphicData>
            </a:graphic>
          </wp:inline>
        </w:drawing>
      </w:r>
      <w:r w:rsidRPr="009C0E17">
        <w:rPr>
          <w:rFonts w:ascii="Times New Roman" w:hAnsi="Times New Roman"/>
          <w:color w:val="000000"/>
          <w:sz w:val="24"/>
          <w:szCs w:val="24"/>
        </w:rPr>
        <w:t xml:space="preserve">Tasa de paro en EEUU. Fuente: </w:t>
      </w:r>
      <w:r w:rsidRPr="009C0E17">
        <w:rPr>
          <w:rFonts w:ascii="Times New Roman" w:hAnsi="Times New Roman"/>
          <w:i/>
          <w:iCs/>
          <w:color w:val="000000"/>
          <w:sz w:val="24"/>
          <w:szCs w:val="24"/>
        </w:rPr>
        <w:t>Bureau of Economic Analysis </w:t>
      </w:r>
      <w:r w:rsidR="00BC60E1">
        <w:rPr>
          <w:rFonts w:ascii="Times New Roman" w:hAnsi="Times New Roman"/>
          <w:color w:val="000000"/>
          <w:sz w:val="24"/>
          <w:szCs w:val="24"/>
        </w:rPr>
        <w:t xml:space="preserve"> </w:t>
      </w:r>
    </w:p>
    <w:p w:rsidR="00522F72" w:rsidRPr="00BC60E1" w:rsidRDefault="00522F72" w:rsidP="00522F72">
      <w:pPr>
        <w:pStyle w:val="NormalWeb"/>
        <w:shd w:val="clear" w:color="auto" w:fill="FFFFFF"/>
        <w:jc w:val="both"/>
      </w:pPr>
      <w:r w:rsidRPr="00BC60E1">
        <w:t xml:space="preserve">El consumo de los hogares ha crecido un 2,3% en 2014 y se espera que para el próximo año se eleve un 2,7%, según las previsiones de varios analistas para </w:t>
      </w:r>
      <w:r w:rsidRPr="00BC60E1">
        <w:rPr>
          <w:i/>
          <w:iCs/>
        </w:rPr>
        <w:t xml:space="preserve">Bloomberg. </w:t>
      </w:r>
    </w:p>
    <w:p w:rsidR="00522F72" w:rsidRPr="00BC60E1" w:rsidRDefault="00522F72" w:rsidP="00522F72">
      <w:pPr>
        <w:pStyle w:val="NormalWeb"/>
        <w:shd w:val="clear" w:color="auto" w:fill="FFFFFF"/>
        <w:jc w:val="both"/>
      </w:pPr>
      <w:r w:rsidRPr="00BC60E1">
        <w:t>Joseph LaVorgna, economista jefe de Deutsche Bank Seguro</w:t>
      </w:r>
      <w:r w:rsidR="00BC60E1">
        <w:t>s en Estados Unidos, señala a</w:t>
      </w:r>
      <w:r w:rsidRPr="00BC60E1">
        <w:t xml:space="preserve"> </w:t>
      </w:r>
      <w:r w:rsidRPr="00BC60E1">
        <w:rPr>
          <w:i/>
          <w:iCs/>
        </w:rPr>
        <w:t xml:space="preserve">Bloomberg </w:t>
      </w:r>
      <w:r w:rsidRPr="00BC60E1">
        <w:t xml:space="preserve">que </w:t>
      </w:r>
      <w:r w:rsidR="00BC60E1">
        <w:t>“</w:t>
      </w:r>
      <w:r w:rsidRPr="00BC60E1">
        <w:t>tenemos un gorila de 360 kilos, el consumo... los hogares se han centrado en las buenas noticias del mercado laboral. Estados Unidos se di</w:t>
      </w:r>
      <w:r w:rsidR="00BC60E1">
        <w:t>rige hacia la inmunidad mundial”</w:t>
      </w:r>
      <w:r w:rsidRPr="00BC60E1">
        <w:t xml:space="preserve">. </w:t>
      </w:r>
    </w:p>
    <w:p w:rsidR="00522F72" w:rsidRPr="00BC60E1" w:rsidRDefault="00BC60E1" w:rsidP="00522F72">
      <w:pPr>
        <w:pStyle w:val="NormalWeb"/>
        <w:shd w:val="clear" w:color="auto" w:fill="FFFFFF"/>
        <w:jc w:val="both"/>
      </w:pPr>
      <w:r>
        <w:t>La expresión “gorila de 360 kilos”, viene del inglés “800 pound gorilla”</w:t>
      </w:r>
      <w:r w:rsidR="00522F72" w:rsidRPr="00BC60E1">
        <w:t>, que expresa el gran poder de una persona u organización, de modo que esta puede actuar sin tener en cuenta los derechos o necesidades de los demás. En este contexto, la expresión trata de explicar el poder del consumo de los hogares en Estados Unidos, que permite a esta economía ser casi inmune a la desaceleración del crecimiento en el resto de países.</w:t>
      </w:r>
    </w:p>
    <w:p w:rsidR="00522F72" w:rsidRPr="00BC60E1" w:rsidRDefault="00522F72" w:rsidP="00522F72">
      <w:pPr>
        <w:pStyle w:val="NormalWeb"/>
        <w:shd w:val="clear" w:color="auto" w:fill="FFFFFF"/>
        <w:jc w:val="both"/>
      </w:pPr>
      <w:r w:rsidRPr="00BC60E1">
        <w:lastRenderedPageBreak/>
        <w:t xml:space="preserve">LaVorgna comenta que los norteamericanos están </w:t>
      </w:r>
      <w:hyperlink r:id="rId36" w:history="1">
        <w:r w:rsidRPr="00BC60E1">
          <w:rPr>
            <w:rStyle w:val="Hipervnculo"/>
            <w:color w:val="auto"/>
            <w:u w:val="none"/>
          </w:rPr>
          <w:t>soportando muy bien la reciente caída de la bolsa</w:t>
        </w:r>
      </w:hyperlink>
      <w:r w:rsidRPr="00BC60E1">
        <w:t>, porque sus finanzas son fuertes. El precio de la vivienda ha rebotado y el de las acciones sigue siendo elevado a pesar de las últimas correcciones.</w:t>
      </w:r>
    </w:p>
    <w:p w:rsidR="00522F72" w:rsidRPr="00BC60E1" w:rsidRDefault="00522F72" w:rsidP="00522F72">
      <w:pPr>
        <w:pStyle w:val="NormalWeb"/>
        <w:shd w:val="clear" w:color="auto" w:fill="FFFFFF"/>
        <w:jc w:val="both"/>
      </w:pPr>
      <w:r w:rsidRPr="00BC60E1">
        <w:t>Estos dos hechos crean en las famili</w:t>
      </w:r>
      <w:r w:rsidR="00BC60E1">
        <w:t>as el conocido “efecto riqueza”</w:t>
      </w:r>
      <w:r w:rsidRPr="00BC60E1">
        <w:t>, el incremento del precio de los activos financieros e inmobi</w:t>
      </w:r>
      <w:r w:rsidR="00BC60E1">
        <w:t>liarios crea un sentimiento de “poder”</w:t>
      </w:r>
      <w:r w:rsidRPr="00BC60E1">
        <w:t xml:space="preserve"> económico en las familias que incentiva el consumo.</w:t>
      </w:r>
    </w:p>
    <w:p w:rsidR="00522F72" w:rsidRPr="00BC60E1" w:rsidRDefault="00522F72" w:rsidP="00522F72">
      <w:pPr>
        <w:pStyle w:val="NormalWeb"/>
        <w:shd w:val="clear" w:color="auto" w:fill="FFFFFF"/>
        <w:jc w:val="both"/>
      </w:pPr>
      <w:r w:rsidRPr="00BC60E1">
        <w:t xml:space="preserve">Dean Maki, economista jefe de Barclays </w:t>
      </w:r>
      <w:r w:rsidR="00BC60E1">
        <w:t>en Estados Unidos, explica que “</w:t>
      </w:r>
      <w:r w:rsidRPr="00BC60E1">
        <w:t>en un contexto de débil crecimiento mundial, depender del consumo es una gran noticia, gracias a ello las previsiones pa</w:t>
      </w:r>
      <w:r w:rsidR="00BC60E1">
        <w:t>ra Estados Unidos son positivas”</w:t>
      </w:r>
      <w:r w:rsidRPr="00BC60E1">
        <w:t>.</w:t>
      </w:r>
    </w:p>
    <w:p w:rsidR="00161F51" w:rsidRPr="00854DF5" w:rsidRDefault="00522F72" w:rsidP="00522F72">
      <w:pPr>
        <w:pStyle w:val="NormalWeb"/>
        <w:shd w:val="clear" w:color="auto" w:fill="FFFFFF"/>
        <w:jc w:val="both"/>
        <w:rPr>
          <w:color w:val="000000"/>
        </w:rPr>
      </w:pPr>
      <w:r w:rsidRPr="009C0E17">
        <w:rPr>
          <w:color w:val="000000"/>
        </w:rPr>
        <w:t> </w:t>
      </w:r>
      <w:r w:rsidRPr="009C0E17">
        <w:rPr>
          <w:i/>
          <w:iCs/>
          <w:noProof/>
          <w:color w:val="000000"/>
        </w:rPr>
        <w:drawing>
          <wp:inline distT="0" distB="0" distL="0" distR="0" wp14:anchorId="45E44CBB" wp14:editId="62607327">
            <wp:extent cx="5365750" cy="2159000"/>
            <wp:effectExtent l="0" t="0" r="6350" b="0"/>
            <wp:docPr id="25" name="Imagen 25" descr="http://s01.s3c.es/imag/_v0/630x341/2/b/9/consumo-u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01.s3c.es/imag/_v0/630x341/2/b/9/consumo-usa.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65750" cy="2159000"/>
                    </a:xfrm>
                    <a:prstGeom prst="rect">
                      <a:avLst/>
                    </a:prstGeom>
                    <a:noFill/>
                    <a:ln>
                      <a:noFill/>
                    </a:ln>
                  </pic:spPr>
                </pic:pic>
              </a:graphicData>
            </a:graphic>
          </wp:inline>
        </w:drawing>
      </w:r>
      <w:r w:rsidRPr="009C0E17">
        <w:rPr>
          <w:color w:val="000000"/>
        </w:rPr>
        <w:t xml:space="preserve"> </w:t>
      </w:r>
      <w:r w:rsidRPr="009C0E17">
        <w:rPr>
          <w:color w:val="000000"/>
        </w:rPr>
        <w:br/>
        <w:t xml:space="preserve">Consumo en miles de millones de dólares. </w:t>
      </w:r>
      <w:r w:rsidRPr="00854DF5">
        <w:rPr>
          <w:color w:val="000000"/>
        </w:rPr>
        <w:t xml:space="preserve">Fuente: </w:t>
      </w:r>
      <w:r w:rsidRPr="00854DF5">
        <w:rPr>
          <w:i/>
          <w:iCs/>
          <w:color w:val="000000"/>
        </w:rPr>
        <w:t>Bureau of Economic Analysis</w:t>
      </w:r>
      <w:r w:rsidRPr="00854DF5">
        <w:rPr>
          <w:color w:val="000000"/>
        </w:rPr>
        <w:t xml:space="preserve"> </w:t>
      </w:r>
    </w:p>
    <w:p w:rsidR="00161F51" w:rsidRPr="00161F51" w:rsidRDefault="00161F51" w:rsidP="00161F51">
      <w:pPr>
        <w:pStyle w:val="NormalWeb"/>
        <w:shd w:val="clear" w:color="auto" w:fill="FFFFFF"/>
        <w:jc w:val="both"/>
        <w:rPr>
          <w:b/>
        </w:rPr>
      </w:pPr>
      <w:r w:rsidRPr="00161F51">
        <w:rPr>
          <w:b/>
          <w:color w:val="000000"/>
        </w:rPr>
        <w:t>- Alemania, y su modelo económico altamente dependiente de la exportación</w:t>
      </w:r>
    </w:p>
    <w:p w:rsidR="00AB3464" w:rsidRPr="00161F51" w:rsidRDefault="00161F51" w:rsidP="00161F51">
      <w:pPr>
        <w:pStyle w:val="NormalWeb"/>
        <w:shd w:val="clear" w:color="auto" w:fill="FFFFFF"/>
        <w:jc w:val="both"/>
        <w:rPr>
          <w:b/>
        </w:rPr>
      </w:pPr>
      <w:r>
        <w:rPr>
          <w:i/>
        </w:rPr>
        <w:t>“</w:t>
      </w:r>
      <w:r w:rsidR="00AB3464" w:rsidRPr="00161F51">
        <w:rPr>
          <w:i/>
        </w:rPr>
        <w:t>El Departamento del Tesoro estadounidense criticó el miércoles a Alemania y a otras economías con superávit comerciales de depender demasiado de las exportaciones para crecer, y les pidió que realicen un mayor esfuerzo para incentivar el gasto de los consumidores y para apoyar a la recuperación de la economía mundial</w:t>
      </w:r>
      <w:r>
        <w:rPr>
          <w:i/>
        </w:rPr>
        <w:t>”..</w:t>
      </w:r>
      <w:r w:rsidR="00AB3464" w:rsidRPr="00161F51">
        <w:rPr>
          <w:i/>
        </w:rPr>
        <w:t xml:space="preserve">. </w:t>
      </w:r>
      <w:r>
        <w:rPr>
          <w:u w:val="single"/>
        </w:rPr>
        <w:t>EEUU</w:t>
      </w:r>
      <w:r w:rsidRPr="002B1788">
        <w:rPr>
          <w:u w:val="single"/>
        </w:rPr>
        <w:t xml:space="preserve"> pide a la euro zona que haga más para impulsar el crecimiento</w:t>
      </w:r>
      <w:r>
        <w:t xml:space="preserve"> (The Wall Street Journal - </w:t>
      </w:r>
      <w:r w:rsidRPr="00161F51">
        <w:rPr>
          <w:b/>
        </w:rPr>
        <w:t>16/10/14</w:t>
      </w:r>
      <w:r>
        <w:t>)</w:t>
      </w:r>
    </w:p>
    <w:p w:rsidR="00AB3464" w:rsidRPr="00161F51" w:rsidRDefault="00AB3464" w:rsidP="00AB3464">
      <w:pPr>
        <w:shd w:val="clear" w:color="auto" w:fill="FFFFFF"/>
        <w:spacing w:after="0" w:line="240" w:lineRule="auto"/>
        <w:jc w:val="both"/>
        <w:rPr>
          <w:rFonts w:ascii="Times New Roman" w:hAnsi="Times New Roman"/>
          <w:sz w:val="24"/>
          <w:szCs w:val="24"/>
        </w:rPr>
      </w:pPr>
      <w:r w:rsidRPr="002B1788">
        <w:rPr>
          <w:rFonts w:ascii="Times New Roman" w:hAnsi="Times New Roman"/>
          <w:sz w:val="24"/>
          <w:szCs w:val="24"/>
        </w:rPr>
        <w:t xml:space="preserve">En el informe semestral sobre políticas de tipos de cambio de los principales socios comerciales que el Tesoro envió al Congreso, </w:t>
      </w:r>
      <w:r w:rsidRPr="00161F51">
        <w:rPr>
          <w:rFonts w:ascii="Times New Roman" w:hAnsi="Times New Roman"/>
          <w:sz w:val="24"/>
          <w:szCs w:val="24"/>
        </w:rPr>
        <w:t xml:space="preserve">la Administración Obama también pidió cuentas a China y Corea del Sur por sus actuales políticas, que en su opinión minan las perspectivas de crecimiento de otras economías. </w:t>
      </w:r>
    </w:p>
    <w:p w:rsidR="00AB3464" w:rsidRPr="00161F51" w:rsidRDefault="00AB3464" w:rsidP="00AB3464">
      <w:pPr>
        <w:shd w:val="clear" w:color="auto" w:fill="FFFFFF"/>
        <w:spacing w:after="0" w:line="240" w:lineRule="auto"/>
        <w:jc w:val="both"/>
        <w:rPr>
          <w:rFonts w:ascii="Times New Roman" w:hAnsi="Times New Roman"/>
          <w:sz w:val="24"/>
          <w:szCs w:val="24"/>
        </w:rPr>
      </w:pPr>
    </w:p>
    <w:p w:rsidR="00AB3464" w:rsidRPr="002B1788" w:rsidRDefault="00AB3464" w:rsidP="00AB3464">
      <w:pPr>
        <w:shd w:val="clear" w:color="auto" w:fill="FFFFFF"/>
        <w:spacing w:after="0" w:line="240" w:lineRule="auto"/>
        <w:jc w:val="both"/>
        <w:rPr>
          <w:rFonts w:ascii="Times New Roman" w:hAnsi="Times New Roman"/>
          <w:sz w:val="24"/>
          <w:szCs w:val="24"/>
        </w:rPr>
      </w:pPr>
      <w:r w:rsidRPr="002B1788">
        <w:rPr>
          <w:rFonts w:ascii="Times New Roman" w:hAnsi="Times New Roman"/>
          <w:sz w:val="24"/>
          <w:szCs w:val="24"/>
        </w:rPr>
        <w:t xml:space="preserve">El Tesoro también dijo que aunque Japón necesita calibrar su ajuste presupuestario para evitar deprimir el crecimiento, no puede depender de los estímulos del Banco de Japón para apoyar a su economía. Las políticas monetarias laxas del Banco de Japón, que debilitan al yen, han afectado a los fabricantes de automóviles estadounidenses. </w:t>
      </w:r>
    </w:p>
    <w:p w:rsidR="00AB3464" w:rsidRPr="002B1788" w:rsidRDefault="00AB3464" w:rsidP="00AB3464">
      <w:pPr>
        <w:shd w:val="clear" w:color="auto" w:fill="FFFFFF"/>
        <w:spacing w:after="0" w:line="240" w:lineRule="auto"/>
        <w:jc w:val="both"/>
        <w:rPr>
          <w:rFonts w:ascii="Times New Roman" w:hAnsi="Times New Roman"/>
          <w:sz w:val="24"/>
          <w:szCs w:val="24"/>
        </w:rPr>
      </w:pPr>
    </w:p>
    <w:p w:rsidR="00AB3464" w:rsidRPr="002B1788" w:rsidRDefault="00AB3464" w:rsidP="00AB3464">
      <w:pPr>
        <w:shd w:val="clear" w:color="auto" w:fill="FFFFFF"/>
        <w:spacing w:after="0" w:line="240" w:lineRule="auto"/>
        <w:jc w:val="both"/>
        <w:rPr>
          <w:rFonts w:ascii="Times New Roman" w:hAnsi="Times New Roman"/>
          <w:sz w:val="24"/>
          <w:szCs w:val="24"/>
        </w:rPr>
      </w:pPr>
      <w:r w:rsidRPr="002B1788">
        <w:rPr>
          <w:rFonts w:ascii="Times New Roman" w:hAnsi="Times New Roman"/>
          <w:sz w:val="24"/>
          <w:szCs w:val="24"/>
        </w:rPr>
        <w:t xml:space="preserve">“El crecimiento mundial y la creación de empleo siguen decepcionando debido principalmente a una demanda mundial crónicamente débil”, dijo el Tesoro en un comunicado adjuntado al informe exigido por el Congreso. </w:t>
      </w:r>
    </w:p>
    <w:p w:rsidR="00AB3464" w:rsidRPr="002B1788" w:rsidRDefault="00AB3464" w:rsidP="00AB3464">
      <w:pPr>
        <w:shd w:val="clear" w:color="auto" w:fill="FFFFFF"/>
        <w:spacing w:after="0" w:line="240" w:lineRule="auto"/>
        <w:jc w:val="both"/>
        <w:rPr>
          <w:rFonts w:ascii="Times New Roman" w:hAnsi="Times New Roman"/>
          <w:sz w:val="24"/>
          <w:szCs w:val="24"/>
        </w:rPr>
      </w:pPr>
    </w:p>
    <w:p w:rsidR="00AB3464" w:rsidRPr="002B1788" w:rsidRDefault="00AB3464" w:rsidP="00AB3464">
      <w:pPr>
        <w:shd w:val="clear" w:color="auto" w:fill="FFFFFF"/>
        <w:spacing w:after="0" w:line="240" w:lineRule="auto"/>
        <w:jc w:val="both"/>
        <w:rPr>
          <w:rFonts w:ascii="Times New Roman" w:hAnsi="Times New Roman"/>
          <w:sz w:val="24"/>
          <w:szCs w:val="24"/>
        </w:rPr>
      </w:pPr>
      <w:r w:rsidRPr="002B1788">
        <w:rPr>
          <w:rFonts w:ascii="Times New Roman" w:hAnsi="Times New Roman"/>
          <w:sz w:val="24"/>
          <w:szCs w:val="24"/>
        </w:rPr>
        <w:lastRenderedPageBreak/>
        <w:t xml:space="preserve">El Tesoro a menudo utiliza el informe sobre divisas como una herramienta diplomática para reprobar las políticas de sus grandes socios comerciales que considera dañinas para Estados Unidos. </w:t>
      </w:r>
    </w:p>
    <w:p w:rsidR="00AB3464" w:rsidRPr="002B1788" w:rsidRDefault="00AB3464" w:rsidP="00AB3464">
      <w:pPr>
        <w:shd w:val="clear" w:color="auto" w:fill="FFFFFF"/>
        <w:spacing w:after="0" w:line="240" w:lineRule="auto"/>
        <w:jc w:val="both"/>
        <w:rPr>
          <w:rFonts w:ascii="Times New Roman" w:hAnsi="Times New Roman"/>
          <w:sz w:val="24"/>
          <w:szCs w:val="24"/>
        </w:rPr>
      </w:pPr>
    </w:p>
    <w:p w:rsidR="00AB3464" w:rsidRPr="002B1788" w:rsidRDefault="00AB3464" w:rsidP="00AB3464">
      <w:pPr>
        <w:shd w:val="clear" w:color="auto" w:fill="FFFFFF"/>
        <w:spacing w:after="0" w:line="240" w:lineRule="auto"/>
        <w:jc w:val="both"/>
        <w:rPr>
          <w:rFonts w:ascii="Times New Roman" w:hAnsi="Times New Roman"/>
          <w:sz w:val="24"/>
          <w:szCs w:val="24"/>
        </w:rPr>
      </w:pPr>
      <w:r w:rsidRPr="002B1788">
        <w:rPr>
          <w:rFonts w:ascii="Times New Roman" w:hAnsi="Times New Roman"/>
          <w:sz w:val="24"/>
          <w:szCs w:val="24"/>
        </w:rPr>
        <w:t xml:space="preserve">“El interés del informe en los superávit por cuenta corriente de países como Alemania y en los riesgos deflacionistas en Europa y Japón apunta a los temores de Estados Unidos sobre la sostenibilidad de su propia recuperación si Estados Unidos es el único motor del crecimiento mundial”, dijo Eswar Prasad, miembro de la Brookings Institution y antiguo economista del Fondo Monetario Internacional. </w:t>
      </w:r>
    </w:p>
    <w:p w:rsidR="00AB3464" w:rsidRPr="002B1788" w:rsidRDefault="00AB3464" w:rsidP="00AB3464">
      <w:pPr>
        <w:shd w:val="clear" w:color="auto" w:fill="FFFFFF"/>
        <w:spacing w:after="0" w:line="240" w:lineRule="auto"/>
        <w:jc w:val="both"/>
        <w:rPr>
          <w:rFonts w:ascii="Times New Roman" w:hAnsi="Times New Roman"/>
          <w:sz w:val="24"/>
          <w:szCs w:val="24"/>
        </w:rPr>
      </w:pPr>
    </w:p>
    <w:p w:rsidR="00AB3464" w:rsidRPr="00161F51" w:rsidRDefault="00161F51" w:rsidP="00AB3464">
      <w:pPr>
        <w:shd w:val="clear" w:color="auto" w:fill="FFFFFF"/>
        <w:spacing w:after="0" w:line="240" w:lineRule="auto"/>
        <w:jc w:val="both"/>
        <w:rPr>
          <w:rFonts w:ascii="Times New Roman" w:hAnsi="Times New Roman"/>
          <w:sz w:val="24"/>
          <w:szCs w:val="24"/>
        </w:rPr>
      </w:pPr>
      <w:r>
        <w:rPr>
          <w:rFonts w:ascii="Times New Roman" w:hAnsi="Times New Roman"/>
          <w:sz w:val="24"/>
          <w:szCs w:val="24"/>
        </w:rPr>
        <w:t>El informe del 15/10/14</w:t>
      </w:r>
      <w:r w:rsidR="00AB3464" w:rsidRPr="00161F51">
        <w:rPr>
          <w:rFonts w:ascii="Times New Roman" w:hAnsi="Times New Roman"/>
          <w:sz w:val="24"/>
          <w:szCs w:val="24"/>
        </w:rPr>
        <w:t xml:space="preserve"> se conoce después de que el dólar repuntara recientemente a máximos de cinco años frente a una cesta de divisas. A las autoridades estadounidenses les preocupa que la fortaleza del dólar pueda minar la recuperación de la economía del país, que ha estado mostrando señales de perder ritmo. </w:t>
      </w:r>
    </w:p>
    <w:p w:rsidR="00AB3464" w:rsidRPr="0067784B" w:rsidRDefault="00AB3464" w:rsidP="00AB3464">
      <w:pPr>
        <w:shd w:val="clear" w:color="auto" w:fill="FFFFFF"/>
        <w:spacing w:after="0" w:line="240" w:lineRule="auto"/>
        <w:jc w:val="both"/>
        <w:rPr>
          <w:rFonts w:ascii="Times New Roman" w:hAnsi="Times New Roman"/>
          <w:sz w:val="24"/>
          <w:szCs w:val="24"/>
          <w:u w:val="single"/>
        </w:rPr>
      </w:pPr>
    </w:p>
    <w:p w:rsidR="00AB3464" w:rsidRPr="002B1788" w:rsidRDefault="00AB3464" w:rsidP="00AB3464">
      <w:pPr>
        <w:shd w:val="clear" w:color="auto" w:fill="FFFFFF"/>
        <w:spacing w:after="0" w:line="240" w:lineRule="auto"/>
        <w:jc w:val="both"/>
        <w:rPr>
          <w:rFonts w:ascii="Times New Roman" w:hAnsi="Times New Roman"/>
          <w:sz w:val="24"/>
          <w:szCs w:val="24"/>
        </w:rPr>
      </w:pPr>
      <w:r w:rsidRPr="002B1788">
        <w:rPr>
          <w:rFonts w:ascii="Times New Roman" w:hAnsi="Times New Roman"/>
          <w:sz w:val="24"/>
          <w:szCs w:val="24"/>
        </w:rPr>
        <w:t xml:space="preserve">“En vista del contexto de debilitamiento mundial, es especialmente importante que todos los países del G7 y del G20 se adhieran rápidamente a sus compromisos de tipos de cambio”, dijo Jacob Lew, secretario del Tesoro durante las reuniones del FMI en Washington el fin de semana pasado. </w:t>
      </w:r>
    </w:p>
    <w:p w:rsidR="00AB3464" w:rsidRPr="002B1788" w:rsidRDefault="00AB3464" w:rsidP="00AB3464">
      <w:pPr>
        <w:shd w:val="clear" w:color="auto" w:fill="FFFFFF"/>
        <w:spacing w:after="0" w:line="240" w:lineRule="auto"/>
        <w:jc w:val="both"/>
        <w:rPr>
          <w:rFonts w:ascii="Times New Roman" w:hAnsi="Times New Roman"/>
          <w:sz w:val="24"/>
          <w:szCs w:val="24"/>
        </w:rPr>
      </w:pPr>
    </w:p>
    <w:p w:rsidR="00AB3464" w:rsidRPr="002B1788" w:rsidRDefault="00AB3464" w:rsidP="00AB3464">
      <w:pPr>
        <w:shd w:val="clear" w:color="auto" w:fill="FFFFFF"/>
        <w:spacing w:after="0" w:line="240" w:lineRule="auto"/>
        <w:jc w:val="both"/>
        <w:rPr>
          <w:rFonts w:ascii="Times New Roman" w:hAnsi="Times New Roman"/>
          <w:sz w:val="24"/>
          <w:szCs w:val="24"/>
        </w:rPr>
      </w:pPr>
      <w:r w:rsidRPr="002B1788">
        <w:rPr>
          <w:rFonts w:ascii="Times New Roman" w:hAnsi="Times New Roman"/>
          <w:sz w:val="24"/>
          <w:szCs w:val="24"/>
        </w:rPr>
        <w:t xml:space="preserve">No obstante, pese a las recientes subidas del dólar, el informe del Tesoro utilizó un tono más suave que en informes anteriores. El año pasado, el Tesoro criticó duramente a Alemania por sus políticas económicas y acusó al país de arrastrar a la eurozona y a las economías mundiales. </w:t>
      </w:r>
    </w:p>
    <w:p w:rsidR="00AB3464" w:rsidRPr="002B1788" w:rsidRDefault="00AB3464" w:rsidP="00AB3464">
      <w:pPr>
        <w:shd w:val="clear" w:color="auto" w:fill="FFFFFF"/>
        <w:spacing w:after="0" w:line="240" w:lineRule="auto"/>
        <w:jc w:val="both"/>
        <w:rPr>
          <w:rFonts w:ascii="Times New Roman" w:hAnsi="Times New Roman"/>
          <w:sz w:val="24"/>
          <w:szCs w:val="24"/>
        </w:rPr>
      </w:pPr>
    </w:p>
    <w:p w:rsidR="00AB3464" w:rsidRDefault="00AB3464" w:rsidP="00AB3464">
      <w:pPr>
        <w:shd w:val="clear" w:color="auto" w:fill="FFFFFF"/>
        <w:spacing w:after="0" w:line="240" w:lineRule="auto"/>
        <w:jc w:val="both"/>
        <w:rPr>
          <w:rFonts w:ascii="Times New Roman" w:hAnsi="Times New Roman"/>
          <w:sz w:val="24"/>
          <w:szCs w:val="24"/>
        </w:rPr>
      </w:pPr>
      <w:r w:rsidRPr="002B1788">
        <w:rPr>
          <w:rFonts w:ascii="Times New Roman" w:hAnsi="Times New Roman"/>
          <w:sz w:val="24"/>
          <w:szCs w:val="24"/>
        </w:rPr>
        <w:t>Los esfuerzos realizados por los países de la eurozona más afectados para reducir sus déficit y sus deudas “no han sido acompañados de políticas acomodaticias en el núcleo de la eurozona”, dijo el Tesoro en su informe. Lew indicó que sus asistentes han instado a Alemania a aumentar su presupuesto para impulsar la demanda interna y permitir que el Banco Central Europeo compre los activos de los países más débiles para ayudar a estimular el crecimiento.</w:t>
      </w:r>
    </w:p>
    <w:p w:rsidR="00161F51" w:rsidRDefault="00161F51" w:rsidP="00AB3464">
      <w:pPr>
        <w:shd w:val="clear" w:color="auto" w:fill="FFFFFF"/>
        <w:spacing w:after="0" w:line="240" w:lineRule="auto"/>
        <w:jc w:val="both"/>
        <w:rPr>
          <w:rFonts w:ascii="Times New Roman" w:hAnsi="Times New Roman"/>
          <w:sz w:val="24"/>
          <w:szCs w:val="24"/>
        </w:rPr>
      </w:pPr>
    </w:p>
    <w:p w:rsidR="00161F51" w:rsidRDefault="007C4487" w:rsidP="007C4487">
      <w:pPr>
        <w:shd w:val="clear" w:color="auto" w:fill="FFFFFF"/>
        <w:spacing w:after="0" w:line="240" w:lineRule="auto"/>
        <w:jc w:val="both"/>
        <w:rPr>
          <w:rFonts w:ascii="Times New Roman" w:hAnsi="Times New Roman"/>
          <w:b/>
          <w:sz w:val="24"/>
          <w:szCs w:val="24"/>
        </w:rPr>
      </w:pPr>
      <w:r w:rsidRPr="007C4487">
        <w:rPr>
          <w:rFonts w:ascii="Times New Roman" w:hAnsi="Times New Roman"/>
          <w:b/>
          <w:sz w:val="24"/>
          <w:szCs w:val="24"/>
        </w:rPr>
        <w:t xml:space="preserve">- </w:t>
      </w:r>
      <w:r>
        <w:rPr>
          <w:rFonts w:ascii="Times New Roman" w:hAnsi="Times New Roman"/>
          <w:b/>
          <w:sz w:val="24"/>
          <w:szCs w:val="24"/>
        </w:rPr>
        <w:t xml:space="preserve">Desesperada </w:t>
      </w:r>
      <w:r w:rsidRPr="007C4487">
        <w:rPr>
          <w:rFonts w:ascii="Times New Roman" w:hAnsi="Times New Roman"/>
          <w:b/>
          <w:sz w:val="24"/>
          <w:szCs w:val="24"/>
        </w:rPr>
        <w:t xml:space="preserve">por </w:t>
      </w:r>
      <w:r w:rsidR="00A62173">
        <w:rPr>
          <w:rFonts w:ascii="Times New Roman" w:hAnsi="Times New Roman"/>
          <w:b/>
          <w:sz w:val="24"/>
          <w:szCs w:val="24"/>
        </w:rPr>
        <w:t>incrementar el</w:t>
      </w:r>
      <w:r w:rsidRPr="007C4487">
        <w:rPr>
          <w:rFonts w:ascii="Times New Roman" w:hAnsi="Times New Roman"/>
          <w:b/>
          <w:sz w:val="24"/>
          <w:szCs w:val="24"/>
        </w:rPr>
        <w:t xml:space="preserve"> PIB</w:t>
      </w:r>
      <w:r>
        <w:rPr>
          <w:rFonts w:ascii="Times New Roman" w:hAnsi="Times New Roman"/>
          <w:b/>
          <w:sz w:val="24"/>
          <w:szCs w:val="24"/>
        </w:rPr>
        <w:t>,</w:t>
      </w:r>
      <w:r w:rsidRPr="007C4487">
        <w:rPr>
          <w:rFonts w:ascii="Times New Roman" w:hAnsi="Times New Roman"/>
          <w:b/>
          <w:sz w:val="24"/>
          <w:szCs w:val="24"/>
        </w:rPr>
        <w:t xml:space="preserve"> Europa computa a las putas: “E la nave va”</w:t>
      </w:r>
    </w:p>
    <w:p w:rsidR="007C4487" w:rsidRDefault="007C4487" w:rsidP="007C4487">
      <w:pPr>
        <w:shd w:val="clear" w:color="auto" w:fill="FFFFFF"/>
        <w:spacing w:after="0" w:line="240" w:lineRule="auto"/>
        <w:jc w:val="both"/>
        <w:rPr>
          <w:rFonts w:ascii="Times New Roman" w:hAnsi="Times New Roman"/>
          <w:b/>
          <w:sz w:val="24"/>
          <w:szCs w:val="24"/>
        </w:rPr>
      </w:pPr>
    </w:p>
    <w:p w:rsidR="007C4487" w:rsidRPr="007C4487" w:rsidRDefault="007C4487" w:rsidP="007C4487">
      <w:pPr>
        <w:shd w:val="clear" w:color="auto" w:fill="FFFFFF"/>
        <w:spacing w:after="0" w:line="240" w:lineRule="auto"/>
        <w:jc w:val="both"/>
        <w:rPr>
          <w:rFonts w:ascii="Times New Roman" w:hAnsi="Times New Roman"/>
          <w:sz w:val="24"/>
          <w:szCs w:val="24"/>
        </w:rPr>
      </w:pPr>
      <w:r>
        <w:rPr>
          <w:rFonts w:ascii="Times New Roman" w:hAnsi="Times New Roman"/>
          <w:sz w:val="24"/>
          <w:szCs w:val="24"/>
        </w:rPr>
        <w:t>Un “sospechoso” (¿desesperado? ¿cínico?) cambio metodológico, permite a la Unión Europea aumentar su PIB: “Gracias a las putas que han follado tanto” (diría una canción)… Con un poco más de “alegría” y alcanzamos el PIB de China. “Que se vengan las putas del todo el mundo” (diría otra canción). Y si con las putas no alcanza, se agrega</w:t>
      </w:r>
      <w:r w:rsidR="00A62173">
        <w:rPr>
          <w:rFonts w:ascii="Times New Roman" w:hAnsi="Times New Roman"/>
          <w:sz w:val="24"/>
          <w:szCs w:val="24"/>
        </w:rPr>
        <w:t xml:space="preserve"> el tráfico de</w:t>
      </w:r>
      <w:r>
        <w:rPr>
          <w:rFonts w:ascii="Times New Roman" w:hAnsi="Times New Roman"/>
          <w:sz w:val="24"/>
          <w:szCs w:val="24"/>
        </w:rPr>
        <w:t xml:space="preserve"> droga</w:t>
      </w:r>
      <w:r w:rsidR="00A62173">
        <w:rPr>
          <w:rFonts w:ascii="Times New Roman" w:hAnsi="Times New Roman"/>
          <w:sz w:val="24"/>
          <w:szCs w:val="24"/>
        </w:rPr>
        <w:t>s</w:t>
      </w:r>
      <w:r>
        <w:rPr>
          <w:rFonts w:ascii="Times New Roman" w:hAnsi="Times New Roman"/>
          <w:sz w:val="24"/>
          <w:szCs w:val="24"/>
        </w:rPr>
        <w:t>, el contrabando…</w:t>
      </w:r>
      <w:r w:rsidR="00A62173">
        <w:rPr>
          <w:rFonts w:ascii="Times New Roman" w:hAnsi="Times New Roman"/>
          <w:sz w:val="24"/>
          <w:szCs w:val="24"/>
        </w:rPr>
        <w:t xml:space="preserve"> y alguna otra actividad criminal. O sea. </w:t>
      </w:r>
    </w:p>
    <w:p w:rsidR="00AB3464" w:rsidRDefault="00AB3464" w:rsidP="00AB3464">
      <w:pPr>
        <w:shd w:val="clear" w:color="auto" w:fill="FFFFFF"/>
        <w:spacing w:after="0" w:line="240" w:lineRule="auto"/>
        <w:jc w:val="both"/>
        <w:rPr>
          <w:rFonts w:ascii="Times New Roman" w:hAnsi="Times New Roman"/>
          <w:sz w:val="24"/>
          <w:szCs w:val="24"/>
        </w:rPr>
      </w:pPr>
    </w:p>
    <w:p w:rsidR="00A62173" w:rsidRDefault="00A62173" w:rsidP="00A62173">
      <w:pPr>
        <w:shd w:val="clear" w:color="auto" w:fill="FFFFFF"/>
        <w:spacing w:after="0" w:line="240" w:lineRule="auto"/>
        <w:jc w:val="both"/>
        <w:rPr>
          <w:rFonts w:ascii="Times New Roman" w:hAnsi="Times New Roman"/>
          <w:sz w:val="24"/>
          <w:szCs w:val="24"/>
        </w:rPr>
      </w:pPr>
      <w:r>
        <w:rPr>
          <w:rFonts w:ascii="Times New Roman" w:hAnsi="Times New Roman"/>
          <w:i/>
          <w:sz w:val="24"/>
          <w:szCs w:val="24"/>
        </w:rPr>
        <w:t>“</w:t>
      </w:r>
      <w:r w:rsidR="00AB3464" w:rsidRPr="00A62173">
        <w:rPr>
          <w:rFonts w:ascii="Times New Roman" w:hAnsi="Times New Roman"/>
          <w:i/>
          <w:sz w:val="24"/>
          <w:szCs w:val="24"/>
        </w:rPr>
        <w:t>El producto interior bruto (PIB) de la de la Unión Europea (UE) aumentó hoy oficialmente un 3,7%, tras la introducción de una revisión metodológica y estadística que tiene en cuenta actividades económicas ilegales como el tráfico de drogas y la prostitución. El cambio también afectó al PIB de la zona del euro, que se elevó un 3,5%, así como a España, que registró una expansión de su economía de un 3,3%, según las cifras publicadas hoy por la oficina comunitaria estadística, Eurostat</w:t>
      </w:r>
      <w:r>
        <w:rPr>
          <w:rFonts w:ascii="Times New Roman" w:hAnsi="Times New Roman"/>
          <w:i/>
          <w:sz w:val="24"/>
          <w:szCs w:val="24"/>
        </w:rPr>
        <w:t>”..</w:t>
      </w:r>
      <w:r w:rsidR="00AB3464" w:rsidRPr="00A62173">
        <w:rPr>
          <w:rFonts w:ascii="Times New Roman" w:hAnsi="Times New Roman"/>
          <w:i/>
          <w:sz w:val="24"/>
          <w:szCs w:val="24"/>
        </w:rPr>
        <w:t>.</w:t>
      </w:r>
      <w:r>
        <w:rPr>
          <w:rFonts w:ascii="Times New Roman" w:hAnsi="Times New Roman"/>
          <w:i/>
          <w:sz w:val="24"/>
          <w:szCs w:val="24"/>
        </w:rPr>
        <w:t xml:space="preserve"> </w:t>
      </w:r>
      <w:r w:rsidRPr="004662CD">
        <w:rPr>
          <w:rFonts w:ascii="Times New Roman" w:hAnsi="Times New Roman"/>
          <w:sz w:val="24"/>
          <w:szCs w:val="24"/>
          <w:u w:val="single"/>
        </w:rPr>
        <w:t>El PIB de la zona euro sube un 3,5% contando las drogas</w:t>
      </w:r>
      <w:r>
        <w:rPr>
          <w:rFonts w:ascii="Times New Roman" w:hAnsi="Times New Roman"/>
          <w:sz w:val="24"/>
          <w:szCs w:val="24"/>
        </w:rPr>
        <w:t xml:space="preserve"> (Cinco Días - </w:t>
      </w:r>
      <w:r>
        <w:rPr>
          <w:rFonts w:ascii="Times New Roman" w:hAnsi="Times New Roman"/>
          <w:b/>
          <w:sz w:val="24"/>
          <w:szCs w:val="24"/>
        </w:rPr>
        <w:t>17</w:t>
      </w:r>
      <w:r w:rsidRPr="004662CD">
        <w:rPr>
          <w:rFonts w:ascii="Times New Roman" w:hAnsi="Times New Roman"/>
          <w:b/>
          <w:sz w:val="24"/>
          <w:szCs w:val="24"/>
        </w:rPr>
        <w:t>/10/14</w:t>
      </w:r>
      <w:r>
        <w:rPr>
          <w:rFonts w:ascii="Times New Roman" w:hAnsi="Times New Roman"/>
          <w:sz w:val="24"/>
          <w:szCs w:val="24"/>
        </w:rPr>
        <w:t>)</w:t>
      </w:r>
    </w:p>
    <w:p w:rsidR="00AB3464" w:rsidRPr="00A62173" w:rsidRDefault="00AB3464" w:rsidP="00AB3464">
      <w:pPr>
        <w:shd w:val="clear" w:color="auto" w:fill="FFFFFF"/>
        <w:spacing w:after="0" w:line="240" w:lineRule="auto"/>
        <w:jc w:val="both"/>
        <w:rPr>
          <w:rFonts w:ascii="Times New Roman" w:hAnsi="Times New Roman"/>
          <w:i/>
          <w:sz w:val="24"/>
          <w:szCs w:val="24"/>
        </w:rPr>
      </w:pPr>
    </w:p>
    <w:p w:rsidR="00AB3464" w:rsidRPr="00A62173" w:rsidRDefault="00AB3464" w:rsidP="00AB3464">
      <w:pPr>
        <w:shd w:val="clear" w:color="auto" w:fill="FFFFFF"/>
        <w:spacing w:after="0" w:line="240" w:lineRule="auto"/>
        <w:jc w:val="both"/>
        <w:rPr>
          <w:rFonts w:ascii="Times New Roman" w:hAnsi="Times New Roman"/>
          <w:i/>
          <w:sz w:val="24"/>
          <w:szCs w:val="24"/>
        </w:rPr>
      </w:pPr>
    </w:p>
    <w:p w:rsidR="00AB3464" w:rsidRPr="00A62173" w:rsidRDefault="00AB3464"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lastRenderedPageBreak/>
        <w:t>Estos datos incorporan la metodología del Sistema Europeo de Cuentas (SEC) 2010, vigente en toda la Unión Europea desde el 1 de septiembre, que incluye información estadística nueva y de actividades ilegales como la producción y tráfico de drogas, la venta de objetos robados, la prostitución y el contrabando.</w:t>
      </w:r>
    </w:p>
    <w:p w:rsidR="00AB3464" w:rsidRPr="00A62173" w:rsidRDefault="00AB3464" w:rsidP="00AB3464">
      <w:pPr>
        <w:shd w:val="clear" w:color="auto" w:fill="FFFFFF"/>
        <w:spacing w:after="0" w:line="240" w:lineRule="auto"/>
        <w:jc w:val="both"/>
        <w:rPr>
          <w:rFonts w:ascii="Times New Roman" w:hAnsi="Times New Roman"/>
          <w:sz w:val="24"/>
          <w:szCs w:val="24"/>
        </w:rPr>
      </w:pPr>
    </w:p>
    <w:p w:rsidR="00AB3464" w:rsidRPr="00A62173" w:rsidRDefault="00AB3464"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t>Chipre, con un aumento del 9,5%, y Holanda, con un 7,6%, destacaron entre el resto de los socios comunitarios, aunque una experta de la Comisión Europea indicó que estas alzas no reflejan directamente que exista una gran cantidad de actividades ilegales en ambos países.</w:t>
      </w:r>
    </w:p>
    <w:p w:rsidR="00AB3464" w:rsidRPr="00A62173" w:rsidRDefault="00AB3464" w:rsidP="00AB3464">
      <w:pPr>
        <w:shd w:val="clear" w:color="auto" w:fill="FFFFFF"/>
        <w:spacing w:after="0" w:line="240" w:lineRule="auto"/>
        <w:jc w:val="both"/>
        <w:rPr>
          <w:rFonts w:ascii="Times New Roman" w:hAnsi="Times New Roman"/>
          <w:sz w:val="24"/>
          <w:szCs w:val="24"/>
        </w:rPr>
      </w:pPr>
    </w:p>
    <w:p w:rsidR="00AB3464" w:rsidRPr="00A62173" w:rsidRDefault="00AB3464"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t>En el caso de Chipre, la experta relacionó la revisión al alza con la dificultad de medir los efectos de “grandes movimientos de población”, mientras que en el caso holandés apuntó a la “incorporación de nuevas fuentes de datos”.</w:t>
      </w:r>
    </w:p>
    <w:p w:rsidR="00AB3464" w:rsidRPr="00A62173" w:rsidRDefault="00AB3464" w:rsidP="00AB3464">
      <w:pPr>
        <w:shd w:val="clear" w:color="auto" w:fill="FFFFFF"/>
        <w:spacing w:after="0" w:line="240" w:lineRule="auto"/>
        <w:jc w:val="both"/>
        <w:rPr>
          <w:rFonts w:ascii="Times New Roman" w:hAnsi="Times New Roman"/>
          <w:sz w:val="24"/>
          <w:szCs w:val="24"/>
        </w:rPr>
      </w:pPr>
    </w:p>
    <w:p w:rsidR="00AB3464" w:rsidRPr="00A62173" w:rsidRDefault="00AB3464"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t>En el extremo contrario se encuentran Luxemburgo, con una escueta subida del 0,2%, y Letonia, cuyo PIB retrocedió un 0,1%.</w:t>
      </w:r>
    </w:p>
    <w:p w:rsidR="00AB3464" w:rsidRPr="00A62173" w:rsidRDefault="00AB3464" w:rsidP="00AB3464">
      <w:pPr>
        <w:shd w:val="clear" w:color="auto" w:fill="FFFFFF"/>
        <w:spacing w:after="0" w:line="240" w:lineRule="auto"/>
        <w:jc w:val="both"/>
        <w:rPr>
          <w:rFonts w:ascii="Times New Roman" w:hAnsi="Times New Roman"/>
          <w:sz w:val="24"/>
          <w:szCs w:val="24"/>
        </w:rPr>
      </w:pPr>
    </w:p>
    <w:p w:rsidR="00AB3464" w:rsidRPr="00A62173" w:rsidRDefault="00AB3464"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t>Por otra parte, Eurostat recalcó en un comunicado que los efectos de los cambios metodológicos y estadísticos sobre las tasas de crecimiento en la UE y la zona del euro son “muy débiles”.</w:t>
      </w:r>
    </w:p>
    <w:p w:rsidR="00AB3464" w:rsidRPr="00A62173" w:rsidRDefault="00AB3464" w:rsidP="00AB3464">
      <w:pPr>
        <w:shd w:val="clear" w:color="auto" w:fill="FFFFFF"/>
        <w:spacing w:after="0" w:line="240" w:lineRule="auto"/>
        <w:jc w:val="both"/>
        <w:rPr>
          <w:rFonts w:ascii="Times New Roman" w:hAnsi="Times New Roman"/>
          <w:sz w:val="24"/>
          <w:szCs w:val="24"/>
        </w:rPr>
      </w:pPr>
    </w:p>
    <w:p w:rsidR="00AB3464" w:rsidRPr="00A62173" w:rsidRDefault="00AB3464"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t>“En el periodo 1997-2013, la variación de las tasas de crecimiento anual del PIB se establece en torno a un 0,1 punto porcentual tanto por la zona del euro como para el conjunto de la UE”, explicó la oficina comunitaria.</w:t>
      </w:r>
    </w:p>
    <w:p w:rsidR="00AB3464" w:rsidRPr="00A62173" w:rsidRDefault="00AB3464" w:rsidP="00AB3464">
      <w:pPr>
        <w:shd w:val="clear" w:color="auto" w:fill="FFFFFF"/>
        <w:spacing w:after="0" w:line="240" w:lineRule="auto"/>
        <w:jc w:val="both"/>
        <w:rPr>
          <w:rFonts w:ascii="Times New Roman" w:hAnsi="Times New Roman"/>
          <w:sz w:val="24"/>
          <w:szCs w:val="24"/>
        </w:rPr>
      </w:pPr>
    </w:p>
    <w:p w:rsidR="00AB3464" w:rsidRPr="00A62173" w:rsidRDefault="00AB3464"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t>Los cambios también afectarán al cálculo del déficit y de la deuda tanto de los países como a nivel europeo, aunque las fuentes comunitarias no quisieron entrar en detalles antes de que Eurostat publique el próximo martes su la segunda notificación de los datos de la deuda y del déficit.</w:t>
      </w:r>
    </w:p>
    <w:p w:rsidR="00AB3464" w:rsidRPr="00A62173" w:rsidRDefault="00AB3464" w:rsidP="00AB3464">
      <w:pPr>
        <w:shd w:val="clear" w:color="auto" w:fill="FFFFFF"/>
        <w:spacing w:after="0" w:line="240" w:lineRule="auto"/>
        <w:jc w:val="both"/>
        <w:rPr>
          <w:rFonts w:ascii="Times New Roman" w:hAnsi="Times New Roman"/>
          <w:sz w:val="24"/>
          <w:szCs w:val="24"/>
        </w:rPr>
      </w:pPr>
    </w:p>
    <w:p w:rsidR="00AB3464" w:rsidRPr="00A62173" w:rsidRDefault="00AB3464"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t>Estas cifras, relativas a 2013, sirven para juzgar si los países han cumplido los objetivos de reducción de déficit fijados por Bruselas y los socios europeos.</w:t>
      </w:r>
    </w:p>
    <w:p w:rsidR="00AB3464" w:rsidRPr="00A62173" w:rsidRDefault="00AB3464" w:rsidP="00AB3464">
      <w:pPr>
        <w:shd w:val="clear" w:color="auto" w:fill="FFFFFF"/>
        <w:spacing w:after="0" w:line="240" w:lineRule="auto"/>
        <w:jc w:val="both"/>
        <w:rPr>
          <w:rFonts w:ascii="Times New Roman" w:hAnsi="Times New Roman"/>
          <w:sz w:val="24"/>
          <w:szCs w:val="24"/>
        </w:rPr>
      </w:pPr>
    </w:p>
    <w:p w:rsidR="00AB3464" w:rsidRPr="00A62173" w:rsidRDefault="00AB3464"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t>La inclusión de las actividades ilegales en el cálculo del PIB ya se contemplaba en el SEC 1995, aunque por la dificultad de recogida de los datos Eurostat pactó con los países miembros crear grupos de trabajo para desarrollar procedimientos y métodos comparables, y puso como fecha límite el pasado mes de septiembre.</w:t>
      </w:r>
    </w:p>
    <w:p w:rsidR="00AB3464" w:rsidRPr="00A62173" w:rsidRDefault="00AB3464" w:rsidP="00AB3464">
      <w:pPr>
        <w:shd w:val="clear" w:color="auto" w:fill="FFFFFF"/>
        <w:spacing w:after="0" w:line="240" w:lineRule="auto"/>
        <w:jc w:val="both"/>
        <w:rPr>
          <w:rFonts w:ascii="Times New Roman" w:hAnsi="Times New Roman"/>
          <w:sz w:val="24"/>
          <w:szCs w:val="24"/>
        </w:rPr>
      </w:pPr>
    </w:p>
    <w:p w:rsidR="00AB3464" w:rsidRPr="00A62173" w:rsidRDefault="00AB3464"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t>“No es una revolución, es una adaptación necesaria, y no hemos reescrito la historia de la economía”, afirmó la experta de la Comisión Europea.</w:t>
      </w:r>
    </w:p>
    <w:p w:rsidR="00AB3464" w:rsidRPr="00F26290" w:rsidRDefault="00AB3464" w:rsidP="00AB3464">
      <w:pPr>
        <w:shd w:val="clear" w:color="auto" w:fill="FFFFFF"/>
        <w:spacing w:after="0" w:line="240" w:lineRule="auto"/>
        <w:jc w:val="both"/>
        <w:rPr>
          <w:rFonts w:ascii="Times New Roman" w:hAnsi="Times New Roman"/>
          <w:color w:val="FF0000"/>
          <w:sz w:val="24"/>
          <w:szCs w:val="24"/>
          <w:u w:val="single"/>
        </w:rPr>
      </w:pPr>
    </w:p>
    <w:p w:rsidR="00AB3464" w:rsidRPr="009E551E" w:rsidRDefault="00AB3464" w:rsidP="00AB3464">
      <w:pPr>
        <w:shd w:val="clear" w:color="auto" w:fill="FFFFFF"/>
        <w:spacing w:after="0" w:line="240" w:lineRule="auto"/>
        <w:jc w:val="both"/>
        <w:rPr>
          <w:rFonts w:ascii="Times New Roman" w:hAnsi="Times New Roman"/>
          <w:sz w:val="24"/>
          <w:szCs w:val="24"/>
        </w:rPr>
      </w:pPr>
      <w:r w:rsidRPr="009E551E">
        <w:rPr>
          <w:rFonts w:ascii="Times New Roman" w:hAnsi="Times New Roman"/>
          <w:sz w:val="24"/>
          <w:szCs w:val="24"/>
        </w:rPr>
        <w:t xml:space="preserve">Como consecuencia de estos cambios, la diferencia entre la base SEC 95 (la que antes se utilizaba en cálculo del PIB) y la nueva SEC 2010 ha supuesto una variación anual media entre 1997 y 2013 del 3,4% tanto en la zona euro como en el conjunto de la Unión Europea, afirma la oficina de estadística europea en un comunicado. </w:t>
      </w:r>
      <w:r w:rsidR="00A62173">
        <w:rPr>
          <w:rFonts w:ascii="Times New Roman" w:hAnsi="Times New Roman"/>
          <w:sz w:val="24"/>
          <w:szCs w:val="24"/>
        </w:rPr>
        <w:t>En cuanto a los niveles de PIB “el impacto es muy limitado”</w:t>
      </w:r>
      <w:r w:rsidRPr="009E551E">
        <w:rPr>
          <w:rFonts w:ascii="Times New Roman" w:hAnsi="Times New Roman"/>
          <w:sz w:val="24"/>
          <w:szCs w:val="24"/>
        </w:rPr>
        <w:t>, según Eurostat, que cuantifica ha sido de +/- 0,1 puntos porcentuales en ese periodo.</w:t>
      </w:r>
    </w:p>
    <w:p w:rsidR="00AB3464" w:rsidRPr="009E551E" w:rsidRDefault="00AB3464" w:rsidP="00AB3464">
      <w:pPr>
        <w:shd w:val="clear" w:color="auto" w:fill="FFFFFF"/>
        <w:spacing w:after="0" w:line="240" w:lineRule="auto"/>
        <w:jc w:val="both"/>
        <w:rPr>
          <w:rFonts w:ascii="Times New Roman" w:hAnsi="Times New Roman"/>
          <w:sz w:val="24"/>
          <w:szCs w:val="24"/>
        </w:rPr>
      </w:pPr>
    </w:p>
    <w:p w:rsidR="00AB3464" w:rsidRDefault="00AB3464"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t xml:space="preserve">Entre los cambios metodológicos que incluyen la SEC 2010 están: la I+D se considera inversión en vez de gasto, la nueva definición de inversión militar y se modifica la </w:t>
      </w:r>
      <w:r w:rsidRPr="00A62173">
        <w:rPr>
          <w:rFonts w:ascii="Times New Roman" w:hAnsi="Times New Roman"/>
          <w:sz w:val="24"/>
          <w:szCs w:val="24"/>
        </w:rPr>
        <w:lastRenderedPageBreak/>
        <w:t>delimitación de las AAPP. Y, entre los estadísticos, destacan: nuevas fuentes, revisión de la balanza de pagos y la inclusión de la economía ilegal (que es una demanda de Naciones Unidas). El cálculo se realiza con el año base 2010.</w:t>
      </w:r>
    </w:p>
    <w:p w:rsidR="00C0426F" w:rsidRDefault="00C0426F" w:rsidP="00AB3464">
      <w:pPr>
        <w:shd w:val="clear" w:color="auto" w:fill="FFFFFF"/>
        <w:spacing w:after="0" w:line="240" w:lineRule="auto"/>
        <w:jc w:val="both"/>
        <w:rPr>
          <w:rFonts w:ascii="Times New Roman" w:hAnsi="Times New Roman"/>
          <w:sz w:val="24"/>
          <w:szCs w:val="24"/>
        </w:rPr>
      </w:pPr>
    </w:p>
    <w:p w:rsidR="00C0426F" w:rsidRDefault="00C0426F" w:rsidP="00AB3464">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Pr>
          <w:rFonts w:ascii="Georgia" w:hAnsi="Georgia"/>
          <w:noProof/>
          <w:lang w:eastAsia="es-ES"/>
        </w:rPr>
        <w:drawing>
          <wp:inline distT="0" distB="0" distL="0" distR="0" wp14:anchorId="21DD97E3" wp14:editId="4D18B410">
            <wp:extent cx="3238500" cy="6089650"/>
            <wp:effectExtent l="0" t="0" r="0" b="6350"/>
            <wp:docPr id="2" name="Imagen 2" descr="Economía ileg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onomía ilegal"/>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38500" cy="6089650"/>
                    </a:xfrm>
                    <a:prstGeom prst="rect">
                      <a:avLst/>
                    </a:prstGeom>
                    <a:noFill/>
                    <a:ln>
                      <a:noFill/>
                    </a:ln>
                  </pic:spPr>
                </pic:pic>
              </a:graphicData>
            </a:graphic>
          </wp:inline>
        </w:drawing>
      </w:r>
    </w:p>
    <w:p w:rsidR="00A62173" w:rsidRDefault="00A62173" w:rsidP="00AB3464">
      <w:pPr>
        <w:shd w:val="clear" w:color="auto" w:fill="FFFFFF"/>
        <w:spacing w:after="0" w:line="240" w:lineRule="auto"/>
        <w:jc w:val="both"/>
        <w:rPr>
          <w:rFonts w:ascii="Times New Roman" w:hAnsi="Times New Roman"/>
          <w:sz w:val="24"/>
          <w:szCs w:val="24"/>
        </w:rPr>
      </w:pPr>
    </w:p>
    <w:p w:rsidR="00A62173" w:rsidRPr="00A62173" w:rsidRDefault="00A62173" w:rsidP="00AB3464">
      <w:pPr>
        <w:shd w:val="clear" w:color="auto" w:fill="FFFFFF"/>
        <w:spacing w:after="0" w:line="240" w:lineRule="auto"/>
        <w:jc w:val="both"/>
        <w:rPr>
          <w:rFonts w:ascii="Times New Roman" w:hAnsi="Times New Roman"/>
          <w:sz w:val="24"/>
          <w:szCs w:val="24"/>
        </w:rPr>
      </w:pPr>
    </w:p>
    <w:p w:rsidR="00AB3464" w:rsidRPr="00A62173" w:rsidRDefault="00A62173" w:rsidP="00AB3464">
      <w:pPr>
        <w:shd w:val="clear" w:color="auto" w:fill="FFFFFF"/>
        <w:spacing w:after="0" w:line="240" w:lineRule="auto"/>
        <w:jc w:val="both"/>
        <w:rPr>
          <w:rFonts w:ascii="Times New Roman" w:hAnsi="Times New Roman"/>
          <w:sz w:val="24"/>
          <w:szCs w:val="24"/>
        </w:rPr>
      </w:pPr>
      <w:r w:rsidRPr="00A62173">
        <w:rPr>
          <w:rFonts w:ascii="Times New Roman" w:hAnsi="Times New Roman"/>
          <w:sz w:val="24"/>
          <w:szCs w:val="24"/>
        </w:rPr>
        <w:t xml:space="preserve">Eurostat, </w:t>
      </w:r>
      <w:r w:rsidR="00AB3464" w:rsidRPr="00A62173">
        <w:rPr>
          <w:rFonts w:ascii="Times New Roman" w:hAnsi="Times New Roman"/>
          <w:sz w:val="24"/>
          <w:szCs w:val="24"/>
        </w:rPr>
        <w:t>no ha desagregado los datos de lo que supone la economía ilegal en la zona euro ni por países. Lo que sí hace es separar los efectos metodológicos y los estadísticos (donde se incluye la prostitución y las drogas). En la zona euro, los primeros suponen 2,2 puntos porcentuales del incremento y los segundos, 1,3 puntos.</w:t>
      </w:r>
    </w:p>
    <w:p w:rsidR="00AB3464" w:rsidRPr="009E551E" w:rsidRDefault="00AB3464" w:rsidP="00AB3464">
      <w:pPr>
        <w:shd w:val="clear" w:color="auto" w:fill="FFFFFF"/>
        <w:spacing w:after="0" w:line="240" w:lineRule="auto"/>
        <w:jc w:val="both"/>
        <w:rPr>
          <w:rFonts w:ascii="Times New Roman" w:hAnsi="Times New Roman"/>
          <w:sz w:val="24"/>
          <w:szCs w:val="24"/>
        </w:rPr>
      </w:pPr>
    </w:p>
    <w:p w:rsidR="00AB3464" w:rsidRPr="009E551E" w:rsidRDefault="00AB3464" w:rsidP="00AB3464">
      <w:pPr>
        <w:shd w:val="clear" w:color="auto" w:fill="FFFFFF"/>
        <w:spacing w:after="0" w:line="240" w:lineRule="auto"/>
        <w:jc w:val="both"/>
        <w:rPr>
          <w:rFonts w:ascii="Times New Roman" w:hAnsi="Times New Roman"/>
          <w:sz w:val="24"/>
          <w:szCs w:val="24"/>
        </w:rPr>
      </w:pPr>
      <w:r w:rsidRPr="009E551E">
        <w:rPr>
          <w:rFonts w:ascii="Times New Roman" w:hAnsi="Times New Roman"/>
          <w:sz w:val="24"/>
          <w:szCs w:val="24"/>
        </w:rPr>
        <w:t xml:space="preserve">En términos desagregados, destaca el fuerte impacto de los cambios metodológicos en Austria (3,7 puntos porcentuales), Irlanda (3,6 puntos) y Alemania (2,7 puntos porcentuales). Y, desde el punto de vista estadístico, hay que subrayar el fuerte peso del </w:t>
      </w:r>
      <w:r w:rsidRPr="009E551E">
        <w:rPr>
          <w:rFonts w:ascii="Times New Roman" w:hAnsi="Times New Roman"/>
          <w:sz w:val="24"/>
          <w:szCs w:val="24"/>
        </w:rPr>
        <w:lastRenderedPageBreak/>
        <w:t>cambio (que incluye el cálculo de la economía ilegal) en Chipre (8,4 puntos porcentuales), Holanda (5,9 puntos) y Portugal (2 puntos).</w:t>
      </w:r>
    </w:p>
    <w:p w:rsidR="00AB3464" w:rsidRPr="009E551E" w:rsidRDefault="00AB3464" w:rsidP="00AB3464">
      <w:pPr>
        <w:shd w:val="clear" w:color="auto" w:fill="FFFFFF"/>
        <w:spacing w:after="0" w:line="240" w:lineRule="auto"/>
        <w:jc w:val="both"/>
        <w:rPr>
          <w:rFonts w:ascii="Times New Roman" w:hAnsi="Times New Roman"/>
          <w:sz w:val="24"/>
          <w:szCs w:val="24"/>
        </w:rPr>
      </w:pPr>
    </w:p>
    <w:p w:rsidR="00AB3464" w:rsidRDefault="00AB3464" w:rsidP="00AB3464">
      <w:pPr>
        <w:shd w:val="clear" w:color="auto" w:fill="FFFFFF"/>
        <w:spacing w:after="0" w:line="240" w:lineRule="auto"/>
        <w:jc w:val="both"/>
        <w:rPr>
          <w:rFonts w:ascii="Times New Roman" w:hAnsi="Times New Roman"/>
          <w:sz w:val="24"/>
          <w:szCs w:val="24"/>
        </w:rPr>
      </w:pPr>
      <w:r w:rsidRPr="009E551E">
        <w:rPr>
          <w:rFonts w:ascii="Times New Roman" w:hAnsi="Times New Roman"/>
          <w:sz w:val="24"/>
          <w:szCs w:val="24"/>
        </w:rPr>
        <w:t>Estas modificaciones también afectarán al cálculo del déficit y de la deuda tanto de los países como a nivel europeo, aunque t</w:t>
      </w:r>
      <w:r w:rsidR="00A62173">
        <w:rPr>
          <w:rFonts w:ascii="Times New Roman" w:hAnsi="Times New Roman"/>
          <w:sz w:val="24"/>
          <w:szCs w:val="24"/>
        </w:rPr>
        <w:t xml:space="preserve">odavía no se conoce su cuantía. </w:t>
      </w:r>
      <w:r w:rsidRPr="009E551E">
        <w:rPr>
          <w:rFonts w:ascii="Times New Roman" w:hAnsi="Times New Roman"/>
          <w:sz w:val="24"/>
          <w:szCs w:val="24"/>
        </w:rPr>
        <w:t>Los datos se conocen en un momento en que la economía de la zona euro atraviesa un parón en su recuperación y emite síntomas que preocupan en los mercados.</w:t>
      </w:r>
    </w:p>
    <w:p w:rsidR="00D45E81" w:rsidRDefault="00D45E81" w:rsidP="00AB3464">
      <w:pPr>
        <w:shd w:val="clear" w:color="auto" w:fill="FFFFFF"/>
        <w:spacing w:after="0" w:line="240" w:lineRule="auto"/>
        <w:jc w:val="both"/>
        <w:rPr>
          <w:rFonts w:ascii="Times New Roman" w:hAnsi="Times New Roman"/>
          <w:sz w:val="24"/>
          <w:szCs w:val="24"/>
        </w:rPr>
      </w:pPr>
    </w:p>
    <w:p w:rsidR="00D45E81" w:rsidRDefault="00D45E81" w:rsidP="00D45E81">
      <w:pPr>
        <w:shd w:val="clear" w:color="auto" w:fill="FFFFFF"/>
        <w:spacing w:after="0" w:line="240" w:lineRule="auto"/>
        <w:jc w:val="both"/>
        <w:rPr>
          <w:rFonts w:ascii="Times New Roman" w:hAnsi="Times New Roman"/>
          <w:b/>
          <w:sz w:val="24"/>
          <w:szCs w:val="24"/>
        </w:rPr>
      </w:pPr>
      <w:r w:rsidRPr="00902BCA">
        <w:rPr>
          <w:rFonts w:ascii="Times New Roman" w:hAnsi="Times New Roman"/>
          <w:b/>
          <w:sz w:val="24"/>
          <w:szCs w:val="24"/>
        </w:rPr>
        <w:t>- Erre que erre: “antes partío que doblao” (¿miopía de los ortod</w:t>
      </w:r>
      <w:r w:rsidR="00902BCA" w:rsidRPr="00902BCA">
        <w:rPr>
          <w:rFonts w:ascii="Times New Roman" w:hAnsi="Times New Roman"/>
          <w:b/>
          <w:sz w:val="24"/>
          <w:szCs w:val="24"/>
        </w:rPr>
        <w:t xml:space="preserve">oxos </w:t>
      </w:r>
      <w:r w:rsidR="00FD5E9B">
        <w:rPr>
          <w:rFonts w:ascii="Times New Roman" w:hAnsi="Times New Roman"/>
          <w:b/>
          <w:sz w:val="24"/>
          <w:szCs w:val="24"/>
        </w:rPr>
        <w:t>“</w:t>
      </w:r>
      <w:r w:rsidR="00902BCA" w:rsidRPr="00902BCA">
        <w:rPr>
          <w:rFonts w:ascii="Times New Roman" w:hAnsi="Times New Roman"/>
          <w:b/>
          <w:sz w:val="24"/>
          <w:szCs w:val="24"/>
        </w:rPr>
        <w:t>libérrimos</w:t>
      </w:r>
      <w:r w:rsidR="00FD5E9B">
        <w:rPr>
          <w:rFonts w:ascii="Times New Roman" w:hAnsi="Times New Roman"/>
          <w:b/>
          <w:sz w:val="24"/>
          <w:szCs w:val="24"/>
        </w:rPr>
        <w:t>”</w:t>
      </w:r>
      <w:r w:rsidR="00902BCA" w:rsidRPr="00902BCA">
        <w:rPr>
          <w:rFonts w:ascii="Times New Roman" w:hAnsi="Times New Roman"/>
          <w:b/>
          <w:sz w:val="24"/>
          <w:szCs w:val="24"/>
        </w:rPr>
        <w:t xml:space="preserve"> o merecido envenenamiento por cicuta de los socios “</w:t>
      </w:r>
      <w:r w:rsidR="00902BCA">
        <w:rPr>
          <w:rFonts w:ascii="Times New Roman" w:hAnsi="Times New Roman"/>
          <w:b/>
          <w:sz w:val="24"/>
          <w:szCs w:val="24"/>
        </w:rPr>
        <w:t>pecadores</w:t>
      </w:r>
      <w:r w:rsidR="00902BCA" w:rsidRPr="00902BCA">
        <w:rPr>
          <w:rFonts w:ascii="Times New Roman" w:hAnsi="Times New Roman"/>
          <w:b/>
          <w:sz w:val="24"/>
          <w:szCs w:val="24"/>
        </w:rPr>
        <w:t>”?)</w:t>
      </w:r>
    </w:p>
    <w:p w:rsidR="001167CA" w:rsidRDefault="001167CA" w:rsidP="00D45E81">
      <w:pPr>
        <w:shd w:val="clear" w:color="auto" w:fill="FFFFFF"/>
        <w:spacing w:after="0" w:line="240" w:lineRule="auto"/>
        <w:jc w:val="both"/>
        <w:rPr>
          <w:rFonts w:ascii="Times New Roman" w:hAnsi="Times New Roman"/>
          <w:b/>
          <w:sz w:val="24"/>
          <w:szCs w:val="24"/>
        </w:rPr>
      </w:pPr>
    </w:p>
    <w:p w:rsidR="001167CA" w:rsidRPr="001167CA" w:rsidRDefault="001167CA" w:rsidP="001167CA">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1167CA">
        <w:rPr>
          <w:rFonts w:ascii="Times New Roman" w:hAnsi="Times New Roman"/>
          <w:sz w:val="24"/>
          <w:szCs w:val="24"/>
          <w:u w:val="single"/>
        </w:rPr>
        <w:t>El roce de Europa con la deuda</w:t>
      </w:r>
      <w:r>
        <w:rPr>
          <w:rFonts w:ascii="Times New Roman" w:hAnsi="Times New Roman"/>
          <w:sz w:val="24"/>
          <w:szCs w:val="24"/>
        </w:rPr>
        <w:t xml:space="preserve"> (Project Syndicate - </w:t>
      </w:r>
      <w:r w:rsidRPr="001167CA">
        <w:rPr>
          <w:rFonts w:ascii="Times New Roman" w:hAnsi="Times New Roman"/>
          <w:b/>
          <w:sz w:val="24"/>
          <w:szCs w:val="24"/>
        </w:rPr>
        <w:t>22/10/14</w:t>
      </w:r>
      <w:r>
        <w:rPr>
          <w:rFonts w:ascii="Times New Roman" w:hAnsi="Times New Roman"/>
          <w:sz w:val="24"/>
          <w:szCs w:val="24"/>
        </w:rPr>
        <w:t>)</w:t>
      </w:r>
      <w:r w:rsidR="00EA1375">
        <w:rPr>
          <w:rFonts w:ascii="Times New Roman" w:hAnsi="Times New Roman"/>
          <w:sz w:val="24"/>
          <w:szCs w:val="24"/>
        </w:rPr>
        <w:t xml:space="preserve">    Lectura recomendada</w:t>
      </w:r>
    </w:p>
    <w:p w:rsidR="001167CA" w:rsidRPr="001167CA" w:rsidRDefault="001167CA" w:rsidP="001167CA">
      <w:pPr>
        <w:shd w:val="clear" w:color="auto" w:fill="FFFFFF"/>
        <w:spacing w:after="0" w:line="240" w:lineRule="auto"/>
        <w:jc w:val="both"/>
        <w:rPr>
          <w:rFonts w:ascii="Times New Roman" w:hAnsi="Times New Roman"/>
          <w:sz w:val="24"/>
          <w:szCs w:val="24"/>
        </w:rPr>
      </w:pPr>
    </w:p>
    <w:p w:rsidR="001167CA" w:rsidRPr="001167CA" w:rsidRDefault="001167CA" w:rsidP="001167CA">
      <w:pPr>
        <w:shd w:val="clear" w:color="auto" w:fill="FFFFFF"/>
        <w:spacing w:after="0" w:line="240" w:lineRule="auto"/>
        <w:jc w:val="both"/>
        <w:rPr>
          <w:rFonts w:ascii="Times New Roman" w:hAnsi="Times New Roman"/>
          <w:sz w:val="24"/>
          <w:szCs w:val="24"/>
          <w:u w:val="single"/>
        </w:rPr>
      </w:pPr>
      <w:r>
        <w:rPr>
          <w:rFonts w:ascii="Times New Roman" w:hAnsi="Times New Roman"/>
          <w:sz w:val="24"/>
          <w:szCs w:val="24"/>
        </w:rPr>
        <w:t>Múnich.-</w:t>
      </w:r>
      <w:r w:rsidRPr="001167CA">
        <w:rPr>
          <w:rFonts w:ascii="Times New Roman" w:hAnsi="Times New Roman"/>
          <w:sz w:val="24"/>
          <w:szCs w:val="24"/>
        </w:rPr>
        <w:t xml:space="preserve"> </w:t>
      </w:r>
      <w:r w:rsidRPr="001167CA">
        <w:rPr>
          <w:rFonts w:ascii="Times New Roman" w:hAnsi="Times New Roman"/>
          <w:sz w:val="24"/>
          <w:szCs w:val="24"/>
          <w:u w:val="single"/>
        </w:rPr>
        <w:t xml:space="preserve">El primer ministro francés, Manuel Valls, y su homólogo italiano, Matteo Renzi, han declarado -o al menos han insinuado- que no van a cumplir con el pacto fiscal europeo que todos los países miembros de la eurozona firmaron el año 2012; en cambio, tienen la intención de acumular nuevas deudas. La postura de estos dos ministros destaca una falla fundamental en la estructura de la Unión Monetaria Europea - una que los líderes europeos deben reconocer y abordar antes de que sea demasiado tarde. </w:t>
      </w:r>
    </w:p>
    <w:p w:rsidR="001167CA" w:rsidRPr="001167CA" w:rsidRDefault="001167CA" w:rsidP="001167CA">
      <w:pPr>
        <w:shd w:val="clear" w:color="auto" w:fill="FFFFFF"/>
        <w:spacing w:after="0" w:line="240" w:lineRule="auto"/>
        <w:jc w:val="both"/>
        <w:rPr>
          <w:rFonts w:ascii="Times New Roman" w:hAnsi="Times New Roman"/>
          <w:sz w:val="24"/>
          <w:szCs w:val="24"/>
        </w:rPr>
      </w:pPr>
    </w:p>
    <w:p w:rsidR="001167CA" w:rsidRPr="001167CA" w:rsidRDefault="001167CA" w:rsidP="001167CA">
      <w:pPr>
        <w:shd w:val="clear" w:color="auto" w:fill="FFFFFF"/>
        <w:spacing w:after="0" w:line="240" w:lineRule="auto"/>
        <w:jc w:val="both"/>
        <w:rPr>
          <w:rFonts w:ascii="Times New Roman" w:hAnsi="Times New Roman"/>
          <w:color w:val="FF0000"/>
          <w:sz w:val="24"/>
          <w:szCs w:val="24"/>
          <w:u w:val="single"/>
        </w:rPr>
      </w:pPr>
      <w:r w:rsidRPr="001167CA">
        <w:rPr>
          <w:rFonts w:ascii="Times New Roman" w:hAnsi="Times New Roman"/>
          <w:color w:val="FF0000"/>
          <w:sz w:val="24"/>
          <w:szCs w:val="24"/>
          <w:u w:val="single"/>
        </w:rPr>
        <w:t xml:space="preserve">El pacto fiscal -denominado formalmente el Tratado de Estabilidad, Coordinación y Gobernanza en la Unión Económica y Monetaria- fue el quid pro quo para que Alemania apruebe el Mecanismo Europeo de Estabilidad (MEDE), que fue esencialmente un paquete de rescate colectivo. El pacto establece un techo estricto para el déficit presupuestario estructural de un país y estipula que los coeficientes de deuda pública superiores al 60% del PIB deben reducirse anualmente por una vigésima parte de la diferencia entre el coeficiente actual y el coeficiente objetivo. </w:t>
      </w:r>
    </w:p>
    <w:p w:rsidR="001167CA" w:rsidRPr="001167CA" w:rsidRDefault="001167CA" w:rsidP="001167CA">
      <w:pPr>
        <w:shd w:val="clear" w:color="auto" w:fill="FFFFFF"/>
        <w:spacing w:after="0" w:line="240" w:lineRule="auto"/>
        <w:jc w:val="both"/>
        <w:rPr>
          <w:rFonts w:ascii="Times New Roman" w:hAnsi="Times New Roman"/>
          <w:color w:val="FF0000"/>
          <w:sz w:val="24"/>
          <w:szCs w:val="24"/>
          <w:u w:val="single"/>
        </w:rPr>
      </w:pPr>
    </w:p>
    <w:p w:rsidR="001167CA" w:rsidRPr="001167CA" w:rsidRDefault="001167CA" w:rsidP="001167CA">
      <w:pPr>
        <w:shd w:val="clear" w:color="auto" w:fill="FFFFFF"/>
        <w:spacing w:after="0" w:line="240" w:lineRule="auto"/>
        <w:jc w:val="both"/>
        <w:rPr>
          <w:rFonts w:ascii="Times New Roman" w:hAnsi="Times New Roman"/>
          <w:sz w:val="24"/>
          <w:szCs w:val="24"/>
          <w:u w:val="single"/>
        </w:rPr>
      </w:pPr>
      <w:r w:rsidRPr="001167CA">
        <w:rPr>
          <w:rFonts w:ascii="Times New Roman" w:hAnsi="Times New Roman"/>
          <w:sz w:val="24"/>
          <w:szCs w:val="24"/>
          <w:u w:val="single"/>
        </w:rPr>
        <w:t xml:space="preserve">No obstante lo anterior, el coeficiente deuda/PIB de Francia se elevará al 96% hasta finales de este año, desde un 91% en 2012, mientras que el coeficiente de Italia alcanzará el 135%, en comparación al 127% en 2012. La renuncia efectiva al pacto fiscal por parte de Valls y Renzi sugiere que estos coeficientes se elevarán aún más en los próximos años. </w:t>
      </w:r>
    </w:p>
    <w:p w:rsidR="001167CA" w:rsidRPr="001167CA" w:rsidRDefault="001167CA" w:rsidP="001167CA">
      <w:pPr>
        <w:shd w:val="clear" w:color="auto" w:fill="FFFFFF"/>
        <w:spacing w:after="0" w:line="240" w:lineRule="auto"/>
        <w:jc w:val="both"/>
        <w:rPr>
          <w:rFonts w:ascii="Times New Roman" w:hAnsi="Times New Roman"/>
          <w:sz w:val="24"/>
          <w:szCs w:val="24"/>
          <w:u w:val="single"/>
        </w:rPr>
      </w:pPr>
    </w:p>
    <w:p w:rsidR="001167CA" w:rsidRPr="001167CA" w:rsidRDefault="001167CA" w:rsidP="001167CA">
      <w:pPr>
        <w:shd w:val="clear" w:color="auto" w:fill="FFFFFF"/>
        <w:spacing w:after="0" w:line="240" w:lineRule="auto"/>
        <w:jc w:val="both"/>
        <w:rPr>
          <w:rFonts w:ascii="Times New Roman" w:hAnsi="Times New Roman"/>
          <w:color w:val="FF0000"/>
          <w:sz w:val="24"/>
          <w:szCs w:val="24"/>
          <w:u w:val="single"/>
        </w:rPr>
      </w:pPr>
      <w:r w:rsidRPr="001167CA">
        <w:rPr>
          <w:rFonts w:ascii="Times New Roman" w:hAnsi="Times New Roman"/>
          <w:color w:val="FF0000"/>
          <w:sz w:val="24"/>
          <w:szCs w:val="24"/>
          <w:u w:val="single"/>
        </w:rPr>
        <w:t xml:space="preserve">En este contexto, los líderes de la eurozona deben hacerse preguntas difíciles acerca de la sostenibilidad del actual sistema de gestión de la deuda en la Unión Económica y Monetaria (UEM). Deberían empezar por considerar las dos posibles modelos para garantizar la estabilidad y sostenibilidad  de la deuda en una unión monetaria: el modelo de mutualización y el modelo de responsabilidad. </w:t>
      </w:r>
    </w:p>
    <w:p w:rsidR="001167CA" w:rsidRPr="001167CA" w:rsidRDefault="001167CA" w:rsidP="001167CA">
      <w:pPr>
        <w:shd w:val="clear" w:color="auto" w:fill="FFFFFF"/>
        <w:spacing w:after="0" w:line="240" w:lineRule="auto"/>
        <w:jc w:val="both"/>
        <w:rPr>
          <w:rFonts w:ascii="Times New Roman" w:hAnsi="Times New Roman"/>
          <w:color w:val="FF0000"/>
          <w:sz w:val="24"/>
          <w:szCs w:val="24"/>
          <w:u w:val="single"/>
        </w:rPr>
      </w:pPr>
    </w:p>
    <w:p w:rsidR="001167CA" w:rsidRPr="001167CA" w:rsidRDefault="001167CA" w:rsidP="001167CA">
      <w:pPr>
        <w:shd w:val="clear" w:color="auto" w:fill="FFFFFF"/>
        <w:spacing w:after="0" w:line="240" w:lineRule="auto"/>
        <w:jc w:val="both"/>
        <w:rPr>
          <w:rFonts w:ascii="Times New Roman" w:hAnsi="Times New Roman"/>
          <w:b/>
          <w:color w:val="FF0000"/>
          <w:sz w:val="24"/>
          <w:szCs w:val="24"/>
          <w:u w:val="single"/>
        </w:rPr>
      </w:pPr>
      <w:r w:rsidRPr="001167CA">
        <w:rPr>
          <w:rFonts w:ascii="Times New Roman" w:hAnsi="Times New Roman"/>
          <w:b/>
          <w:color w:val="FF0000"/>
          <w:sz w:val="24"/>
          <w:szCs w:val="24"/>
          <w:u w:val="single"/>
        </w:rPr>
        <w:t xml:space="preserve">Hasta ahora Europa se ha estancado en el modelo de mutualización, en el que las deudas de cada Estado están aseguradas por un banco central común o por un sistema de rescate fiscal, lo que garantiza la seguridad de los inversores y elimina en gran parte las diferencias de tipo de tasa de interés entre países, independientemente de su nivel de endeudamiento. Con el fin de evitar que la reducción artificial de los tipos de tasa de interés fomente que los países se presten de manera excesiva, se instituyen frenos políticos a la deuda. </w:t>
      </w:r>
    </w:p>
    <w:p w:rsidR="001167CA" w:rsidRPr="001167CA" w:rsidRDefault="001167CA" w:rsidP="001167CA">
      <w:pPr>
        <w:shd w:val="clear" w:color="auto" w:fill="FFFFFF"/>
        <w:spacing w:after="0" w:line="240" w:lineRule="auto"/>
        <w:jc w:val="both"/>
        <w:rPr>
          <w:rFonts w:ascii="Times New Roman" w:hAnsi="Times New Roman"/>
          <w:b/>
          <w:color w:val="FF0000"/>
          <w:sz w:val="24"/>
          <w:szCs w:val="24"/>
          <w:u w:val="single"/>
        </w:rPr>
      </w:pPr>
    </w:p>
    <w:p w:rsidR="001167CA" w:rsidRPr="001167CA" w:rsidRDefault="001167CA" w:rsidP="001167CA">
      <w:pPr>
        <w:shd w:val="clear" w:color="auto" w:fill="FFFFFF"/>
        <w:spacing w:after="0" w:line="240" w:lineRule="auto"/>
        <w:jc w:val="both"/>
        <w:rPr>
          <w:rFonts w:ascii="Times New Roman" w:hAnsi="Times New Roman"/>
          <w:b/>
          <w:color w:val="FF0000"/>
          <w:sz w:val="24"/>
          <w:szCs w:val="24"/>
          <w:u w:val="single"/>
        </w:rPr>
      </w:pPr>
      <w:r w:rsidRPr="001167CA">
        <w:rPr>
          <w:rFonts w:ascii="Times New Roman" w:hAnsi="Times New Roman"/>
          <w:b/>
          <w:color w:val="FF0000"/>
          <w:sz w:val="24"/>
          <w:szCs w:val="24"/>
          <w:u w:val="single"/>
        </w:rPr>
        <w:lastRenderedPageBreak/>
        <w:t xml:space="preserve">En la eurozona, la mutualización se lleva a cabo a través de generosos rescates de la UEM y con un valor de alrededor de € 1 millón de millones (USD $ 1,27 millón de millones) en crédito TARGET2 de las imprentas nacionales de dinero de los países afectados por la crisis. Por otra parte, el Banco Central Europeo se comprometió a proteger a estos países de la moratoria sin que esto tenga un costo para los mismos y a través de su esquema de “transacciones monetarias directas” (TMD) -es decir, con la promesa de comprar su deuda soberana en los mercados secundarios- lo que funciona más o menos como lo harían los eurobonos. El supuesto endurecimiento del techo de la deuda en 2012 se adhirió a este modelo. </w:t>
      </w:r>
    </w:p>
    <w:p w:rsidR="001167CA" w:rsidRPr="001167CA" w:rsidRDefault="001167CA" w:rsidP="001167CA">
      <w:pPr>
        <w:shd w:val="clear" w:color="auto" w:fill="FFFFFF"/>
        <w:spacing w:after="0" w:line="240" w:lineRule="auto"/>
        <w:jc w:val="both"/>
        <w:rPr>
          <w:rFonts w:ascii="Times New Roman" w:hAnsi="Times New Roman"/>
          <w:sz w:val="24"/>
          <w:szCs w:val="24"/>
        </w:rPr>
      </w:pPr>
    </w:p>
    <w:p w:rsidR="001167CA" w:rsidRPr="001167CA" w:rsidRDefault="001167CA" w:rsidP="001167CA">
      <w:pPr>
        <w:shd w:val="clear" w:color="auto" w:fill="FFFFFF"/>
        <w:spacing w:after="0" w:line="240" w:lineRule="auto"/>
        <w:jc w:val="both"/>
        <w:rPr>
          <w:rFonts w:ascii="Times New Roman" w:hAnsi="Times New Roman"/>
          <w:b/>
          <w:color w:val="FF0000"/>
          <w:sz w:val="24"/>
          <w:szCs w:val="24"/>
          <w:u w:val="single"/>
        </w:rPr>
      </w:pPr>
      <w:r w:rsidRPr="001167CA">
        <w:rPr>
          <w:rFonts w:ascii="Times New Roman" w:hAnsi="Times New Roman"/>
          <w:b/>
          <w:color w:val="FF0000"/>
          <w:sz w:val="24"/>
          <w:szCs w:val="24"/>
          <w:u w:val="single"/>
        </w:rPr>
        <w:t xml:space="preserve">La alternativa -el modelo de responsabilidad- requiere que cada Estado asuma la responsabilidad de sus propias deudas, y que sus acreedores tengan que soportar los costos de una moratoria. Frente a este riesgo, los acreedores exigen mayores tasas de interés desde el principio o se niegan a conceder crédito adicional, por lo tanto, ellos imponen una medida de disciplina a los deudores. </w:t>
      </w:r>
    </w:p>
    <w:p w:rsidR="001167CA" w:rsidRPr="001167CA" w:rsidRDefault="001167CA" w:rsidP="001167CA">
      <w:pPr>
        <w:shd w:val="clear" w:color="auto" w:fill="FFFFFF"/>
        <w:spacing w:after="0" w:line="240" w:lineRule="auto"/>
        <w:jc w:val="both"/>
        <w:rPr>
          <w:rFonts w:ascii="Times New Roman" w:hAnsi="Times New Roman"/>
          <w:sz w:val="24"/>
          <w:szCs w:val="24"/>
        </w:rPr>
      </w:pPr>
    </w:p>
    <w:p w:rsidR="001167CA" w:rsidRPr="001167CA" w:rsidRDefault="001167CA" w:rsidP="001167CA">
      <w:pPr>
        <w:shd w:val="clear" w:color="auto" w:fill="FFFFFF"/>
        <w:spacing w:after="0" w:line="240" w:lineRule="auto"/>
        <w:jc w:val="both"/>
        <w:rPr>
          <w:rFonts w:ascii="Times New Roman" w:hAnsi="Times New Roman"/>
          <w:sz w:val="24"/>
          <w:szCs w:val="24"/>
          <w:u w:val="single"/>
        </w:rPr>
      </w:pPr>
      <w:r w:rsidRPr="001167CA">
        <w:rPr>
          <w:rFonts w:ascii="Times New Roman" w:hAnsi="Times New Roman"/>
          <w:sz w:val="24"/>
          <w:szCs w:val="24"/>
          <w:u w:val="single"/>
        </w:rPr>
        <w:t xml:space="preserve">El mejor ejemplo del modelo de la responsabilidad es de los Estados Unidos. Cuando los Estados de EEUU, como por ejemplo California, Illinois o Minnesota se meten en problemas fiscales, nadie espera que los otros Estados o el gobierno federal venga a rescatarlos, y mucho menos que la Reserva Federal vaya a garantizar o comprar sus bonos. </w:t>
      </w:r>
    </w:p>
    <w:p w:rsidR="001167CA" w:rsidRPr="001167CA" w:rsidRDefault="001167CA" w:rsidP="001167CA">
      <w:pPr>
        <w:shd w:val="clear" w:color="auto" w:fill="FFFFFF"/>
        <w:spacing w:after="0" w:line="240" w:lineRule="auto"/>
        <w:jc w:val="both"/>
        <w:rPr>
          <w:rFonts w:ascii="Times New Roman" w:hAnsi="Times New Roman"/>
          <w:sz w:val="24"/>
          <w:szCs w:val="24"/>
        </w:rPr>
      </w:pPr>
    </w:p>
    <w:p w:rsidR="001167CA" w:rsidRPr="00EA1375" w:rsidRDefault="001167CA" w:rsidP="001167CA">
      <w:pPr>
        <w:shd w:val="clear" w:color="auto" w:fill="FFFFFF"/>
        <w:spacing w:after="0" w:line="240" w:lineRule="auto"/>
        <w:jc w:val="both"/>
        <w:rPr>
          <w:rFonts w:ascii="Times New Roman" w:hAnsi="Times New Roman"/>
          <w:color w:val="FF0000"/>
          <w:sz w:val="24"/>
          <w:szCs w:val="24"/>
          <w:u w:val="single"/>
        </w:rPr>
      </w:pPr>
      <w:r w:rsidRPr="00EA1375">
        <w:rPr>
          <w:rFonts w:ascii="Times New Roman" w:hAnsi="Times New Roman"/>
          <w:color w:val="FF0000"/>
          <w:sz w:val="24"/>
          <w:szCs w:val="24"/>
          <w:u w:val="single"/>
        </w:rPr>
        <w:t xml:space="preserve">De hecho, la Fed, a diferencia del BCE, no compra ningún bono de los Estados individuales; los inversores deben asumir los costos de cualquier insolvencia estatal. En 1975, Nueva York tuvo que comprometer sus futuros ingresos fiscales a sus acreedores con el fin de mantener su solvencia. </w:t>
      </w:r>
    </w:p>
    <w:p w:rsidR="001167CA" w:rsidRPr="001167CA" w:rsidRDefault="001167CA" w:rsidP="001167CA">
      <w:pPr>
        <w:shd w:val="clear" w:color="auto" w:fill="FFFFFF"/>
        <w:spacing w:after="0" w:line="240" w:lineRule="auto"/>
        <w:jc w:val="both"/>
        <w:rPr>
          <w:rFonts w:ascii="Times New Roman" w:hAnsi="Times New Roman"/>
          <w:sz w:val="24"/>
          <w:szCs w:val="24"/>
        </w:rPr>
      </w:pPr>
    </w:p>
    <w:p w:rsidR="001167CA" w:rsidRPr="001167CA" w:rsidRDefault="00EA1375" w:rsidP="001167CA">
      <w:pPr>
        <w:shd w:val="clear" w:color="auto" w:fill="FFFFFF"/>
        <w:spacing w:after="0" w:line="240" w:lineRule="auto"/>
        <w:jc w:val="both"/>
        <w:rPr>
          <w:rFonts w:ascii="Times New Roman" w:hAnsi="Times New Roman"/>
          <w:sz w:val="24"/>
          <w:szCs w:val="24"/>
        </w:rPr>
      </w:pPr>
      <w:r>
        <w:rPr>
          <w:rFonts w:ascii="Times New Roman" w:hAnsi="Times New Roman"/>
          <w:sz w:val="24"/>
          <w:szCs w:val="24"/>
        </w:rPr>
        <w:t>Por supuesto, EEUU</w:t>
      </w:r>
      <w:r w:rsidR="001167CA" w:rsidRPr="001167CA">
        <w:rPr>
          <w:rFonts w:ascii="Times New Roman" w:hAnsi="Times New Roman"/>
          <w:sz w:val="24"/>
          <w:szCs w:val="24"/>
        </w:rPr>
        <w:t xml:space="preserve"> no siempre fue tan estricto. Poco después de su fundación, ensayó con la mutualización de la deuda, y Alexander Hamilton, el primer Secretario del Tesoro de Estados Unidos, describió el esquema en el año 1791 como el “cemento” para una nueva federación americana. </w:t>
      </w:r>
    </w:p>
    <w:p w:rsidR="001167CA" w:rsidRPr="001167CA" w:rsidRDefault="001167CA" w:rsidP="001167CA">
      <w:pPr>
        <w:shd w:val="clear" w:color="auto" w:fill="FFFFFF"/>
        <w:spacing w:after="0" w:line="240" w:lineRule="auto"/>
        <w:jc w:val="both"/>
        <w:rPr>
          <w:rFonts w:ascii="Times New Roman" w:hAnsi="Times New Roman"/>
          <w:sz w:val="24"/>
          <w:szCs w:val="24"/>
        </w:rPr>
      </w:pPr>
    </w:p>
    <w:p w:rsidR="001167CA" w:rsidRPr="001167CA" w:rsidRDefault="001167CA" w:rsidP="001167CA">
      <w:pPr>
        <w:shd w:val="clear" w:color="auto" w:fill="FFFFFF"/>
        <w:spacing w:after="0" w:line="240" w:lineRule="auto"/>
        <w:jc w:val="both"/>
        <w:rPr>
          <w:rFonts w:ascii="Times New Roman" w:hAnsi="Times New Roman"/>
          <w:sz w:val="24"/>
          <w:szCs w:val="24"/>
        </w:rPr>
      </w:pPr>
      <w:r w:rsidRPr="001167CA">
        <w:rPr>
          <w:rFonts w:ascii="Times New Roman" w:hAnsi="Times New Roman"/>
          <w:sz w:val="24"/>
          <w:szCs w:val="24"/>
        </w:rPr>
        <w:t>Pero, como se vio despué</w:t>
      </w:r>
      <w:r w:rsidR="00EA1375">
        <w:rPr>
          <w:rFonts w:ascii="Times New Roman" w:hAnsi="Times New Roman"/>
          <w:sz w:val="24"/>
          <w:szCs w:val="24"/>
        </w:rPr>
        <w:t>s, el modelo de mutualización -</w:t>
      </w:r>
      <w:r w:rsidRPr="001167CA">
        <w:rPr>
          <w:rFonts w:ascii="Times New Roman" w:hAnsi="Times New Roman"/>
          <w:sz w:val="24"/>
          <w:szCs w:val="24"/>
        </w:rPr>
        <w:t>utilizado de nuevo en 1813 durante la segund</w:t>
      </w:r>
      <w:r w:rsidR="00EA1375">
        <w:rPr>
          <w:rFonts w:ascii="Times New Roman" w:hAnsi="Times New Roman"/>
          <w:sz w:val="24"/>
          <w:szCs w:val="24"/>
        </w:rPr>
        <w:t>a guerra contra los británicos-</w:t>
      </w:r>
      <w:r w:rsidRPr="001167CA">
        <w:rPr>
          <w:rFonts w:ascii="Times New Roman" w:hAnsi="Times New Roman"/>
          <w:sz w:val="24"/>
          <w:szCs w:val="24"/>
        </w:rPr>
        <w:t xml:space="preserve"> alimentó una burbuja de crédito, que se colapsó en 1837 y forzó a que nueve de los veintinueve Estados y territorios de Estados Unidos entraran en bancarrota. El irresuelto problema de la deuda exacerbó las tensiones sobre el tema de la esclavitud, lo que desencadenó la Guerra Civil en 1861. </w:t>
      </w:r>
    </w:p>
    <w:p w:rsidR="001167CA" w:rsidRPr="001167CA" w:rsidRDefault="001167CA" w:rsidP="001167CA">
      <w:pPr>
        <w:shd w:val="clear" w:color="auto" w:fill="FFFFFF"/>
        <w:spacing w:after="0" w:line="240" w:lineRule="auto"/>
        <w:jc w:val="both"/>
        <w:rPr>
          <w:rFonts w:ascii="Times New Roman" w:hAnsi="Times New Roman"/>
          <w:sz w:val="24"/>
          <w:szCs w:val="24"/>
        </w:rPr>
      </w:pPr>
    </w:p>
    <w:p w:rsidR="001167CA" w:rsidRPr="00EA1375" w:rsidRDefault="001167CA" w:rsidP="001167CA">
      <w:pPr>
        <w:shd w:val="clear" w:color="auto" w:fill="FFFFFF"/>
        <w:spacing w:after="0" w:line="240" w:lineRule="auto"/>
        <w:jc w:val="both"/>
        <w:rPr>
          <w:rFonts w:ascii="Times New Roman" w:hAnsi="Times New Roman"/>
          <w:sz w:val="24"/>
          <w:szCs w:val="24"/>
          <w:u w:val="single"/>
        </w:rPr>
      </w:pPr>
      <w:r w:rsidRPr="001167CA">
        <w:rPr>
          <w:rFonts w:ascii="Times New Roman" w:hAnsi="Times New Roman"/>
          <w:sz w:val="24"/>
          <w:szCs w:val="24"/>
        </w:rPr>
        <w:t xml:space="preserve">En este sentido, </w:t>
      </w:r>
      <w:r w:rsidRPr="00EA1375">
        <w:rPr>
          <w:rFonts w:ascii="Times New Roman" w:hAnsi="Times New Roman"/>
          <w:sz w:val="24"/>
          <w:szCs w:val="24"/>
          <w:u w:val="single"/>
        </w:rPr>
        <w:t>tal como el historiador Harold James señaló, la mutualización resultó ser dinamita, no cemento, para la nueva federación de Estados Unidos. Sól</w:t>
      </w:r>
      <w:r w:rsidR="00EA1375" w:rsidRPr="00EA1375">
        <w:rPr>
          <w:rFonts w:ascii="Times New Roman" w:hAnsi="Times New Roman"/>
          <w:sz w:val="24"/>
          <w:szCs w:val="24"/>
          <w:u w:val="single"/>
        </w:rPr>
        <w:t>o después de la Guerra Civil EEUU</w:t>
      </w:r>
      <w:r w:rsidRPr="00EA1375">
        <w:rPr>
          <w:rFonts w:ascii="Times New Roman" w:hAnsi="Times New Roman"/>
          <w:sz w:val="24"/>
          <w:szCs w:val="24"/>
          <w:u w:val="single"/>
        </w:rPr>
        <w:t xml:space="preserve"> decidió gestionar la federación siguiendo el modelo de respo</w:t>
      </w:r>
      <w:r w:rsidR="00EA1375" w:rsidRPr="00EA1375">
        <w:rPr>
          <w:rFonts w:ascii="Times New Roman" w:hAnsi="Times New Roman"/>
          <w:sz w:val="24"/>
          <w:szCs w:val="24"/>
          <w:u w:val="single"/>
        </w:rPr>
        <w:t>nsabilidad -</w:t>
      </w:r>
      <w:r w:rsidRPr="00EA1375">
        <w:rPr>
          <w:rFonts w:ascii="Times New Roman" w:hAnsi="Times New Roman"/>
          <w:sz w:val="24"/>
          <w:szCs w:val="24"/>
          <w:u w:val="single"/>
        </w:rPr>
        <w:t xml:space="preserve"> un abordaje que desde entonces ha apuntalado la estabilidad y ha limitado los niveles de deuda de cada Estado. </w:t>
      </w:r>
    </w:p>
    <w:p w:rsidR="001167CA" w:rsidRPr="00EA1375" w:rsidRDefault="001167CA" w:rsidP="001167CA">
      <w:pPr>
        <w:shd w:val="clear" w:color="auto" w:fill="FFFFFF"/>
        <w:spacing w:after="0" w:line="240" w:lineRule="auto"/>
        <w:jc w:val="both"/>
        <w:rPr>
          <w:rFonts w:ascii="Times New Roman" w:hAnsi="Times New Roman"/>
          <w:sz w:val="24"/>
          <w:szCs w:val="24"/>
          <w:u w:val="single"/>
        </w:rPr>
      </w:pPr>
    </w:p>
    <w:p w:rsidR="001167CA" w:rsidRPr="00EA1375" w:rsidRDefault="001167CA" w:rsidP="001167CA">
      <w:pPr>
        <w:shd w:val="clear" w:color="auto" w:fill="FFFFFF"/>
        <w:spacing w:after="0" w:line="240" w:lineRule="auto"/>
        <w:jc w:val="both"/>
        <w:rPr>
          <w:rFonts w:ascii="Times New Roman" w:hAnsi="Times New Roman"/>
          <w:color w:val="FF0000"/>
          <w:sz w:val="24"/>
          <w:szCs w:val="24"/>
          <w:u w:val="single"/>
        </w:rPr>
      </w:pPr>
      <w:r w:rsidRPr="00EA1375">
        <w:rPr>
          <w:rFonts w:ascii="Times New Roman" w:hAnsi="Times New Roman"/>
          <w:color w:val="FF0000"/>
          <w:sz w:val="24"/>
          <w:szCs w:val="24"/>
          <w:u w:val="single"/>
        </w:rPr>
        <w:t xml:space="preserve">Para los líderes de Europa, el hecho que Francia e Italia se retiren del pacto fiscal debería servir como una señal clara de que el modelo de mutualización tampoco está funcionando para la eurozona. Siguiendo el ejemplo de la Fed, el BCE </w:t>
      </w:r>
      <w:r w:rsidR="00EA1375" w:rsidRPr="00EA1375">
        <w:rPr>
          <w:rFonts w:ascii="Times New Roman" w:hAnsi="Times New Roman"/>
          <w:color w:val="FF0000"/>
          <w:sz w:val="24"/>
          <w:szCs w:val="24"/>
          <w:u w:val="single"/>
        </w:rPr>
        <w:t>debería abolir su programa TMD -</w:t>
      </w:r>
      <w:r w:rsidRPr="00EA1375">
        <w:rPr>
          <w:rFonts w:ascii="Times New Roman" w:hAnsi="Times New Roman"/>
          <w:color w:val="FF0000"/>
          <w:sz w:val="24"/>
          <w:szCs w:val="24"/>
          <w:u w:val="single"/>
        </w:rPr>
        <w:t xml:space="preserve"> programa que, de acuerdo con el Tribunal Constitucional de Alemania, de todas formas no se ajusta a la legislación de los tratados de la UE.</w:t>
      </w:r>
    </w:p>
    <w:p w:rsidR="001167CA" w:rsidRPr="00EA1375" w:rsidRDefault="001167CA" w:rsidP="001167CA">
      <w:pPr>
        <w:shd w:val="clear" w:color="auto" w:fill="FFFFFF"/>
        <w:spacing w:after="0" w:line="240" w:lineRule="auto"/>
        <w:jc w:val="both"/>
        <w:rPr>
          <w:rFonts w:ascii="Times New Roman" w:hAnsi="Times New Roman"/>
          <w:color w:val="FF0000"/>
          <w:sz w:val="24"/>
          <w:szCs w:val="24"/>
          <w:u w:val="single"/>
        </w:rPr>
      </w:pPr>
    </w:p>
    <w:p w:rsidR="001167CA" w:rsidRPr="00EA1375" w:rsidRDefault="001167CA" w:rsidP="001167CA">
      <w:pPr>
        <w:shd w:val="clear" w:color="auto" w:fill="FFFFFF"/>
        <w:spacing w:after="0" w:line="240" w:lineRule="auto"/>
        <w:jc w:val="both"/>
        <w:rPr>
          <w:rFonts w:ascii="Times New Roman" w:hAnsi="Times New Roman"/>
          <w:color w:val="FF0000"/>
          <w:sz w:val="24"/>
          <w:szCs w:val="24"/>
          <w:u w:val="single"/>
        </w:rPr>
      </w:pPr>
      <w:r w:rsidRPr="00EA1375">
        <w:rPr>
          <w:rFonts w:ascii="Times New Roman" w:hAnsi="Times New Roman"/>
          <w:color w:val="FF0000"/>
          <w:sz w:val="24"/>
          <w:szCs w:val="24"/>
          <w:u w:val="single"/>
        </w:rPr>
        <w:lastRenderedPageBreak/>
        <w:t xml:space="preserve">Además, el BCE debería reintroducir el requisito que indica que las deudas TARGET2 sean pagadas </w:t>
      </w:r>
      <w:r w:rsidR="00EA1375">
        <w:rPr>
          <w:rFonts w:ascii="Times New Roman" w:hAnsi="Times New Roman"/>
          <w:color w:val="FF0000"/>
          <w:sz w:val="24"/>
          <w:szCs w:val="24"/>
          <w:u w:val="single"/>
        </w:rPr>
        <w:t>con oro, tal como ocurría en EEUU</w:t>
      </w:r>
      <w:r w:rsidRPr="00EA1375">
        <w:rPr>
          <w:rFonts w:ascii="Times New Roman" w:hAnsi="Times New Roman"/>
          <w:color w:val="FF0000"/>
          <w:sz w:val="24"/>
          <w:szCs w:val="24"/>
          <w:u w:val="single"/>
        </w:rPr>
        <w:t xml:space="preserve"> antes de 1975 para liquidar los saldos entre los distritos de la Reserva Federal. Tal vez incluso el propio pacto fiscal debería ser reconsiderado. </w:t>
      </w:r>
    </w:p>
    <w:p w:rsidR="001167CA" w:rsidRPr="00EA1375" w:rsidRDefault="001167CA" w:rsidP="001167CA">
      <w:pPr>
        <w:shd w:val="clear" w:color="auto" w:fill="FFFFFF"/>
        <w:spacing w:after="0" w:line="240" w:lineRule="auto"/>
        <w:jc w:val="both"/>
        <w:rPr>
          <w:rFonts w:ascii="Times New Roman" w:hAnsi="Times New Roman"/>
          <w:color w:val="FF0000"/>
          <w:sz w:val="24"/>
          <w:szCs w:val="24"/>
          <w:u w:val="single"/>
        </w:rPr>
      </w:pPr>
    </w:p>
    <w:p w:rsidR="001167CA" w:rsidRPr="00EA1375" w:rsidRDefault="001167CA" w:rsidP="001167CA">
      <w:pPr>
        <w:shd w:val="clear" w:color="auto" w:fill="FFFFFF"/>
        <w:spacing w:after="0" w:line="240" w:lineRule="auto"/>
        <w:jc w:val="both"/>
        <w:rPr>
          <w:rFonts w:ascii="Times New Roman" w:hAnsi="Times New Roman"/>
          <w:b/>
          <w:color w:val="FF0000"/>
          <w:sz w:val="24"/>
          <w:szCs w:val="24"/>
          <w:u w:val="single"/>
        </w:rPr>
      </w:pPr>
      <w:r w:rsidRPr="00EA1375">
        <w:rPr>
          <w:rFonts w:ascii="Times New Roman" w:hAnsi="Times New Roman"/>
          <w:b/>
          <w:color w:val="FF0000"/>
          <w:sz w:val="24"/>
          <w:szCs w:val="24"/>
          <w:u w:val="single"/>
        </w:rPr>
        <w:t>Tales medidas podrían hacer las veces de advertencia a los inversores sobre que ellos no pueden esperar ser salvados por las imprentas de dinero en tiempos de crisis, y por lo tanto, ellos estarían  obligarlos a exigir mayores tasas de interés o, de inicio, se verían disuadidos de otorgar financiamiento. Esto llevaría a una mayor disciplina entre los países endeudados de la eurozona y salvaría a Europa de una avalancha de deuda que, en última instancia, podría conducir a los Estados que actualmente son solventes a la bancarrota y destruiría el proyecto europeo de integración.</w:t>
      </w:r>
    </w:p>
    <w:p w:rsidR="007A1A45" w:rsidRDefault="007A1A45" w:rsidP="007A1A45">
      <w:pPr>
        <w:pStyle w:val="NormalWeb"/>
        <w:jc w:val="both"/>
        <w:rPr>
          <w:lang w:val="en-US"/>
        </w:rPr>
      </w:pPr>
      <w:r>
        <w:rPr>
          <w:lang w:val="en-US"/>
        </w:rPr>
        <w:t>(</w:t>
      </w:r>
      <w:r w:rsidRPr="007A1A45">
        <w:rPr>
          <w:lang w:val="en-US"/>
        </w:rPr>
        <w:t>Hans-Werner Sinn, Professor of Economics and Public Finance at the University of Munich, is President of the Ifo Institute for Economic Research and serves on the German economy ministry’s Advisory Council. He is the author, most recently, of The Euro Trap: On Bursting Bubbles, Budgets,…</w:t>
      </w:r>
      <w:r>
        <w:rPr>
          <w:lang w:val="en-US"/>
        </w:rPr>
        <w:t>)</w:t>
      </w:r>
      <w:r w:rsidRPr="007A1A45">
        <w:rPr>
          <w:lang w:val="en-US"/>
        </w:rPr>
        <w:t xml:space="preserve"> </w:t>
      </w:r>
    </w:p>
    <w:p w:rsidR="007A1A45" w:rsidRPr="007A1A45" w:rsidRDefault="007A1A45" w:rsidP="007A1A45">
      <w:pPr>
        <w:pStyle w:val="NormalWeb"/>
        <w:jc w:val="both"/>
        <w:rPr>
          <w:b/>
        </w:rPr>
      </w:pPr>
      <w:r w:rsidRPr="007A1A45">
        <w:rPr>
          <w:b/>
        </w:rPr>
        <w:t xml:space="preserve">- </w:t>
      </w:r>
      <w:r>
        <w:rPr>
          <w:b/>
        </w:rPr>
        <w:t>Y los economi</w:t>
      </w:r>
      <w:r w:rsidRPr="007A1A45">
        <w:rPr>
          <w:b/>
        </w:rPr>
        <w:t>stas de la escuela austr</w:t>
      </w:r>
      <w:r>
        <w:rPr>
          <w:b/>
        </w:rPr>
        <w:t>íaca</w:t>
      </w:r>
      <w:r w:rsidR="002D5A98">
        <w:rPr>
          <w:b/>
        </w:rPr>
        <w:t xml:space="preserve"> (entre Fedón y Esopo) ayudan al Herr</w:t>
      </w:r>
      <w:r w:rsidR="00EA1375">
        <w:rPr>
          <w:b/>
        </w:rPr>
        <w:t xml:space="preserve"> Doktor en la demiurgia</w:t>
      </w:r>
      <w:r w:rsidR="003C7C39">
        <w:rPr>
          <w:b/>
        </w:rPr>
        <w:t xml:space="preserve"> de </w:t>
      </w:r>
      <w:r w:rsidR="002D5A98">
        <w:rPr>
          <w:b/>
        </w:rPr>
        <w:t>los</w:t>
      </w:r>
      <w:r w:rsidR="003C7C39">
        <w:rPr>
          <w:b/>
        </w:rPr>
        <w:t xml:space="preserve"> grilletes y </w:t>
      </w:r>
      <w:r>
        <w:rPr>
          <w:b/>
        </w:rPr>
        <w:t>la cicuta</w:t>
      </w:r>
      <w:r w:rsidR="003C7C39">
        <w:rPr>
          <w:b/>
        </w:rPr>
        <w:t xml:space="preserve"> </w:t>
      </w:r>
      <w:r w:rsidR="002D5A98">
        <w:rPr>
          <w:b/>
        </w:rPr>
        <w:t>(</w:t>
      </w:r>
      <w:r w:rsidR="002D5A98" w:rsidRPr="002D5A98">
        <w:rPr>
          <w:b/>
        </w:rPr>
        <w:t>reflexión sobre la íntima relación entre el placer y el dolor: a uno siempre le sigue el otro</w:t>
      </w:r>
      <w:r w:rsidR="002D5A98">
        <w:rPr>
          <w:b/>
        </w:rPr>
        <w:t>)</w:t>
      </w:r>
      <w:r w:rsidRPr="007A1A45">
        <w:rPr>
          <w:b/>
        </w:rPr>
        <w:t xml:space="preserve">  </w:t>
      </w:r>
    </w:p>
    <w:p w:rsidR="00DB0CCD" w:rsidRPr="00FA3D9D" w:rsidRDefault="007A1A45" w:rsidP="00DB0CCD">
      <w:pPr>
        <w:pStyle w:val="NormalWeb"/>
        <w:jc w:val="both"/>
      </w:pPr>
      <w:r>
        <w:rPr>
          <w:rFonts w:eastAsiaTheme="minorHAnsi" w:cstheme="minorBidi"/>
          <w:lang w:eastAsia="en-US"/>
        </w:rPr>
        <w:t>-</w:t>
      </w:r>
      <w:r w:rsidR="00C0426F">
        <w:rPr>
          <w:color w:val="000000"/>
        </w:rPr>
        <w:t xml:space="preserve"> </w:t>
      </w:r>
      <w:r w:rsidR="00DB0CCD" w:rsidRPr="00FA3D9D">
        <w:rPr>
          <w:u w:val="single"/>
        </w:rPr>
        <w:t>Europa avanza hacia Japón, no hacia EEUU</w:t>
      </w:r>
      <w:r w:rsidR="00DB0CCD">
        <w:t xml:space="preserve"> (El Economista - </w:t>
      </w:r>
      <w:r w:rsidR="00DB0CCD" w:rsidRPr="00FA3D9D">
        <w:rPr>
          <w:b/>
        </w:rPr>
        <w:t>22/10/14</w:t>
      </w:r>
      <w:r w:rsidR="00DB0CCD">
        <w:t>)</w:t>
      </w:r>
    </w:p>
    <w:p w:rsidR="00DB0CCD" w:rsidRPr="00FA3D9D" w:rsidRDefault="00DB0CCD" w:rsidP="00DB0CCD">
      <w:pPr>
        <w:pStyle w:val="NormalWeb"/>
        <w:jc w:val="both"/>
      </w:pPr>
      <w:r w:rsidRPr="00FA3D9D">
        <w:t>(Por Juan Ramón Rallo)</w:t>
      </w:r>
      <w:r w:rsidR="00F92961">
        <w:t xml:space="preserve">                                                                    Lectura recomendada</w:t>
      </w:r>
    </w:p>
    <w:p w:rsidR="00DB0CCD" w:rsidRPr="00F92961" w:rsidRDefault="00DB0CCD" w:rsidP="00DB0CCD">
      <w:pPr>
        <w:pStyle w:val="NormalWeb"/>
        <w:shd w:val="clear" w:color="auto" w:fill="FFFFFF"/>
        <w:jc w:val="both"/>
        <w:rPr>
          <w:color w:val="000000"/>
          <w:u w:val="single"/>
        </w:rPr>
      </w:pPr>
      <w:r w:rsidRPr="00F92961">
        <w:rPr>
          <w:color w:val="000000"/>
          <w:u w:val="single"/>
        </w:rPr>
        <w:t>El reciente estancamiento de la economía europea ha vuelto a resucitar las proclamas keynesianas de que el Viejo Continente necesita nuevos planes de estímulo para relanzar su crecimiento. Esta misma semana, el Gobierno francés presionaba al alemán para que disparara su gasto público en 50.000 millones a lo largo del próximo trienio: la idea es que un mayor gasto interior terminará filtrándose a sus vecinos en forma de mayores ventas hacia el gigante teutón.</w:t>
      </w:r>
    </w:p>
    <w:p w:rsidR="00DB0CCD" w:rsidRDefault="00DB0CCD" w:rsidP="00DB0CCD">
      <w:pPr>
        <w:pStyle w:val="NormalWeb"/>
        <w:shd w:val="clear" w:color="auto" w:fill="FFFFFF"/>
        <w:jc w:val="both"/>
        <w:rPr>
          <w:color w:val="000000"/>
          <w:u w:val="single"/>
        </w:rPr>
      </w:pPr>
      <w:r w:rsidRPr="00FA3D9D">
        <w:rPr>
          <w:color w:val="000000"/>
        </w:rPr>
        <w:t xml:space="preserve">Rajoy y sus cuates, evidentemente, también rezan para que Merkel abandone el equilibrio presupuestario, de modo que termine filtrándose algo de calderilla del contribuyente alemán dentro de nuestras fronteras. </w:t>
      </w:r>
      <w:r w:rsidRPr="00F92961">
        <w:rPr>
          <w:color w:val="000000"/>
          <w:u w:val="single"/>
        </w:rPr>
        <w:t xml:space="preserve">En este sentido, el paradigma de recuperación a lomos del gasto público parece ser EEUU, donde Obama y la Reserva Federal han colaborado en descuadrar las cuentas de la primera economía mundial. </w:t>
      </w:r>
      <w:r w:rsidRPr="00F92961">
        <w:rPr>
          <w:color w:val="FF0000"/>
          <w:u w:val="single"/>
        </w:rPr>
        <w:t>Poco les importa a los sicofantes de los estímulos estatales que el gasto público estadounidense lleve congelado en términos absolutos y reduciéndose en términos relativos desde 2010, o que el gasto público estadounidense siga siendo hoy 13 puntos inferior al de la eurozona (elementos que también deberían ponderar en sus simplificadores análisis).</w:t>
      </w:r>
      <w:r w:rsidRPr="00F92961">
        <w:rPr>
          <w:color w:val="FF0000"/>
        </w:rPr>
        <w:t xml:space="preserve"> </w:t>
      </w:r>
      <w:r w:rsidRPr="00F92961">
        <w:rPr>
          <w:color w:val="000000"/>
          <w:u w:val="single"/>
        </w:rPr>
        <w:t>Pero, además, apelar exclusivamente a Estados Unidos con el propósito de demostrar el probado éxito del keynesianismo resulta tergiversador en tanto en cuanto existen otras conocidas experiencias muchísimo menos exitosas... tal como sucede con Japón.</w:t>
      </w:r>
    </w:p>
    <w:p w:rsidR="00EA1375" w:rsidRPr="00F92961" w:rsidRDefault="00EA1375" w:rsidP="00DB0CCD">
      <w:pPr>
        <w:pStyle w:val="NormalWeb"/>
        <w:shd w:val="clear" w:color="auto" w:fill="FFFFFF"/>
        <w:jc w:val="both"/>
        <w:rPr>
          <w:color w:val="000000"/>
          <w:u w:val="single"/>
        </w:rPr>
      </w:pPr>
    </w:p>
    <w:p w:rsidR="00DB0CCD" w:rsidRPr="00F92961" w:rsidRDefault="00DB0CCD" w:rsidP="00DB0CCD">
      <w:pPr>
        <w:pStyle w:val="Ttulo2"/>
        <w:shd w:val="clear" w:color="auto" w:fill="FFFFFF"/>
        <w:jc w:val="both"/>
        <w:rPr>
          <w:b w:val="0"/>
          <w:color w:val="000000"/>
          <w:sz w:val="24"/>
          <w:szCs w:val="24"/>
        </w:rPr>
      </w:pPr>
      <w:r w:rsidRPr="00F92961">
        <w:rPr>
          <w:b w:val="0"/>
          <w:color w:val="000000"/>
          <w:sz w:val="24"/>
          <w:szCs w:val="24"/>
        </w:rPr>
        <w:lastRenderedPageBreak/>
        <w:t>La economía japonesa sigue plana</w:t>
      </w:r>
    </w:p>
    <w:p w:rsidR="00DB0CCD" w:rsidRPr="00F92961" w:rsidRDefault="00DB0CCD" w:rsidP="00DB0CCD">
      <w:pPr>
        <w:pStyle w:val="NormalWeb"/>
        <w:shd w:val="clear" w:color="auto" w:fill="FFFFFF"/>
        <w:jc w:val="both"/>
        <w:rPr>
          <w:color w:val="FF0000"/>
          <w:u w:val="single"/>
        </w:rPr>
      </w:pPr>
      <w:r w:rsidRPr="00F92961">
        <w:rPr>
          <w:color w:val="FF0000"/>
          <w:u w:val="single"/>
        </w:rPr>
        <w:t>Japón ha aumentado su gasto público nominal un 12% desde 2007, disparándolo desde el 33% del PIB al 40% en 2013</w:t>
      </w:r>
      <w:r w:rsidRPr="00FA3D9D">
        <w:rPr>
          <w:color w:val="000000"/>
        </w:rPr>
        <w:t xml:space="preserve">. </w:t>
      </w:r>
      <w:r w:rsidRPr="00F92961">
        <w:rPr>
          <w:color w:val="000000"/>
          <w:u w:val="single"/>
        </w:rPr>
        <w:t>Además, el primer ministro Shinzo Abe ha venido implantando desde finales de 2012 una muy expansiva política monetaria similar a las flexibilizaciones cuantitativas que al otro lado del Pacífico promovió Ben Bernanke.</w:t>
      </w:r>
      <w:r w:rsidRPr="00FA3D9D">
        <w:rPr>
          <w:color w:val="000000"/>
        </w:rPr>
        <w:t xml:space="preserve"> </w:t>
      </w:r>
      <w:r w:rsidRPr="00F92961">
        <w:rPr>
          <w:color w:val="FF0000"/>
          <w:u w:val="single"/>
        </w:rPr>
        <w:t>¿Y de qué ha servido semejante despliegue de estímulos estatales? Absolutamente de nada: la economía japonesa se ha mantenido totalmente plana entre mediados de 2013 y mediados de 2014. Es más, en el segundo trimestre de este año, el PIB se contrajo un 7,1% en términos anualizados.</w:t>
      </w:r>
    </w:p>
    <w:p w:rsidR="00DB0CCD" w:rsidRPr="00FA3D9D" w:rsidRDefault="00DB0CCD" w:rsidP="00DB0CCD">
      <w:pPr>
        <w:pStyle w:val="NormalWeb"/>
        <w:shd w:val="clear" w:color="auto" w:fill="FFFFFF"/>
        <w:jc w:val="both"/>
        <w:rPr>
          <w:color w:val="000000"/>
        </w:rPr>
      </w:pPr>
      <w:r w:rsidRPr="00FA3D9D">
        <w:rPr>
          <w:color w:val="000000"/>
        </w:rPr>
        <w:t>Lo normal en cualquier economía medianamente sana sería asistir ante un apreciable rebote tras semejante batacazo. Pero en el keynesiano e hiperestimulado Japón no parece que vaya a ser el caso: el nuevo ministro de Economía japonés, Akir</w:t>
      </w:r>
      <w:r w:rsidR="00F92961">
        <w:rPr>
          <w:color w:val="000000"/>
        </w:rPr>
        <w:t>a Amari, acaba de declarar que “</w:t>
      </w:r>
      <w:r w:rsidRPr="00FA3D9D">
        <w:rPr>
          <w:color w:val="000000"/>
        </w:rPr>
        <w:t>debido a los tifones y a las intensas lluvias de julio y agosto, la situación económica de Japón en el tercer trimestre probablemente no i</w:t>
      </w:r>
      <w:r w:rsidR="00F92961">
        <w:rPr>
          <w:color w:val="000000"/>
        </w:rPr>
        <w:t>ndique una robusta recuperación”</w:t>
      </w:r>
      <w:r w:rsidRPr="00FA3D9D">
        <w:rPr>
          <w:color w:val="000000"/>
        </w:rPr>
        <w:t>.</w:t>
      </w:r>
    </w:p>
    <w:p w:rsidR="00DB0CCD" w:rsidRPr="00F92961" w:rsidRDefault="00DB0CCD" w:rsidP="00DB0CCD">
      <w:pPr>
        <w:pStyle w:val="NormalWeb"/>
        <w:shd w:val="clear" w:color="auto" w:fill="FFFFFF"/>
        <w:jc w:val="both"/>
        <w:rPr>
          <w:color w:val="FF0000"/>
          <w:u w:val="single"/>
        </w:rPr>
      </w:pPr>
      <w:r w:rsidRPr="00F92961">
        <w:rPr>
          <w:color w:val="000000"/>
          <w:u w:val="single"/>
        </w:rPr>
        <w:t>Lejos de reconocer el fracaso absoluto del Abenomics, Amara ha optado por culpar al clima y por huir hacia adelante a la manera europea</w:t>
      </w:r>
      <w:r w:rsidRPr="00FA3D9D">
        <w:rPr>
          <w:color w:val="000000"/>
        </w:rPr>
        <w:t xml:space="preserve">. </w:t>
      </w:r>
      <w:r w:rsidRPr="00F92961">
        <w:rPr>
          <w:color w:val="FF0000"/>
          <w:u w:val="single"/>
        </w:rPr>
        <w:t>¿Que los megaestímulos no han funcionado? No pasa nada, eso es que nece</w:t>
      </w:r>
      <w:r w:rsidR="00F92961" w:rsidRPr="00F92961">
        <w:rPr>
          <w:color w:val="FF0000"/>
          <w:u w:val="single"/>
        </w:rPr>
        <w:t>sitamos todavía más estímulos: “</w:t>
      </w:r>
      <w:r w:rsidRPr="00F92961">
        <w:rPr>
          <w:color w:val="FF0000"/>
          <w:u w:val="single"/>
        </w:rPr>
        <w:t>Tendremos que optar por un paquete de estímulo que permita recolocar a la econ</w:t>
      </w:r>
      <w:r w:rsidR="00F92961" w:rsidRPr="00F92961">
        <w:rPr>
          <w:color w:val="FF0000"/>
          <w:u w:val="single"/>
        </w:rPr>
        <w:t>omía en la senda de crecimiento”</w:t>
      </w:r>
      <w:r w:rsidRPr="00F92961">
        <w:rPr>
          <w:color w:val="FF0000"/>
          <w:u w:val="single"/>
        </w:rPr>
        <w:t>.</w:t>
      </w:r>
    </w:p>
    <w:p w:rsidR="00DB0CCD" w:rsidRPr="00F92961" w:rsidRDefault="00DB0CCD" w:rsidP="00DB0CCD">
      <w:pPr>
        <w:pStyle w:val="NormalWeb"/>
        <w:shd w:val="clear" w:color="auto" w:fill="FFFFFF"/>
        <w:jc w:val="both"/>
        <w:rPr>
          <w:b/>
          <w:color w:val="FF0000"/>
          <w:u w:val="single"/>
        </w:rPr>
      </w:pPr>
      <w:r w:rsidRPr="00F92961">
        <w:rPr>
          <w:color w:val="FF0000"/>
          <w:u w:val="single"/>
        </w:rPr>
        <w:t>Dos décadas y media con planes de estímulo y la economía japonesa sigue fuera de la senda de crecimiento. Pero entonces, ¿por qué los promotores del keynesianismo manirroto dentro de Europa únicamente saben referirse al caso estadounidense y ocultan deliberadamente el fiasco nipón?</w:t>
      </w:r>
      <w:r w:rsidRPr="00FA3D9D">
        <w:rPr>
          <w:color w:val="000000"/>
        </w:rPr>
        <w:t xml:space="preserve"> </w:t>
      </w:r>
      <w:r w:rsidRPr="00F92961">
        <w:rPr>
          <w:b/>
          <w:color w:val="FF0000"/>
          <w:u w:val="single"/>
        </w:rPr>
        <w:t xml:space="preserve">A la postre, el país del Sol naciente guarda gigantescos paralelismos con el Viejo Continente: economía extremadamente rígida, sobreendeudamiento público y privado, burbuja inmobiliaria enquistada durante años, envejecimiento demográfico o sistema bancario a medio capitalizar. </w:t>
      </w:r>
    </w:p>
    <w:p w:rsidR="00DB0CCD" w:rsidRPr="00F92961" w:rsidRDefault="00DB0CCD" w:rsidP="00DB0CCD">
      <w:pPr>
        <w:pStyle w:val="Ttulo2"/>
        <w:shd w:val="clear" w:color="auto" w:fill="FFFFFF"/>
        <w:jc w:val="both"/>
        <w:rPr>
          <w:b w:val="0"/>
          <w:color w:val="000000"/>
          <w:sz w:val="24"/>
          <w:szCs w:val="24"/>
        </w:rPr>
      </w:pPr>
      <w:r w:rsidRPr="00F92961">
        <w:rPr>
          <w:b w:val="0"/>
          <w:color w:val="000000"/>
          <w:sz w:val="24"/>
          <w:szCs w:val="24"/>
        </w:rPr>
        <w:t>Para Europa: ahorro y libertad de mercado</w:t>
      </w:r>
    </w:p>
    <w:p w:rsidR="00DB0CCD" w:rsidRPr="00F92961" w:rsidRDefault="00DB0CCD" w:rsidP="00DB0CCD">
      <w:pPr>
        <w:pStyle w:val="NormalWeb"/>
        <w:shd w:val="clear" w:color="auto" w:fill="FFFFFF"/>
        <w:jc w:val="both"/>
        <w:rPr>
          <w:b/>
          <w:color w:val="FF0000"/>
          <w:u w:val="single"/>
        </w:rPr>
      </w:pPr>
      <w:r w:rsidRPr="00F92961">
        <w:rPr>
          <w:b/>
          <w:color w:val="FF0000"/>
          <w:u w:val="single"/>
        </w:rPr>
        <w:t xml:space="preserve">Debería ser obvio que la recuperación no llegará a Europa mediante un dopaje fiscal que rememore los peores años del Plan E español. La recuperación llegará, en todo caso, de la mano del ahorro y de la libertad de mercado: ahorro privado y público para comenzar a minorar su excesivo endeudamiento y flexibilidad para reconstruir su devastado aparato productivo. </w:t>
      </w:r>
    </w:p>
    <w:p w:rsidR="00DB0CCD" w:rsidRPr="00F92961" w:rsidRDefault="00DB0CCD" w:rsidP="00DB0CCD">
      <w:pPr>
        <w:pStyle w:val="NormalWeb"/>
        <w:shd w:val="clear" w:color="auto" w:fill="FFFFFF"/>
        <w:jc w:val="both"/>
        <w:rPr>
          <w:u w:val="single"/>
        </w:rPr>
      </w:pPr>
      <w:r w:rsidRPr="00F92961">
        <w:rPr>
          <w:b/>
          <w:color w:val="FF0000"/>
          <w:u w:val="single"/>
        </w:rPr>
        <w:t>La lección que debería estar extrayendo Europa de su propia crisis no es que deba seguir perseverando en el error del estatismo, del hiperendeudamiento y de la esclerosis productiva. Al contrario, Europa necesita solventar sus desequilibrios interiores, incrementando su inversión y pagando sus enormes deudas. Más ahorro y más libertad de mercado es lo que necesitamos</w:t>
      </w:r>
      <w:r w:rsidRPr="00FA3D9D">
        <w:rPr>
          <w:color w:val="000000"/>
        </w:rPr>
        <w:t xml:space="preserve">. </w:t>
      </w:r>
      <w:r w:rsidRPr="00F92961">
        <w:rPr>
          <w:color w:val="000000"/>
          <w:u w:val="single"/>
        </w:rPr>
        <w:t xml:space="preserve">En cambio, los desesperados eurócratas sólo saben ofrecernos más despilfarro financiado con emisiones de deuda dentro de un entorno empresarial maniatado: </w:t>
      </w:r>
      <w:r w:rsidRPr="00F92961">
        <w:rPr>
          <w:u w:val="single"/>
        </w:rPr>
        <w:t>un cúmulo de despropósitos que no nos acercará a EEUU, sino a Japón.</w:t>
      </w:r>
    </w:p>
    <w:p w:rsidR="00DB0CCD" w:rsidRPr="00FA3D9D" w:rsidRDefault="00DB0CCD" w:rsidP="00DB0CCD">
      <w:pPr>
        <w:pStyle w:val="NormalWeb"/>
        <w:shd w:val="clear" w:color="auto" w:fill="FFFFFF"/>
        <w:jc w:val="both"/>
        <w:rPr>
          <w:color w:val="000000"/>
        </w:rPr>
      </w:pPr>
      <w:r>
        <w:rPr>
          <w:bCs/>
          <w:iCs/>
          <w:color w:val="000000"/>
        </w:rPr>
        <w:lastRenderedPageBreak/>
        <w:t>(</w:t>
      </w:r>
      <w:r w:rsidRPr="00FA3D9D">
        <w:rPr>
          <w:bCs/>
          <w:iCs/>
          <w:color w:val="000000"/>
        </w:rPr>
        <w:t>Juan Ramón Rallo, director del Instituto Juan de Mariana y profe</w:t>
      </w:r>
      <w:r>
        <w:rPr>
          <w:bCs/>
          <w:iCs/>
          <w:color w:val="000000"/>
        </w:rPr>
        <w:t>sor del Centro de Estudios OMMA)</w:t>
      </w:r>
    </w:p>
    <w:p w:rsidR="00C0426F" w:rsidRDefault="00C0426F" w:rsidP="00C0426F">
      <w:pPr>
        <w:pStyle w:val="NormalWeb"/>
        <w:jc w:val="both"/>
      </w:pPr>
      <w:r>
        <w:t xml:space="preserve">- </w:t>
      </w:r>
      <w:r w:rsidRPr="000D693D">
        <w:rPr>
          <w:u w:val="single"/>
        </w:rPr>
        <w:t>Eurozona: parasitismo, servidumbre, autonomía o descomposición</w:t>
      </w:r>
      <w:r>
        <w:t xml:space="preserve"> (Vozpópuli - </w:t>
      </w:r>
      <w:r w:rsidRPr="000D693D">
        <w:rPr>
          <w:b/>
        </w:rPr>
        <w:t>23/10/14</w:t>
      </w:r>
      <w:r>
        <w:t>)</w:t>
      </w:r>
    </w:p>
    <w:p w:rsidR="00C0426F" w:rsidRDefault="00C0426F" w:rsidP="00C0426F">
      <w:pPr>
        <w:pStyle w:val="NormalWeb"/>
        <w:jc w:val="both"/>
      </w:pPr>
      <w:r>
        <w:t>(Por Juan  Ramón Rallo)</w:t>
      </w:r>
      <w:r w:rsidR="00F92961">
        <w:t xml:space="preserve">                                                                   Lectura recomendada</w:t>
      </w:r>
    </w:p>
    <w:p w:rsidR="00C0426F" w:rsidRPr="00F92961" w:rsidRDefault="00C0426F" w:rsidP="00C0426F">
      <w:pPr>
        <w:pStyle w:val="NormalWeb"/>
        <w:jc w:val="both"/>
        <w:rPr>
          <w:b/>
          <w:color w:val="FF0000"/>
          <w:u w:val="single"/>
        </w:rPr>
      </w:pPr>
      <w:r w:rsidRPr="00F92961">
        <w:rPr>
          <w:color w:val="FF0000"/>
          <w:u w:val="single"/>
        </w:rPr>
        <w:t>Con Hans-Werner Sinn llegó merecidamente la polémica: el director del centro de estudios Ifo ha colocado el dedo en la llaga al denunciar la perversa configuración hacia la que está avanzando Europa, a saber, hacia una mutualización centralizadora de la deuda combinada con una absoluta autonomía a la hora de emitir descentralizadamente esa deuda</w:t>
      </w:r>
      <w:r>
        <w:t xml:space="preserve">. </w:t>
      </w:r>
      <w:r w:rsidRPr="00F92961">
        <w:rPr>
          <w:b/>
          <w:color w:val="FF0000"/>
          <w:u w:val="single"/>
        </w:rPr>
        <w:t>Un canto irresistible a la irresponsabilidad más grotesca: los manirrotos Ejecutivos europeos se endeudan y los contribuyentes alemanes (y austriacos, y fineses, y holandeses) pagan con los platos rotos.</w:t>
      </w:r>
    </w:p>
    <w:p w:rsidR="00C0426F" w:rsidRPr="00F92961" w:rsidRDefault="00C0426F" w:rsidP="00C0426F">
      <w:pPr>
        <w:pStyle w:val="NormalWeb"/>
        <w:jc w:val="both"/>
        <w:rPr>
          <w:b/>
          <w:color w:val="FF0000"/>
          <w:u w:val="single"/>
        </w:rPr>
      </w:pPr>
      <w:r w:rsidRPr="00F92961">
        <w:rPr>
          <w:u w:val="single"/>
        </w:rPr>
        <w:t>Ese es el razonable diagnóstico que, como decimos, efectúa el conocido economista alemán toda vez que Manuel Valls en Francia y Matteo Renzi en Italia acaban de anunciar que incumplirán deliberadamente sus compromisos de déficit para 2014.</w:t>
      </w:r>
      <w:r>
        <w:t xml:space="preserve"> </w:t>
      </w:r>
      <w:r w:rsidRPr="00F92961">
        <w:rPr>
          <w:b/>
          <w:color w:val="FF0000"/>
          <w:u w:val="single"/>
        </w:rPr>
        <w:t>Normal, por tanto, que Sinn crea que ha llegado el momento de dar marcha atrás en la mutualización de la deuda europea para que cada país apechugue en solitario con ella sin trasladarle su coste a los alemanes: algo que básicamente implica cerrar el fondo de rescate intergubernamental MEDE, suspender la ventanilla de la</w:t>
      </w:r>
      <w:r w:rsidR="00F92961" w:rsidRPr="00F92961">
        <w:rPr>
          <w:b/>
          <w:color w:val="FF0000"/>
          <w:u w:val="single"/>
        </w:rPr>
        <w:t xml:space="preserve"> OMT del Banco Central Europeo -</w:t>
      </w:r>
      <w:r w:rsidRPr="00F92961">
        <w:rPr>
          <w:b/>
          <w:color w:val="FF0000"/>
          <w:u w:val="single"/>
        </w:rPr>
        <w:t>con la que hace más de dos añ</w:t>
      </w:r>
      <w:r w:rsidR="00F92961" w:rsidRPr="00F92961">
        <w:rPr>
          <w:b/>
          <w:color w:val="FF0000"/>
          <w:u w:val="single"/>
        </w:rPr>
        <w:t>os salvó de la quiebra a España-</w:t>
      </w:r>
      <w:r w:rsidRPr="00F92961">
        <w:rPr>
          <w:b/>
          <w:color w:val="FF0000"/>
          <w:u w:val="single"/>
        </w:rPr>
        <w:t>, e incluso liquidar en oro los saldos deudores del sistema Target2 (préstenle la atención debida a este último punto: que Sinn reclame liquidar en oro los saldos deudores interbancarios de la Eurozona significa, en el fondo, que no confía en la supervivencia a medio-largo plazo del euro).</w:t>
      </w:r>
    </w:p>
    <w:p w:rsidR="00C0426F" w:rsidRDefault="00C0426F" w:rsidP="00C0426F">
      <w:pPr>
        <w:pStyle w:val="NormalWeb"/>
        <w:jc w:val="both"/>
      </w:pPr>
      <w:r>
        <w:t xml:space="preserve">Todas ellas </w:t>
      </w:r>
      <w:r w:rsidRPr="00F92961">
        <w:rPr>
          <w:u w:val="single"/>
        </w:rPr>
        <w:t>críticas pertinentes que ponen de manifiesto</w:t>
      </w:r>
      <w:r>
        <w:t xml:space="preserve">, sí, </w:t>
      </w:r>
      <w:r w:rsidRPr="00F92961">
        <w:rPr>
          <w:u w:val="single"/>
        </w:rPr>
        <w:t>una cierta indefinición fundamental dentro la Eurozona que será preciso resolver en el futuro próximo</w:t>
      </w:r>
      <w:r>
        <w:t xml:space="preserve">: </w:t>
      </w:r>
      <w:r w:rsidR="004A70C9">
        <w:rPr>
          <w:b/>
          <w:color w:val="FF0000"/>
          <w:u w:val="single"/>
        </w:rPr>
        <w:t>a saber, si mantene</w:t>
      </w:r>
      <w:r w:rsidRPr="004A70C9">
        <w:rPr>
          <w:b/>
          <w:color w:val="FF0000"/>
          <w:u w:val="single"/>
        </w:rPr>
        <w:t>mos los esquemas actuales de mutualización de la deuda pública a cambio de ceder soberanía fiscal o si, en cambio, mantenemos la autonomía fiscal a cambio de retirar los esquemas actuales de mutualización de la deuda</w:t>
      </w:r>
      <w:r>
        <w:t>. A la postre, si bien dentro de la Eurozona existen cuatro posibles opciones resultantes de combinar la posibilidad de mutualizar o no la deuda con la de centralizar la política fiscal o no hacerlo, en la práctica sólo las dos antedichas posiciones podrían llegar a ser medianamente estables. Examinémoslas brevemente.</w:t>
      </w:r>
    </w:p>
    <w:p w:rsidR="00EA1375" w:rsidRPr="00AF7493" w:rsidRDefault="00AF7493" w:rsidP="00C0426F">
      <w:pPr>
        <w:pStyle w:val="NormalWeb"/>
        <w:jc w:val="both"/>
        <w:rPr>
          <w:rStyle w:val="Textoennegrita"/>
          <w:b w:val="0"/>
          <w:bCs w:val="0"/>
        </w:rPr>
      </w:pPr>
      <w:r>
        <w:rPr>
          <w:rStyle w:val="Textoennegrita"/>
          <w:b w:val="0"/>
          <w:bCs w:val="0"/>
        </w:rPr>
        <w:t xml:space="preserve">       </w:t>
      </w:r>
      <w:r w:rsidR="00C0426F">
        <w:rPr>
          <w:noProof/>
        </w:rPr>
        <w:drawing>
          <wp:inline distT="0" distB="0" distL="0" distR="0" wp14:anchorId="174E8736" wp14:editId="3AA5E90D">
            <wp:extent cx="4686300" cy="111125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86300" cy="1111250"/>
                    </a:xfrm>
                    <a:prstGeom prst="rect">
                      <a:avLst/>
                    </a:prstGeom>
                    <a:noFill/>
                    <a:ln>
                      <a:noFill/>
                    </a:ln>
                  </pic:spPr>
                </pic:pic>
              </a:graphicData>
            </a:graphic>
          </wp:inline>
        </w:drawing>
      </w:r>
    </w:p>
    <w:p w:rsidR="00C0426F" w:rsidRPr="00E367D5" w:rsidRDefault="00C0426F" w:rsidP="00C0426F">
      <w:pPr>
        <w:pStyle w:val="NormalWeb"/>
        <w:jc w:val="both"/>
        <w:rPr>
          <w:b/>
        </w:rPr>
      </w:pPr>
      <w:r w:rsidRPr="00E367D5">
        <w:rPr>
          <w:rStyle w:val="Textoennegrita"/>
          <w:b w:val="0"/>
        </w:rPr>
        <w:t>Parasitismo</w:t>
      </w:r>
    </w:p>
    <w:p w:rsidR="00C0426F" w:rsidRPr="004A70C9" w:rsidRDefault="00C0426F" w:rsidP="00C0426F">
      <w:pPr>
        <w:pStyle w:val="NormalWeb"/>
        <w:jc w:val="both"/>
        <w:rPr>
          <w:u w:val="single"/>
        </w:rPr>
      </w:pPr>
      <w:r w:rsidRPr="004A70C9">
        <w:rPr>
          <w:color w:val="FF0000"/>
          <w:u w:val="single"/>
        </w:rPr>
        <w:t xml:space="preserve">La situación actual dentro de la Eurozona se corresponde con un parasitismo fiscal del Sur contra el Norte: los Gobiernos sureños han adquirido la potestad de emitir deuda </w:t>
      </w:r>
      <w:r w:rsidRPr="004A70C9">
        <w:rPr>
          <w:color w:val="FF0000"/>
          <w:u w:val="single"/>
        </w:rPr>
        <w:lastRenderedPageBreak/>
        <w:t>pública nacional que, en última instancia, está siendo avalada por los países del Norte. Si el Sur no paga, el Norte lo hará</w:t>
      </w:r>
      <w:r>
        <w:t xml:space="preserve">: esto es, </w:t>
      </w:r>
      <w:r w:rsidRPr="004A70C9">
        <w:rPr>
          <w:u w:val="single"/>
        </w:rPr>
        <w:t>mientras que los beneficios del gasto financiado con la emisión de deuda son disfrutados íntegramente por el Sur, sus riesgos son soportados en última instancia por el Norte.</w:t>
      </w:r>
    </w:p>
    <w:p w:rsidR="00C0426F" w:rsidRPr="004A70C9" w:rsidRDefault="00C0426F" w:rsidP="00C0426F">
      <w:pPr>
        <w:pStyle w:val="NormalWeb"/>
        <w:jc w:val="both"/>
        <w:rPr>
          <w:u w:val="single"/>
        </w:rPr>
      </w:pPr>
      <w:r w:rsidRPr="004A70C9">
        <w:rPr>
          <w:u w:val="single"/>
        </w:rPr>
        <w:t xml:space="preserve">Evidentemente, Alemania, Austria, Finlandia u Holanda sólo han aceptado esta situación de parasitismo de forma temporal y con una única esperanza: que los gobiernos del Sur sean lo suficientemente disciplinados como para, durante estos años de gracia, reestructurar sus economías y comenzar a amortizar su montaña de deuda acumulada durante los años de burbuja. Dicho de otro modo, el Norte le ha regalado tiempo y financiación al Sur para que éste se sanee. </w:t>
      </w:r>
    </w:p>
    <w:p w:rsidR="00C0426F" w:rsidRDefault="00C0426F" w:rsidP="00C0426F">
      <w:pPr>
        <w:pStyle w:val="NormalWeb"/>
        <w:jc w:val="both"/>
      </w:pPr>
      <w:r w:rsidRPr="004A70C9">
        <w:rPr>
          <w:u w:val="single"/>
        </w:rPr>
        <w:t xml:space="preserve">Pero, por desgracia, lo que estos </w:t>
      </w:r>
      <w:r w:rsidR="003C7C39">
        <w:rPr>
          <w:u w:val="single"/>
        </w:rPr>
        <w:t>últimos años están demostrando -</w:t>
      </w:r>
      <w:r w:rsidRPr="004A70C9">
        <w:rPr>
          <w:u w:val="single"/>
        </w:rPr>
        <w:t xml:space="preserve">tal como nos </w:t>
      </w:r>
      <w:r w:rsidR="003C7C39">
        <w:rPr>
          <w:u w:val="single"/>
        </w:rPr>
        <w:t>barruntábamos algunos-</w:t>
      </w:r>
      <w:r w:rsidRPr="004A70C9">
        <w:rPr>
          <w:u w:val="single"/>
        </w:rPr>
        <w:t xml:space="preserve"> es que la combinación de autonomía fiscal y mutualización de la deuda no funciona, ya que </w:t>
      </w:r>
      <w:r w:rsidRPr="004A70C9">
        <w:rPr>
          <w:color w:val="FF0000"/>
          <w:u w:val="single"/>
        </w:rPr>
        <w:t>los Estados rescatados del Sur adquieren los muy perversos incentivos de seguir emitiendo deuda a costa de los Estados rescatadores del Norte.</w:t>
      </w:r>
      <w:r>
        <w:t xml:space="preserve"> Lejos de comportarse responsablemente, </w:t>
      </w:r>
      <w:r w:rsidRPr="004A70C9">
        <w:rPr>
          <w:color w:val="FF0000"/>
          <w:u w:val="single"/>
        </w:rPr>
        <w:t>ha</w:t>
      </w:r>
      <w:r w:rsidR="004A70C9" w:rsidRPr="004A70C9">
        <w:rPr>
          <w:color w:val="FF0000"/>
          <w:u w:val="single"/>
        </w:rPr>
        <w:t>n hecho lo que todo ser humano -</w:t>
      </w:r>
      <w:r w:rsidRPr="004A70C9">
        <w:rPr>
          <w:color w:val="FF0000"/>
          <w:u w:val="single"/>
        </w:rPr>
        <w:t xml:space="preserve">y </w:t>
      </w:r>
      <w:r w:rsidR="004A70C9" w:rsidRPr="004A70C9">
        <w:rPr>
          <w:color w:val="FF0000"/>
          <w:u w:val="single"/>
        </w:rPr>
        <w:t>por supuesto todo político-</w:t>
      </w:r>
      <w:r w:rsidRPr="004A70C9">
        <w:rPr>
          <w:color w:val="FF0000"/>
          <w:u w:val="single"/>
        </w:rPr>
        <w:t xml:space="preserve"> haría al verse sometido a pésimos incentivos: comportarse irresponsablemente</w:t>
      </w:r>
      <w:r>
        <w:t xml:space="preserve">. </w:t>
      </w:r>
      <w:r w:rsidRPr="004A70C9">
        <w:rPr>
          <w:u w:val="single"/>
        </w:rPr>
        <w:t>Por eso, la situación terminará volviéndose insostenible tal como augura Sinn. La cuestión es hacia dónde nos dirigiremos.</w:t>
      </w:r>
    </w:p>
    <w:p w:rsidR="00C0426F" w:rsidRDefault="00C0426F" w:rsidP="00C0426F">
      <w:pPr>
        <w:pStyle w:val="NormalWeb"/>
        <w:jc w:val="both"/>
      </w:pPr>
      <w:r>
        <w:t>Servidumbre</w:t>
      </w:r>
    </w:p>
    <w:p w:rsidR="00C0426F" w:rsidRPr="004A70C9" w:rsidRDefault="00C0426F" w:rsidP="00C0426F">
      <w:pPr>
        <w:pStyle w:val="NormalWeb"/>
        <w:jc w:val="both"/>
        <w:rPr>
          <w:color w:val="FF0000"/>
          <w:u w:val="single"/>
        </w:rPr>
      </w:pPr>
      <w:r w:rsidRPr="004A70C9">
        <w:rPr>
          <w:u w:val="single"/>
        </w:rPr>
        <w:t>La servidumbre del Sur ante el Norte es la opción preferida por muchos ciudadanos españoles, quienes ingenuamente siguen viendo a las burocracias europeas como entes benevolentes que se preocuparían por el bienestar general</w:t>
      </w:r>
      <w:r>
        <w:t xml:space="preserve">. Por eso, no dudan en ceder autonomía presupuestaria a una superburocracia a cambio de que esa superburocracia avale nuestra deuda y nos permita seguir financiándonos asequiblemente. </w:t>
      </w:r>
      <w:r w:rsidRPr="004A70C9">
        <w:rPr>
          <w:color w:val="FF0000"/>
        </w:rPr>
        <w:t>¿</w:t>
      </w:r>
      <w:r w:rsidRPr="004A70C9">
        <w:rPr>
          <w:color w:val="FF0000"/>
          <w:u w:val="single"/>
        </w:rPr>
        <w:t>Qué puede salir mal? Avancemos hacia la integración europea y, de paso, que los europeos nos concedan crédito barato para seguir endeudándonos sine die.</w:t>
      </w:r>
    </w:p>
    <w:p w:rsidR="00C0426F" w:rsidRDefault="00C0426F" w:rsidP="00C0426F">
      <w:pPr>
        <w:pStyle w:val="NormalWeb"/>
        <w:jc w:val="both"/>
      </w:pPr>
      <w:r w:rsidRPr="004A70C9">
        <w:rPr>
          <w:u w:val="single"/>
        </w:rPr>
        <w:t xml:space="preserve">Sin embargo, no deberíamos olvidar que la centralización fiscal europea implicaría que los Presupuestos Generales del Estado para España se redactaran en Bruselas o, más exactamente, en Berlín. </w:t>
      </w:r>
      <w:r w:rsidRPr="004A70C9">
        <w:rPr>
          <w:color w:val="FF0000"/>
          <w:u w:val="single"/>
        </w:rPr>
        <w:t>¿Aceptarían impenitentemente los españoles que Alemania, Austria y Finlandia pudiesen decretar por su cuenta un recorte del 15% en las pensiones españolas? ¿O una rebaja del 20% en el gasto en educación? ¿O que el IVA se disparara al 25%?</w:t>
      </w:r>
      <w:r>
        <w:t xml:space="preserve"> No parece que a muchos los recortes por delegación les sentaran mejor que los recortes aplicados por políticos patrios: y seamos conscientes de que, mientras perdurara nuestro déficit, los recortes aplicados por Bruselas no dejarían de sucederse (lo que hoy son recomendaciones o presiones sería ley).</w:t>
      </w:r>
    </w:p>
    <w:p w:rsidR="00C15AD8" w:rsidRDefault="00C0426F" w:rsidP="00C0426F">
      <w:pPr>
        <w:pStyle w:val="NormalWeb"/>
        <w:jc w:val="both"/>
        <w:rPr>
          <w:color w:val="FF0000"/>
          <w:u w:val="single"/>
        </w:rPr>
      </w:pPr>
      <w:r w:rsidRPr="004A70C9">
        <w:rPr>
          <w:u w:val="single"/>
        </w:rPr>
        <w:t>En la práctica, por tanto, es muy dudoso que la inmensa mayoría de españoles aceptara ceder el presupuesto a cambio de una financiación barata</w:t>
      </w:r>
      <w:r>
        <w:t xml:space="preserve"> (</w:t>
      </w:r>
      <w:r w:rsidRPr="004A70C9">
        <w:rPr>
          <w:color w:val="FF0000"/>
          <w:u w:val="single"/>
        </w:rPr>
        <w:t>y, mucho menos, cesión del presupuesto sin mutualización de la deuda, posición que implicaría una dominación sin contrapartidas del Norte sobre el Sur</w:t>
      </w:r>
      <w:r>
        <w:t xml:space="preserve">). Y además tampoco nos conviene: </w:t>
      </w:r>
      <w:r w:rsidRPr="004A70C9">
        <w:rPr>
          <w:u w:val="single"/>
        </w:rPr>
        <w:t xml:space="preserve">lejos de avanzar hacia superestructuras estatales que diluyan todavía más la autonomía individual, deberíamos avanzar hacia estructuras mucho más descentralizadas donde primaran los lazos voluntarios y el consentimiento. </w:t>
      </w:r>
      <w:r w:rsidRPr="004A70C9">
        <w:rPr>
          <w:color w:val="FF0000"/>
          <w:u w:val="single"/>
        </w:rPr>
        <w:t>La Unión Europea es la antítesis de esa descentralización voluntarista y, por tanto, la servidumbre ante los Estados norteños no debería ser una opción.</w:t>
      </w:r>
    </w:p>
    <w:p w:rsidR="00C0426F" w:rsidRPr="00C15AD8" w:rsidRDefault="00C0426F" w:rsidP="00C0426F">
      <w:pPr>
        <w:pStyle w:val="NormalWeb"/>
        <w:jc w:val="both"/>
        <w:rPr>
          <w:color w:val="FF0000"/>
          <w:u w:val="single"/>
        </w:rPr>
      </w:pPr>
      <w:r>
        <w:lastRenderedPageBreak/>
        <w:t>Autonomía</w:t>
      </w:r>
    </w:p>
    <w:p w:rsidR="00C0426F" w:rsidRPr="004A70C9" w:rsidRDefault="00C0426F" w:rsidP="00C0426F">
      <w:pPr>
        <w:pStyle w:val="NormalWeb"/>
        <w:jc w:val="both"/>
        <w:rPr>
          <w:u w:val="single"/>
        </w:rPr>
      </w:pPr>
      <w:r w:rsidRPr="004A70C9">
        <w:rPr>
          <w:b/>
          <w:color w:val="FF0000"/>
          <w:u w:val="single"/>
        </w:rPr>
        <w:t>La principal alternativa a la servidumbre es la autonomía fiscal</w:t>
      </w:r>
      <w:r>
        <w:t xml:space="preserve">: </w:t>
      </w:r>
      <w:r w:rsidRPr="004A70C9">
        <w:rPr>
          <w:color w:val="FF0000"/>
          <w:u w:val="single"/>
        </w:rPr>
        <w:t>los presupuestos se siguen elaborando descentralizadamente en cada Estado europeo pero no hay mutualización de deuda (ni mediante el banco central ni mediante fondos estatales). Es la situación en la que nos encontrábamos hasta 2010 y a la que ahora Sinn quiere regresar.</w:t>
      </w:r>
      <w:r>
        <w:t xml:space="preserve"> </w:t>
      </w:r>
      <w:r w:rsidRPr="004A70C9">
        <w:rPr>
          <w:u w:val="single"/>
        </w:rPr>
        <w:t>Se trata de la posición más sensata pero a su vez enormemente molesta para todos aquellos que viven del presupuesto</w:t>
      </w:r>
      <w:r>
        <w:t xml:space="preserve">: </w:t>
      </w:r>
      <w:r w:rsidRPr="004A70C9">
        <w:rPr>
          <w:b/>
          <w:color w:val="FF0000"/>
          <w:u w:val="single"/>
        </w:rPr>
        <w:t>dado que cada palo aguanta su vela</w:t>
      </w:r>
      <w:r>
        <w:t xml:space="preserve">, </w:t>
      </w:r>
      <w:r w:rsidRPr="004A70C9">
        <w:rPr>
          <w:u w:val="single"/>
        </w:rPr>
        <w:t>aquellos Estados relativamente menos solventes ven cómo los tipos de interés de su deuda se disparan, de modo que sus gobernantes rápidamente se enfrentan a la disyuntiva de cuadrar sus cuentas o de quebrar.</w:t>
      </w:r>
    </w:p>
    <w:p w:rsidR="00C0426F" w:rsidRPr="004A70C9" w:rsidRDefault="00C0426F" w:rsidP="00C0426F">
      <w:pPr>
        <w:pStyle w:val="NormalWeb"/>
        <w:jc w:val="both"/>
        <w:rPr>
          <w:b/>
          <w:color w:val="FF0000"/>
          <w:u w:val="single"/>
        </w:rPr>
      </w:pPr>
      <w:r w:rsidRPr="004A70C9">
        <w:rPr>
          <w:color w:val="FF0000"/>
          <w:u w:val="single"/>
        </w:rPr>
        <w:t>Así, la autonomía fiscal es la única posición que incentiva la responsabilidad y disciplina a largo plazo de los gobernantes:</w:t>
      </w:r>
      <w:r>
        <w:t xml:space="preserve"> la famosa corresponsabilidad que se reclama para las comunidades autónomas españolas que también habría que reclamar para los Estados europeos individualmente considerados. </w:t>
      </w:r>
      <w:r w:rsidRPr="004A70C9">
        <w:rPr>
          <w:b/>
          <w:color w:val="FF0000"/>
          <w:u w:val="single"/>
        </w:rPr>
        <w:t>Pero responsabilidad implica aceptar e interiorizar los costes de la irresponsabilidad: a saber, la posibilidad de quebrar y de vernos privados del crédito para financiar nuestros déficits. Es ese horizonte de hecatombe económica el que en todo caso podría atar en corto a nuestros manirrotos gobernantes.</w:t>
      </w:r>
    </w:p>
    <w:p w:rsidR="00C0426F" w:rsidRPr="00D45E81" w:rsidRDefault="00C0426F" w:rsidP="00C0426F">
      <w:pPr>
        <w:pStyle w:val="NormalWeb"/>
        <w:jc w:val="both"/>
        <w:rPr>
          <w:color w:val="FF0000"/>
          <w:u w:val="single"/>
        </w:rPr>
      </w:pPr>
      <w:r w:rsidRPr="004A70C9">
        <w:rPr>
          <w:b/>
          <w:color w:val="FF0000"/>
          <w:u w:val="single"/>
        </w:rPr>
        <w:t>La cuestión, claro está, es si el euro será capaz de sobrevivir a un conjunto de quiebras en cadena dentro del sur europeo. Sinn asume que sí, trazando el paralelismo con las quiebras estatales acaecidas dentro de EEUU que no han supuesto mayores perjuicios.</w:t>
      </w:r>
      <w:r w:rsidRPr="004A70C9">
        <w:rPr>
          <w:color w:val="FF0000"/>
        </w:rPr>
        <w:t xml:space="preserve"> </w:t>
      </w:r>
      <w:r w:rsidRPr="00D45E81">
        <w:rPr>
          <w:color w:val="FF0000"/>
          <w:u w:val="single"/>
        </w:rPr>
        <w:t>Mas existen dos diferencias básicas entre la Eurozona y EEUU: la primera es que la deuda agregada de los Estados en EEUU ni siquiera alcanza el 20% del PIB, mientras que en la Eurozona supera el 92%; la segunda, que la quiebra de al</w:t>
      </w:r>
      <w:r w:rsidR="00D45E81">
        <w:rPr>
          <w:color w:val="FF0000"/>
          <w:u w:val="single"/>
        </w:rPr>
        <w:t>gunos grandes Estados europeos -</w:t>
      </w:r>
      <w:r w:rsidRPr="00D45E81">
        <w:rPr>
          <w:color w:val="FF0000"/>
          <w:u w:val="single"/>
        </w:rPr>
        <w:t>com</w:t>
      </w:r>
      <w:r w:rsidR="00D45E81">
        <w:rPr>
          <w:color w:val="FF0000"/>
          <w:u w:val="single"/>
        </w:rPr>
        <w:t>o España, Italia o Francia-</w:t>
      </w:r>
      <w:r w:rsidRPr="00D45E81">
        <w:rPr>
          <w:color w:val="FF0000"/>
          <w:u w:val="single"/>
        </w:rPr>
        <w:t xml:space="preserve"> sí abocaría a la bancarrota a la mayor parte de la banca europea, generando un cataclismo financiero de primer orden (que los Estados europeos tratarían de paliar imprimiendo divisa y generando inflación, para lo cual necesitarían no sólo autonomía fiscal sino también autonomía monetaria).</w:t>
      </w:r>
    </w:p>
    <w:p w:rsidR="00C0426F" w:rsidRDefault="00C0426F" w:rsidP="00C0426F">
      <w:pPr>
        <w:pStyle w:val="NormalWeb"/>
        <w:jc w:val="both"/>
        <w:rPr>
          <w:b/>
          <w:color w:val="FF0000"/>
          <w:u w:val="single"/>
        </w:rPr>
      </w:pPr>
      <w:r w:rsidRPr="00D45E81">
        <w:rPr>
          <w:color w:val="FF0000"/>
          <w:u w:val="single"/>
        </w:rPr>
        <w:t>En suma, si bien la autonomía fiscal de los gobiernos constituye la mejor opción dentro de un saludable marco de unidad monetaria (tal como operó el patrón oro durante el siglo XIX), esta autonomía sólo funciona adecuadamente con Estados medianamente honestos y preocupados por el largo plazo y por cumplir con sus compromisos:</w:t>
      </w:r>
      <w:r>
        <w:t xml:space="preserve"> en caso contrario, son plenamente capaces de exteriorizar los costes de sus despropósitos sobre el conjunto de la ciudadanía y de sus acreedores internacionales. Por desgracia, este tipo de gobernantes no se corresponde con ninguno que quepa encontrar en el Ejecutivo o en la oposición y por eso </w:t>
      </w:r>
      <w:r w:rsidRPr="00D45E81">
        <w:rPr>
          <w:b/>
          <w:color w:val="FF0000"/>
          <w:u w:val="single"/>
        </w:rPr>
        <w:t>la autonomía fiscal, siendo la mejor opción, no está exenta de poder degenerar en un inquietante colapso financiero.</w:t>
      </w:r>
    </w:p>
    <w:p w:rsidR="003C7C39" w:rsidRDefault="003C7C39" w:rsidP="00C0426F">
      <w:pPr>
        <w:pStyle w:val="NormalWeb"/>
        <w:jc w:val="both"/>
        <w:rPr>
          <w:b/>
        </w:rPr>
      </w:pPr>
      <w:r>
        <w:rPr>
          <w:b/>
        </w:rPr>
        <w:t>- Las placas tectónicas de la crisis (caldo de cultivo del populismo): más allá de la ortodoxia germánica, austríaca, luterana o calvinista</w:t>
      </w:r>
      <w:r w:rsidR="00907F49">
        <w:rPr>
          <w:b/>
        </w:rPr>
        <w:t xml:space="preserve"> </w:t>
      </w:r>
    </w:p>
    <w:p w:rsidR="003C7C39" w:rsidRPr="00907F49" w:rsidRDefault="006F254F" w:rsidP="00C0426F">
      <w:pPr>
        <w:pStyle w:val="NormalWeb"/>
        <w:jc w:val="both"/>
        <w:rPr>
          <w:rStyle w:val="author"/>
        </w:rPr>
      </w:pPr>
      <w:r w:rsidRPr="00907F49">
        <w:rPr>
          <w:rStyle w:val="author"/>
        </w:rPr>
        <w:t xml:space="preserve">Florentino Felgueroso es investigador asociado de Fedea en funcionamiento de los mercados de trabajo y las instituciones laborales, las políticas de empleo y la educación. Ha sido investigador afiliado del CEPR y CentrA, consultor experto en temas laborales </w:t>
      </w:r>
      <w:r w:rsidRPr="00907F49">
        <w:rPr>
          <w:rStyle w:val="author"/>
        </w:rPr>
        <w:lastRenderedPageBreak/>
        <w:t>y educativos para la Comisión Europea, la OIT, la OCDE y el Banco de Desarrollo Interamericano y Profesor titular de Economía de la Universidad de Oviedo.</w:t>
      </w:r>
    </w:p>
    <w:p w:rsidR="00AF7493" w:rsidRDefault="006F254F" w:rsidP="00AF7493">
      <w:pPr>
        <w:pStyle w:val="NormalWeb"/>
        <w:jc w:val="both"/>
      </w:pPr>
      <w:r w:rsidRPr="00907F49">
        <w:rPr>
          <w:rStyle w:val="author"/>
        </w:rPr>
        <w:t xml:space="preserve">En un interesante artículo publicado en Nada es Gratis (Fedea - </w:t>
      </w:r>
      <w:r w:rsidRPr="00907F49">
        <w:rPr>
          <w:rStyle w:val="author"/>
          <w:b/>
        </w:rPr>
        <w:t>24/10/14</w:t>
      </w:r>
      <w:r w:rsidRPr="00907F49">
        <w:rPr>
          <w:rStyle w:val="author"/>
        </w:rPr>
        <w:t xml:space="preserve">): </w:t>
      </w:r>
      <w:r w:rsidR="00C52A8E" w:rsidRPr="00907F49">
        <w:rPr>
          <w:u w:val="single"/>
        </w:rPr>
        <w:t>Midiendo el paro como los americanos: aún más líderes</w:t>
      </w:r>
      <w:r w:rsidRPr="00907F49">
        <w:t>, calcula el desempleo europeo</w:t>
      </w:r>
      <w:r w:rsidR="00907F49" w:rsidRPr="00907F49">
        <w:t xml:space="preserve"> en base a los seis indicadores del paro, o más precisamente, de lo que denominan la “infra-utilización” del trabajo</w:t>
      </w:r>
      <w:r w:rsidR="00907F49">
        <w:t>,</w:t>
      </w:r>
      <w:r w:rsidR="00907F49" w:rsidRPr="00907F49">
        <w:t xml:space="preserve"> que</w:t>
      </w:r>
      <w:r w:rsidR="00907F49">
        <w:t xml:space="preserve"> utiliza</w:t>
      </w:r>
      <w:r w:rsidR="00907F49" w:rsidRPr="00907F49">
        <w:t xml:space="preserve"> </w:t>
      </w:r>
      <w:r w:rsidR="00C52A8E" w:rsidRPr="00907F49">
        <w:t xml:space="preserve">el </w:t>
      </w:r>
      <w:hyperlink r:id="rId40" w:history="1">
        <w:r w:rsidR="00C52A8E" w:rsidRPr="00907F49">
          <w:rPr>
            <w:rStyle w:val="Hipervnculo"/>
            <w:color w:val="auto"/>
            <w:u w:val="none"/>
          </w:rPr>
          <w:t>Bureau of Labor Statistics</w:t>
        </w:r>
      </w:hyperlink>
      <w:r w:rsidR="00907F49" w:rsidRPr="00907F49">
        <w:t xml:space="preserve"> (EEUU). El objetivo </w:t>
      </w:r>
      <w:r w:rsidR="00C52A8E" w:rsidRPr="00907F49">
        <w:t>es calcular estos ind</w:t>
      </w:r>
      <w:r w:rsidR="00907F49" w:rsidRPr="00907F49">
        <w:t>icadores para los</w:t>
      </w:r>
      <w:r w:rsidR="00AF7493">
        <w:t xml:space="preserve"> países europeos</w:t>
      </w:r>
    </w:p>
    <w:p w:rsidR="00AF7493" w:rsidRDefault="00C52A8E" w:rsidP="00AF7493">
      <w:pPr>
        <w:pStyle w:val="NormalWeb"/>
        <w:jc w:val="both"/>
      </w:pPr>
      <w:r>
        <w:rPr>
          <w:noProof/>
          <w:color w:val="0000FF"/>
        </w:rPr>
        <w:drawing>
          <wp:inline distT="0" distB="0" distL="0" distR="0" wp14:anchorId="47FF5FA7" wp14:editId="2B0573B1">
            <wp:extent cx="5397500" cy="7105650"/>
            <wp:effectExtent l="0" t="0" r="0" b="0"/>
            <wp:docPr id="7" name="Imagen 7" descr="Cuadro1">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adro1">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7500" cy="7105650"/>
                    </a:xfrm>
                    <a:prstGeom prst="rect">
                      <a:avLst/>
                    </a:prstGeom>
                    <a:noFill/>
                    <a:ln>
                      <a:noFill/>
                    </a:ln>
                  </pic:spPr>
                </pic:pic>
              </a:graphicData>
            </a:graphic>
          </wp:inline>
        </w:drawing>
      </w:r>
    </w:p>
    <w:p w:rsidR="00AF7493" w:rsidRDefault="00AF7493" w:rsidP="00AF7493">
      <w:pPr>
        <w:pStyle w:val="NormalWeb"/>
        <w:jc w:val="both"/>
      </w:pPr>
      <w:r w:rsidRPr="00907F49">
        <w:lastRenderedPageBreak/>
        <w:t>En realidad, se centra en 4 indicadores, lo que se denominan por el BLS como U3, U4, U5 y U6.</w:t>
      </w:r>
      <w:r>
        <w:t xml:space="preserve"> </w:t>
      </w:r>
    </w:p>
    <w:p w:rsidR="00AF7493" w:rsidRPr="00907F49" w:rsidRDefault="00AF7493" w:rsidP="00AF7493">
      <w:pPr>
        <w:pStyle w:val="NormalWeb"/>
        <w:jc w:val="both"/>
      </w:pPr>
      <w:r w:rsidRPr="00907F49">
        <w:t>Parte del U3, que no es otra que la tasa de paro siguiendo los criterios de la OIT. Recuerda (sin entrar en los detalles que impone la definición estricta), que se consideran como parados (o numerador de la tasa de paro) a aquellas personas que no trabajan, pero que han buscado empleo y además estarían disponibles para empezar a trabajar. Si se suman los parados a los ocupados se obtiene los activos (el denominador de la tasa de paro). El resto de la población son los inactivos.</w:t>
      </w:r>
    </w:p>
    <w:p w:rsidR="00AF7493" w:rsidRPr="00907F49" w:rsidRDefault="00AF7493" w:rsidP="00AF7493">
      <w:pPr>
        <w:pStyle w:val="NormalWeb"/>
        <w:jc w:val="both"/>
      </w:pPr>
      <w:r w:rsidRPr="00907F49">
        <w:t>A partir de U3, se van añadiendo grupos de personas que la definición de la OIT ha excluido, y se los suman tanto al numerador como al denominador. En primer lugar, para calcular U4, se añaden los trabajadores que, aun estando disponibles,  no buscan por razones relacionadas con el mercado de trabajo (ya sea porque creen que no lo van a encontrar -los desanimados- o porque están afectados por una regulación de empleo).</w:t>
      </w:r>
    </w:p>
    <w:p w:rsidR="00AF7493" w:rsidRPr="00907F49" w:rsidRDefault="00AF7493" w:rsidP="00AF7493">
      <w:pPr>
        <w:pStyle w:val="NormalWeb"/>
        <w:jc w:val="both"/>
      </w:pPr>
      <w:r w:rsidRPr="00907F49">
        <w:t>Para obtener U5, se añade a U4, el resto de personas disponibles que no han trabajado, ni han buscado activamente empleo en el último mes, pero están d</w:t>
      </w:r>
      <w:r>
        <w:t>isponibles y desean trabajar.</w:t>
      </w:r>
    </w:p>
    <w:p w:rsidR="00AF7493" w:rsidRDefault="00AF7493" w:rsidP="00AF7493">
      <w:pPr>
        <w:pStyle w:val="NormalWeb"/>
        <w:jc w:val="both"/>
      </w:pPr>
      <w:r w:rsidRPr="00907F49">
        <w:t>Finalmente, para calcular U6, se añaden (de nuevo al numerador y al denominador) a las personas que trabajan, pero lo hacen a tiempo parcial de forma no deseada o involuntaria, porque no han encontrado un empleo a tiempo completo.</w:t>
      </w:r>
    </w:p>
    <w:p w:rsidR="00AF7493" w:rsidRPr="00AF7493" w:rsidRDefault="00AF7493" w:rsidP="00AF7493">
      <w:pPr>
        <w:pStyle w:val="NormalWeb"/>
        <w:jc w:val="both"/>
        <w:rPr>
          <w:u w:val="single"/>
        </w:rPr>
      </w:pPr>
      <w:r w:rsidRPr="00AF7493">
        <w:rPr>
          <w:u w:val="single"/>
        </w:rPr>
        <w:t>Los viejos fantasmas europeos (el riesgo de entrar caminando hacia atrás en el futuro)</w:t>
      </w:r>
    </w:p>
    <w:p w:rsidR="00314DBC" w:rsidRDefault="00314DBC" w:rsidP="00314DBC">
      <w:pPr>
        <w:shd w:val="clear" w:color="auto" w:fill="FFFFFF"/>
        <w:spacing w:after="360" w:line="240" w:lineRule="auto"/>
        <w:jc w:val="both"/>
        <w:rPr>
          <w:rFonts w:ascii="Times New Roman" w:hAnsi="Times New Roman"/>
          <w:color w:val="000000"/>
          <w:sz w:val="24"/>
          <w:szCs w:val="24"/>
        </w:rPr>
      </w:pPr>
      <w:r w:rsidRPr="00E96FA2">
        <w:rPr>
          <w:rFonts w:ascii="Times New Roman" w:hAnsi="Times New Roman"/>
          <w:color w:val="000000"/>
          <w:sz w:val="24"/>
          <w:szCs w:val="24"/>
        </w:rPr>
        <w:t>La dura y larga crisis económica</w:t>
      </w:r>
      <w:r>
        <w:rPr>
          <w:rFonts w:ascii="Times New Roman" w:hAnsi="Times New Roman"/>
          <w:color w:val="000000"/>
          <w:sz w:val="24"/>
          <w:szCs w:val="24"/>
        </w:rPr>
        <w:t xml:space="preserve"> que golpea a una gran parte de los países</w:t>
      </w:r>
      <w:r w:rsidRPr="00E96FA2">
        <w:rPr>
          <w:rFonts w:ascii="Times New Roman" w:hAnsi="Times New Roman"/>
          <w:color w:val="000000"/>
          <w:sz w:val="24"/>
          <w:szCs w:val="24"/>
        </w:rPr>
        <w:t xml:space="preserve"> de Europa ha impactado de forma muy sustancial en la conciencia de mucha gente, generando un </w:t>
      </w:r>
      <w:r w:rsidRPr="00314DBC">
        <w:rPr>
          <w:rFonts w:ascii="Times New Roman" w:hAnsi="Times New Roman"/>
          <w:bCs/>
          <w:color w:val="000000"/>
          <w:sz w:val="24"/>
          <w:szCs w:val="24"/>
        </w:rPr>
        <w:t>caldo de cultivo propicio para el auge del populismo</w:t>
      </w:r>
      <w:r w:rsidRPr="00E96FA2">
        <w:rPr>
          <w:rFonts w:ascii="Times New Roman" w:hAnsi="Times New Roman"/>
          <w:color w:val="000000"/>
          <w:sz w:val="24"/>
          <w:szCs w:val="24"/>
        </w:rPr>
        <w:t>, tal y como ya aconteció en épocas pasadas de la historia.</w:t>
      </w:r>
    </w:p>
    <w:p w:rsidR="00314DBC" w:rsidRPr="00314DBC" w:rsidRDefault="00314DBC" w:rsidP="00314DBC">
      <w:pPr>
        <w:pStyle w:val="NormalWeb"/>
        <w:jc w:val="both"/>
      </w:pPr>
      <w:r w:rsidRPr="00314DBC">
        <w:rPr>
          <w:color w:val="000000"/>
        </w:rPr>
        <w:t xml:space="preserve">Uno de los estudios más detallados a este respecto es el </w:t>
      </w:r>
      <w:hyperlink r:id="rId43" w:tgtFrame="_blank" w:history="1">
        <w:r w:rsidRPr="00314DBC">
          <w:rPr>
            <w:i/>
            <w:iCs/>
          </w:rPr>
          <w:t>Transatlantic Trends</w:t>
        </w:r>
      </w:hyperlink>
      <w:r w:rsidRPr="00314DBC">
        <w:rPr>
          <w:color w:val="000000"/>
        </w:rPr>
        <w:t>, una encuesta anual que toma el pulso a la opinión pública estadounidense y europea sobre asuntos clave de la actualidad global.</w:t>
      </w:r>
      <w:r>
        <w:rPr>
          <w:color w:val="000000"/>
        </w:rPr>
        <w:t xml:space="preserve"> </w:t>
      </w:r>
      <w:r>
        <w:t xml:space="preserve">(Fuente: Libertad Digital - </w:t>
      </w:r>
      <w:r w:rsidRPr="00E96FA2">
        <w:rPr>
          <w:b/>
        </w:rPr>
        <w:t>23/10/14</w:t>
      </w:r>
      <w:r>
        <w:t>)</w:t>
      </w:r>
    </w:p>
    <w:p w:rsidR="00314DBC" w:rsidRPr="00E0202D" w:rsidRDefault="00314DBC" w:rsidP="00314DBC">
      <w:pPr>
        <w:shd w:val="clear" w:color="auto" w:fill="FFFFFF"/>
        <w:spacing w:after="360" w:line="240" w:lineRule="auto"/>
        <w:jc w:val="both"/>
        <w:rPr>
          <w:rFonts w:ascii="Times New Roman" w:hAnsi="Times New Roman"/>
          <w:color w:val="000000"/>
          <w:sz w:val="24"/>
          <w:szCs w:val="24"/>
        </w:rPr>
      </w:pPr>
      <w:r w:rsidRPr="00E0202D">
        <w:rPr>
          <w:rFonts w:ascii="Times New Roman" w:hAnsi="Times New Roman"/>
          <w:color w:val="000000"/>
          <w:sz w:val="24"/>
          <w:szCs w:val="24"/>
        </w:rPr>
        <w:t xml:space="preserve">En su última edición, el informe destaca, en primer lugar, el amplio impacto que ha tenido la crisis económica en los países del sur de Europa. El 65% de los europeos declara que ellos o su familia se han visto afectados o </w:t>
      </w:r>
      <w:r w:rsidRPr="00E0202D">
        <w:rPr>
          <w:rFonts w:ascii="Times New Roman" w:hAnsi="Times New Roman"/>
          <w:bCs/>
          <w:color w:val="000000"/>
          <w:sz w:val="24"/>
          <w:szCs w:val="24"/>
        </w:rPr>
        <w:t xml:space="preserve">muy afectados por la crisis </w:t>
      </w:r>
      <w:r w:rsidRPr="00E0202D">
        <w:rPr>
          <w:rFonts w:ascii="Times New Roman" w:hAnsi="Times New Roman"/>
          <w:color w:val="000000"/>
          <w:sz w:val="24"/>
          <w:szCs w:val="24"/>
        </w:rPr>
        <w:t>en 2013, frente al 55% en 2009, pero esta cifra se dispara en las economías más débiles de la zona euro.</w:t>
      </w:r>
    </w:p>
    <w:p w:rsidR="00314DBC" w:rsidRPr="00E0202D" w:rsidRDefault="00314DBC" w:rsidP="00314DBC">
      <w:pPr>
        <w:shd w:val="clear" w:color="auto" w:fill="FFFFFF"/>
        <w:spacing w:after="360" w:line="240" w:lineRule="auto"/>
        <w:jc w:val="both"/>
        <w:rPr>
          <w:rFonts w:ascii="Times New Roman" w:hAnsi="Times New Roman"/>
          <w:color w:val="000000"/>
          <w:sz w:val="24"/>
          <w:szCs w:val="24"/>
        </w:rPr>
      </w:pPr>
      <w:r w:rsidRPr="00E0202D">
        <w:rPr>
          <w:rFonts w:ascii="Times New Roman" w:hAnsi="Times New Roman"/>
          <w:color w:val="000000"/>
          <w:sz w:val="24"/>
          <w:szCs w:val="24"/>
        </w:rPr>
        <w:t xml:space="preserve">En este sentido, destacan </w:t>
      </w:r>
      <w:r w:rsidRPr="00E0202D">
        <w:rPr>
          <w:rFonts w:ascii="Times New Roman" w:hAnsi="Times New Roman"/>
          <w:bCs/>
          <w:color w:val="000000"/>
          <w:sz w:val="24"/>
          <w:szCs w:val="24"/>
        </w:rPr>
        <w:t>Portugal (90%) y España (82%)</w:t>
      </w:r>
      <w:r w:rsidRPr="00E0202D">
        <w:rPr>
          <w:rFonts w:ascii="Times New Roman" w:hAnsi="Times New Roman"/>
          <w:color w:val="000000"/>
          <w:sz w:val="24"/>
          <w:szCs w:val="24"/>
        </w:rPr>
        <w:t>, pero, recientemente, también</w:t>
      </w:r>
      <w:r w:rsidRPr="00E0202D">
        <w:rPr>
          <w:rFonts w:ascii="Times New Roman" w:hAnsi="Times New Roman"/>
          <w:bCs/>
          <w:color w:val="000000"/>
          <w:sz w:val="24"/>
          <w:szCs w:val="24"/>
        </w:rPr>
        <w:t xml:space="preserve"> Francia</w:t>
      </w:r>
      <w:r w:rsidRPr="00E0202D">
        <w:rPr>
          <w:rFonts w:ascii="Times New Roman" w:hAnsi="Times New Roman"/>
          <w:color w:val="000000"/>
          <w:sz w:val="24"/>
          <w:szCs w:val="24"/>
        </w:rPr>
        <w:t>, con un 65% frente al 53% registrado en 2012 (una subida de 12 puntos). El mayor porcentaje de quienes manifiestan sentirse poco o nada afectados por la crisis se observa en Suecia y Alemania (70% y 56%, respectivamente).</w:t>
      </w:r>
    </w:p>
    <w:p w:rsidR="00314DBC" w:rsidRPr="00FF401D" w:rsidRDefault="00314DBC" w:rsidP="00314DBC">
      <w:pPr>
        <w:shd w:val="clear" w:color="auto" w:fill="FFFFFF"/>
        <w:spacing w:after="360" w:line="240" w:lineRule="auto"/>
        <w:jc w:val="both"/>
        <w:rPr>
          <w:rFonts w:ascii="Times New Roman" w:hAnsi="Times New Roman"/>
          <w:color w:val="000000"/>
          <w:sz w:val="24"/>
          <w:szCs w:val="24"/>
        </w:rPr>
      </w:pPr>
      <w:r w:rsidRPr="00E96FA2">
        <w:rPr>
          <w:rFonts w:ascii="Times New Roman" w:hAnsi="Times New Roman"/>
          <w:noProof/>
          <w:color w:val="0971B2"/>
          <w:sz w:val="24"/>
          <w:szCs w:val="24"/>
          <w:lang w:eastAsia="es-ES"/>
        </w:rPr>
        <w:lastRenderedPageBreak/>
        <w:drawing>
          <wp:inline distT="0" distB="0" distL="0" distR="0" wp14:anchorId="4CE42DDD" wp14:editId="68C0667A">
            <wp:extent cx="5391150" cy="2628900"/>
            <wp:effectExtent l="0" t="0" r="0" b="0"/>
            <wp:docPr id="70" name="Imagen 70" descr="http://s.libertaddigital.com/fotos/noticias/poden5.jpg">
              <a:hlinkClick xmlns:a="http://schemas.openxmlformats.org/drawingml/2006/main" r:id="rId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fotos/noticias/poden5.jpg">
                      <a:hlinkClick r:id="rId44" tgtFrame="&quot;_blank&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91150" cy="2628900"/>
                    </a:xfrm>
                    <a:prstGeom prst="rect">
                      <a:avLst/>
                    </a:prstGeom>
                    <a:noFill/>
                    <a:ln>
                      <a:noFill/>
                    </a:ln>
                  </pic:spPr>
                </pic:pic>
              </a:graphicData>
            </a:graphic>
          </wp:inline>
        </w:drawing>
      </w:r>
      <w:r w:rsidRPr="00E0202D">
        <w:rPr>
          <w:rFonts w:ascii="Times New Roman" w:hAnsi="Times New Roman"/>
          <w:sz w:val="24"/>
          <w:szCs w:val="24"/>
        </w:rPr>
        <w:t xml:space="preserve">Por norma general, las dificultades económicas suelen generar un gran </w:t>
      </w:r>
      <w:r w:rsidRPr="00E0202D">
        <w:rPr>
          <w:rFonts w:ascii="Times New Roman" w:hAnsi="Times New Roman"/>
          <w:bCs/>
          <w:sz w:val="24"/>
          <w:szCs w:val="24"/>
        </w:rPr>
        <w:t>descontento social</w:t>
      </w:r>
      <w:r w:rsidRPr="00E0202D">
        <w:rPr>
          <w:rFonts w:ascii="Times New Roman" w:hAnsi="Times New Roman"/>
          <w:sz w:val="24"/>
          <w:szCs w:val="24"/>
        </w:rPr>
        <w:t xml:space="preserve">, pero la clave aquí es la percepción general sobre las </w:t>
      </w:r>
      <w:r w:rsidRPr="00E0202D">
        <w:rPr>
          <w:rFonts w:ascii="Times New Roman" w:hAnsi="Times New Roman"/>
          <w:bCs/>
          <w:sz w:val="24"/>
          <w:szCs w:val="24"/>
        </w:rPr>
        <w:t>causas y posibles soluciones a la crisis</w:t>
      </w:r>
      <w:r w:rsidRPr="00E0202D">
        <w:rPr>
          <w:rFonts w:ascii="Times New Roman" w:hAnsi="Times New Roman"/>
          <w:sz w:val="24"/>
          <w:szCs w:val="24"/>
        </w:rPr>
        <w:t xml:space="preserve">, de tal modo que uno u otro diagnóstico llevan a resultados muy diferentes, tanto a nivel político como económico. </w:t>
      </w:r>
    </w:p>
    <w:p w:rsidR="00314DBC" w:rsidRPr="00E0202D" w:rsidRDefault="00314DBC" w:rsidP="00314DBC">
      <w:pPr>
        <w:shd w:val="clear" w:color="auto" w:fill="FFFFFF"/>
        <w:spacing w:after="360" w:line="240" w:lineRule="auto"/>
        <w:jc w:val="both"/>
        <w:rPr>
          <w:rFonts w:ascii="Times New Roman" w:hAnsi="Times New Roman"/>
          <w:sz w:val="24"/>
          <w:szCs w:val="24"/>
        </w:rPr>
      </w:pPr>
      <w:r w:rsidRPr="00E0202D">
        <w:rPr>
          <w:rFonts w:ascii="Times New Roman" w:hAnsi="Times New Roman"/>
          <w:sz w:val="24"/>
          <w:szCs w:val="24"/>
        </w:rPr>
        <w:t xml:space="preserve">Los españoles, polacos y franceses son quienes menos aprueban la gestión económica de sus respectivos gobiernos, con un 18%, 23% y 23%, respectivamente. Es decir, los </w:t>
      </w:r>
      <w:r w:rsidRPr="00E0202D">
        <w:rPr>
          <w:rFonts w:ascii="Times New Roman" w:hAnsi="Times New Roman"/>
          <w:bCs/>
          <w:sz w:val="24"/>
          <w:szCs w:val="24"/>
        </w:rPr>
        <w:t>españoles son los que menos se fían de sus políticos</w:t>
      </w:r>
      <w:r w:rsidRPr="00E0202D">
        <w:rPr>
          <w:rFonts w:ascii="Times New Roman" w:hAnsi="Times New Roman"/>
          <w:sz w:val="24"/>
          <w:szCs w:val="24"/>
        </w:rPr>
        <w:t xml:space="preserve">, pero, curiosamente, </w:t>
      </w:r>
      <w:hyperlink r:id="rId46" w:tgtFrame="_blank" w:history="1">
        <w:r w:rsidRPr="00E0202D">
          <w:rPr>
            <w:rFonts w:ascii="Times New Roman" w:hAnsi="Times New Roman"/>
            <w:sz w:val="24"/>
            <w:szCs w:val="24"/>
          </w:rPr>
          <w:t>desean darles más poder a través del Estado</w:t>
        </w:r>
      </w:hyperlink>
      <w:r w:rsidRPr="00E0202D">
        <w:rPr>
          <w:rFonts w:ascii="Times New Roman" w:hAnsi="Times New Roman"/>
          <w:sz w:val="24"/>
          <w:szCs w:val="24"/>
        </w:rPr>
        <w:t xml:space="preserve"> para solventar los problemas del país.</w:t>
      </w:r>
    </w:p>
    <w:p w:rsidR="00314DBC" w:rsidRPr="00E0202D" w:rsidRDefault="00314DBC" w:rsidP="00314DBC">
      <w:pPr>
        <w:shd w:val="clear" w:color="auto" w:fill="FFFFFF"/>
        <w:spacing w:after="360" w:line="240" w:lineRule="auto"/>
        <w:jc w:val="both"/>
        <w:rPr>
          <w:rFonts w:ascii="Times New Roman" w:hAnsi="Times New Roman"/>
          <w:sz w:val="24"/>
          <w:szCs w:val="24"/>
        </w:rPr>
      </w:pPr>
      <w:r w:rsidRPr="00E0202D">
        <w:rPr>
          <w:rFonts w:ascii="Times New Roman" w:hAnsi="Times New Roman"/>
          <w:sz w:val="24"/>
          <w:szCs w:val="24"/>
        </w:rPr>
        <w:t xml:space="preserve">Mientras que en la UE, de media, el 66% de la población desaprueba la gestión de sus gobiernos, en el caso de España alcanza el </w:t>
      </w:r>
      <w:r w:rsidRPr="00E0202D">
        <w:rPr>
          <w:rFonts w:ascii="Times New Roman" w:hAnsi="Times New Roman"/>
          <w:bCs/>
          <w:sz w:val="24"/>
          <w:szCs w:val="24"/>
        </w:rPr>
        <w:t>82%</w:t>
      </w:r>
      <w:r w:rsidRPr="00E0202D">
        <w:rPr>
          <w:rFonts w:ascii="Times New Roman" w:hAnsi="Times New Roman"/>
          <w:sz w:val="24"/>
          <w:szCs w:val="24"/>
        </w:rPr>
        <w:t>, el nivel más alto de los países analizados. También destaca Francia, con un rechazo del 74%, tras subir 17 puntos respecto a 2012. Además, España también presenta el menor apoyo al liderazgo europeo que ostenta la canciller alemana, Angela Merkel, y a la gestión de la crisis llevada a cabo por las instituciones europeas.</w:t>
      </w:r>
    </w:p>
    <w:p w:rsidR="00E0202D" w:rsidRPr="00FF401D" w:rsidRDefault="00E0202D" w:rsidP="00E0202D">
      <w:pPr>
        <w:shd w:val="clear" w:color="auto" w:fill="FFFFFF"/>
        <w:spacing w:after="360" w:line="240" w:lineRule="auto"/>
        <w:jc w:val="both"/>
        <w:rPr>
          <w:rFonts w:ascii="Times New Roman" w:hAnsi="Times New Roman"/>
          <w:color w:val="000000"/>
          <w:sz w:val="24"/>
          <w:szCs w:val="24"/>
        </w:rPr>
      </w:pPr>
      <w:r w:rsidRPr="00E96FA2">
        <w:rPr>
          <w:rFonts w:ascii="Times New Roman" w:hAnsi="Times New Roman"/>
          <w:noProof/>
          <w:color w:val="0971B2"/>
          <w:sz w:val="24"/>
          <w:szCs w:val="24"/>
          <w:lang w:eastAsia="es-ES"/>
        </w:rPr>
        <w:drawing>
          <wp:inline distT="0" distB="0" distL="0" distR="0" wp14:anchorId="532FCAF9" wp14:editId="6B8A99DB">
            <wp:extent cx="5365750" cy="2692400"/>
            <wp:effectExtent l="0" t="0" r="6350" b="0"/>
            <wp:docPr id="69" name="Imagen 69" descr="http://s.libertaddigital.com/fotos/noticias/poden1.jpg">
              <a:hlinkClick xmlns:a="http://schemas.openxmlformats.org/drawingml/2006/main" r:id="rId4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poden1.jpg">
                      <a:hlinkClick r:id="rId47" tgtFrame="&quot;_blank&quot;"/>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65750" cy="2692400"/>
                    </a:xfrm>
                    <a:prstGeom prst="rect">
                      <a:avLst/>
                    </a:prstGeom>
                    <a:noFill/>
                    <a:ln>
                      <a:noFill/>
                    </a:ln>
                  </pic:spPr>
                </pic:pic>
              </a:graphicData>
            </a:graphic>
          </wp:inline>
        </w:drawing>
      </w:r>
      <w:r w:rsidRPr="00E0202D">
        <w:rPr>
          <w:rFonts w:ascii="Times New Roman" w:hAnsi="Times New Roman"/>
          <w:sz w:val="24"/>
          <w:szCs w:val="24"/>
        </w:rPr>
        <w:t xml:space="preserve">Este último punto también refleja la percepción negativa que, en general, tienen sobre la denominada troika (Comisión Europea, Banco Central Europeo y Fondo Monetario </w:t>
      </w:r>
      <w:r w:rsidRPr="00E0202D">
        <w:rPr>
          <w:rFonts w:ascii="Times New Roman" w:hAnsi="Times New Roman"/>
          <w:sz w:val="24"/>
          <w:szCs w:val="24"/>
        </w:rPr>
        <w:lastRenderedPageBreak/>
        <w:t>Internacional), responsable de las políticas de austeridad y reformas que deben aplicar los países más débiles del euro -ver gráfico anterior-.</w:t>
      </w:r>
    </w:p>
    <w:p w:rsidR="00E0202D" w:rsidRPr="00E0202D" w:rsidRDefault="00E0202D" w:rsidP="00E0202D">
      <w:pPr>
        <w:shd w:val="clear" w:color="auto" w:fill="FFFFFF"/>
        <w:spacing w:after="360" w:line="240" w:lineRule="auto"/>
        <w:jc w:val="both"/>
        <w:rPr>
          <w:rFonts w:ascii="Times New Roman" w:hAnsi="Times New Roman"/>
          <w:sz w:val="24"/>
          <w:szCs w:val="24"/>
        </w:rPr>
      </w:pPr>
      <w:r w:rsidRPr="00E0202D">
        <w:rPr>
          <w:rFonts w:ascii="Times New Roman" w:hAnsi="Times New Roman"/>
          <w:sz w:val="24"/>
          <w:szCs w:val="24"/>
        </w:rPr>
        <w:t>Los tres países más frágiles del euro (España, Portugal e Italia) expresan una fuerte desaprobación a la gestión e</w:t>
      </w:r>
      <w:r w:rsidRPr="00E0202D">
        <w:rPr>
          <w:rFonts w:ascii="Times New Roman" w:hAnsi="Times New Roman"/>
          <w:bCs/>
          <w:sz w:val="24"/>
          <w:szCs w:val="24"/>
        </w:rPr>
        <w:t xml:space="preserve"> influencia de Merkel </w:t>
      </w:r>
      <w:r w:rsidRPr="00E0202D">
        <w:rPr>
          <w:rFonts w:ascii="Times New Roman" w:hAnsi="Times New Roman"/>
          <w:sz w:val="24"/>
          <w:szCs w:val="24"/>
        </w:rPr>
        <w:t>en la crisis europea (82%, 65% y 58%, respectivamente).</w:t>
      </w:r>
    </w:p>
    <w:p w:rsidR="00E0202D" w:rsidRPr="00E0202D" w:rsidRDefault="00E0202D" w:rsidP="00E0202D">
      <w:pPr>
        <w:shd w:val="clear" w:color="auto" w:fill="FFFFFF"/>
        <w:spacing w:after="360" w:line="240" w:lineRule="auto"/>
        <w:jc w:val="both"/>
        <w:rPr>
          <w:rFonts w:ascii="Times New Roman" w:hAnsi="Times New Roman"/>
          <w:sz w:val="24"/>
          <w:szCs w:val="24"/>
        </w:rPr>
      </w:pPr>
      <w:r w:rsidRPr="00E0202D">
        <w:rPr>
          <w:rFonts w:ascii="Times New Roman" w:hAnsi="Times New Roman"/>
          <w:sz w:val="24"/>
          <w:szCs w:val="24"/>
        </w:rPr>
        <w:t xml:space="preserve">Asimismo, los países de la UE más afectados por la crisis tienden a arrojar los índices más elevados de descontento con la </w:t>
      </w:r>
      <w:r w:rsidRPr="00E0202D">
        <w:rPr>
          <w:rFonts w:ascii="Times New Roman" w:hAnsi="Times New Roman"/>
          <w:bCs/>
          <w:sz w:val="24"/>
          <w:szCs w:val="24"/>
        </w:rPr>
        <w:t xml:space="preserve">gestión llevada a cabo por la UE </w:t>
      </w:r>
      <w:r w:rsidRPr="00E0202D">
        <w:rPr>
          <w:rFonts w:ascii="Times New Roman" w:hAnsi="Times New Roman"/>
          <w:sz w:val="24"/>
          <w:szCs w:val="24"/>
        </w:rPr>
        <w:t>(España: 75%; Francia, Portugal, Reino Unido: 55%; Italia: 49%). Esto explica en parte el creciente desapego que existe hacia la UE y la pertenencia al euro.</w:t>
      </w:r>
    </w:p>
    <w:p w:rsidR="00E0202D" w:rsidRPr="00E0202D" w:rsidRDefault="00E0202D" w:rsidP="00E0202D">
      <w:pPr>
        <w:shd w:val="clear" w:color="auto" w:fill="FFFFFF"/>
        <w:spacing w:after="360" w:line="240" w:lineRule="auto"/>
        <w:jc w:val="both"/>
        <w:rPr>
          <w:rFonts w:ascii="Times New Roman" w:hAnsi="Times New Roman"/>
          <w:sz w:val="24"/>
          <w:szCs w:val="24"/>
        </w:rPr>
      </w:pPr>
      <w:r w:rsidRPr="00E0202D">
        <w:rPr>
          <w:rFonts w:ascii="Times New Roman" w:hAnsi="Times New Roman"/>
          <w:sz w:val="24"/>
          <w:szCs w:val="24"/>
        </w:rPr>
        <w:t xml:space="preserve">Otra de las críticas más extendidas es que el </w:t>
      </w:r>
      <w:r w:rsidRPr="00E0202D">
        <w:rPr>
          <w:rFonts w:ascii="Times New Roman" w:hAnsi="Times New Roman"/>
          <w:bCs/>
          <w:sz w:val="24"/>
          <w:szCs w:val="24"/>
        </w:rPr>
        <w:t>actual sistema económico beneficia a unos pocos</w:t>
      </w:r>
      <w:r w:rsidRPr="00E0202D">
        <w:rPr>
          <w:rFonts w:ascii="Times New Roman" w:hAnsi="Times New Roman"/>
          <w:sz w:val="24"/>
          <w:szCs w:val="24"/>
        </w:rPr>
        <w:t>, a los ricos y privilegiados, a costa de la mayoría de la población.</w:t>
      </w:r>
    </w:p>
    <w:p w:rsidR="00E0202D" w:rsidRPr="00E0202D" w:rsidRDefault="00E0202D" w:rsidP="00E0202D">
      <w:pPr>
        <w:shd w:val="clear" w:color="auto" w:fill="FFFFFF"/>
        <w:spacing w:after="360" w:line="240" w:lineRule="auto"/>
        <w:jc w:val="both"/>
        <w:rPr>
          <w:rFonts w:ascii="Times New Roman" w:hAnsi="Times New Roman"/>
          <w:sz w:val="24"/>
          <w:szCs w:val="24"/>
        </w:rPr>
      </w:pPr>
      <w:r w:rsidRPr="00E0202D">
        <w:rPr>
          <w:rFonts w:ascii="Times New Roman" w:hAnsi="Times New Roman"/>
          <w:sz w:val="24"/>
          <w:szCs w:val="24"/>
        </w:rPr>
        <w:t>De media, el 82% de los europeos cree que su sistema económico recompensa desproporcionadamente a unos pocos a expensas del grueso de la población, frente al 68% de estadounidenses, por ejemplo.</w:t>
      </w:r>
    </w:p>
    <w:p w:rsidR="00E0202D" w:rsidRPr="00E0202D" w:rsidRDefault="00E0202D" w:rsidP="00E0202D">
      <w:pPr>
        <w:shd w:val="clear" w:color="auto" w:fill="FFFFFF"/>
        <w:spacing w:after="360" w:line="240" w:lineRule="auto"/>
        <w:jc w:val="both"/>
        <w:rPr>
          <w:rFonts w:ascii="Times New Roman" w:hAnsi="Times New Roman"/>
          <w:sz w:val="24"/>
          <w:szCs w:val="24"/>
        </w:rPr>
      </w:pPr>
      <w:r w:rsidRPr="00E0202D">
        <w:rPr>
          <w:rFonts w:ascii="Times New Roman" w:hAnsi="Times New Roman"/>
          <w:sz w:val="24"/>
          <w:szCs w:val="24"/>
        </w:rPr>
        <w:t xml:space="preserve">Pero, dentro de Europa, en varios países se alcanza la unanimidad: el 93% de italianos cree que su sistema económico recompensa a unos pocos, igual que el 92% de los portugueses o el </w:t>
      </w:r>
      <w:r w:rsidRPr="00E0202D">
        <w:rPr>
          <w:rFonts w:ascii="Times New Roman" w:hAnsi="Times New Roman"/>
          <w:bCs/>
          <w:sz w:val="24"/>
          <w:szCs w:val="24"/>
        </w:rPr>
        <w:t xml:space="preserve">91% de los españoles </w:t>
      </w:r>
      <w:r w:rsidRPr="00E0202D">
        <w:rPr>
          <w:rFonts w:ascii="Times New Roman" w:hAnsi="Times New Roman"/>
          <w:sz w:val="24"/>
          <w:szCs w:val="24"/>
        </w:rPr>
        <w:t>(superior al 82% en 2012). En términos relativos, el mayor porcentaje de quienes piensan que su sistema funciona de manera justa para todos son holandeses (35%), suecos (34%) y estadounidenses (25%).</w:t>
      </w:r>
    </w:p>
    <w:p w:rsidR="00E0202D" w:rsidRPr="00E96FA2" w:rsidRDefault="00E0202D" w:rsidP="00E0202D">
      <w:pPr>
        <w:shd w:val="clear" w:color="auto" w:fill="FFFFFF"/>
        <w:spacing w:after="360" w:line="240" w:lineRule="auto"/>
        <w:jc w:val="both"/>
        <w:rPr>
          <w:rFonts w:ascii="Times New Roman" w:hAnsi="Times New Roman"/>
          <w:color w:val="000000"/>
          <w:sz w:val="24"/>
          <w:szCs w:val="24"/>
          <w:u w:val="single"/>
        </w:rPr>
      </w:pPr>
      <w:r w:rsidRPr="00E96FA2">
        <w:rPr>
          <w:rFonts w:ascii="Times New Roman" w:hAnsi="Times New Roman"/>
          <w:noProof/>
          <w:color w:val="0971B2"/>
          <w:sz w:val="24"/>
          <w:szCs w:val="24"/>
          <w:lang w:eastAsia="es-ES"/>
        </w:rPr>
        <w:drawing>
          <wp:inline distT="0" distB="0" distL="0" distR="0" wp14:anchorId="37BE3DC4" wp14:editId="18545E26">
            <wp:extent cx="5384800" cy="2857500"/>
            <wp:effectExtent l="0" t="0" r="6350" b="0"/>
            <wp:docPr id="68" name="Imagen 68" descr="http://s.libertaddigital.com/fotos/noticias/poden4.jpg">
              <a:hlinkClick xmlns:a="http://schemas.openxmlformats.org/drawingml/2006/main" r:id="rId4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poden4.jpg">
                      <a:hlinkClick r:id="rId49" tgtFrame="&quot;_blank&quot;"/>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84800" cy="2857500"/>
                    </a:xfrm>
                    <a:prstGeom prst="rect">
                      <a:avLst/>
                    </a:prstGeom>
                    <a:noFill/>
                    <a:ln>
                      <a:noFill/>
                    </a:ln>
                  </pic:spPr>
                </pic:pic>
              </a:graphicData>
            </a:graphic>
          </wp:inline>
        </w:drawing>
      </w:r>
    </w:p>
    <w:p w:rsidR="00E0202D" w:rsidRPr="00E0202D" w:rsidRDefault="00E0202D" w:rsidP="00E0202D">
      <w:pPr>
        <w:shd w:val="clear" w:color="auto" w:fill="FFFFFF"/>
        <w:spacing w:after="360" w:line="240" w:lineRule="auto"/>
        <w:jc w:val="both"/>
        <w:rPr>
          <w:rFonts w:ascii="Times New Roman" w:hAnsi="Times New Roman"/>
          <w:color w:val="000000"/>
          <w:sz w:val="24"/>
          <w:szCs w:val="24"/>
        </w:rPr>
      </w:pPr>
      <w:r w:rsidRPr="00E0202D">
        <w:rPr>
          <w:rFonts w:ascii="Times New Roman" w:hAnsi="Times New Roman"/>
          <w:color w:val="000000"/>
          <w:sz w:val="24"/>
          <w:szCs w:val="24"/>
        </w:rPr>
        <w:t>El 45% de los europeos apoya los recortes de gasto para reducir déficit y deuda, mientras que un 30% se inclina por mantener los niveles actuales y el 19% por aumentarlo.</w:t>
      </w:r>
    </w:p>
    <w:p w:rsidR="00E0202D" w:rsidRPr="00E0202D" w:rsidRDefault="00E0202D" w:rsidP="00E0202D">
      <w:pPr>
        <w:shd w:val="clear" w:color="auto" w:fill="FFFFFF"/>
        <w:spacing w:after="360" w:line="240" w:lineRule="auto"/>
        <w:jc w:val="both"/>
        <w:rPr>
          <w:rFonts w:ascii="Times New Roman" w:hAnsi="Times New Roman"/>
          <w:color w:val="000000"/>
          <w:sz w:val="24"/>
          <w:szCs w:val="24"/>
        </w:rPr>
      </w:pPr>
      <w:r w:rsidRPr="00E0202D">
        <w:rPr>
          <w:rFonts w:ascii="Times New Roman" w:hAnsi="Times New Roman"/>
          <w:color w:val="000000"/>
          <w:sz w:val="24"/>
          <w:szCs w:val="24"/>
        </w:rPr>
        <w:t xml:space="preserve">Sin embargo, las respuestas varían mucho en función de los distintos países. </w:t>
      </w:r>
      <w:r w:rsidRPr="00E0202D">
        <w:rPr>
          <w:rFonts w:ascii="Times New Roman" w:hAnsi="Times New Roman"/>
          <w:bCs/>
          <w:color w:val="000000"/>
          <w:sz w:val="24"/>
          <w:szCs w:val="24"/>
        </w:rPr>
        <w:t>España</w:t>
      </w:r>
      <w:r w:rsidRPr="00E0202D">
        <w:rPr>
          <w:rFonts w:ascii="Times New Roman" w:hAnsi="Times New Roman"/>
          <w:color w:val="000000"/>
          <w:sz w:val="24"/>
          <w:szCs w:val="24"/>
        </w:rPr>
        <w:t xml:space="preserve"> destaca en este ámbito por registrar el</w:t>
      </w:r>
      <w:r w:rsidRPr="00E0202D">
        <w:rPr>
          <w:rFonts w:ascii="Times New Roman" w:hAnsi="Times New Roman"/>
          <w:bCs/>
          <w:color w:val="000000"/>
          <w:sz w:val="24"/>
          <w:szCs w:val="24"/>
        </w:rPr>
        <w:t xml:space="preserve"> mayor apoyo</w:t>
      </w:r>
      <w:r w:rsidRPr="00E0202D">
        <w:rPr>
          <w:rFonts w:ascii="Times New Roman" w:hAnsi="Times New Roman"/>
          <w:color w:val="000000"/>
          <w:sz w:val="24"/>
          <w:szCs w:val="24"/>
        </w:rPr>
        <w:t xml:space="preserve"> a los recortes de gasto en Defensa, </w:t>
      </w:r>
      <w:r w:rsidRPr="00E0202D">
        <w:rPr>
          <w:rFonts w:ascii="Times New Roman" w:hAnsi="Times New Roman"/>
          <w:color w:val="000000"/>
          <w:sz w:val="24"/>
          <w:szCs w:val="24"/>
        </w:rPr>
        <w:lastRenderedPageBreak/>
        <w:t xml:space="preserve">pero también al incremento del gasto en Ciencia, Tecnología y, sobre todo, </w:t>
      </w:r>
      <w:r w:rsidRPr="00E0202D">
        <w:rPr>
          <w:rFonts w:ascii="Times New Roman" w:hAnsi="Times New Roman"/>
          <w:bCs/>
          <w:color w:val="000000"/>
          <w:sz w:val="24"/>
          <w:szCs w:val="24"/>
        </w:rPr>
        <w:t>Estado del Bienestar.</w:t>
      </w:r>
    </w:p>
    <w:p w:rsidR="00AF7493" w:rsidRDefault="00E0202D" w:rsidP="00E0202D">
      <w:pPr>
        <w:shd w:val="clear" w:color="auto" w:fill="FFFFFF"/>
        <w:spacing w:after="360" w:line="240" w:lineRule="auto"/>
        <w:jc w:val="both"/>
        <w:rPr>
          <w:rFonts w:ascii="Times New Roman" w:hAnsi="Times New Roman"/>
          <w:color w:val="000000"/>
          <w:sz w:val="24"/>
          <w:szCs w:val="24"/>
        </w:rPr>
      </w:pPr>
      <w:r w:rsidRPr="00E96FA2">
        <w:rPr>
          <w:rFonts w:ascii="Times New Roman" w:hAnsi="Times New Roman"/>
          <w:noProof/>
          <w:color w:val="0971B2"/>
          <w:sz w:val="24"/>
          <w:szCs w:val="24"/>
          <w:lang w:eastAsia="es-ES"/>
        </w:rPr>
        <w:drawing>
          <wp:inline distT="0" distB="0" distL="0" distR="0" wp14:anchorId="786EEFC0" wp14:editId="52F09CD9">
            <wp:extent cx="5397086" cy="6407150"/>
            <wp:effectExtent l="0" t="0" r="0" b="0"/>
            <wp:docPr id="67" name="Imagen 67" descr="http://s.libertaddigital.com/fotos/noticias/poden3.jpg">
              <a:hlinkClick xmlns:a="http://schemas.openxmlformats.org/drawingml/2006/main" r:id="rId5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poden3.jpg">
                      <a:hlinkClick r:id="rId51" tgtFrame="&quot;_blank&quo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00040" cy="6410656"/>
                    </a:xfrm>
                    <a:prstGeom prst="rect">
                      <a:avLst/>
                    </a:prstGeom>
                    <a:noFill/>
                    <a:ln>
                      <a:noFill/>
                    </a:ln>
                  </pic:spPr>
                </pic:pic>
              </a:graphicData>
            </a:graphic>
          </wp:inline>
        </w:drawing>
      </w:r>
    </w:p>
    <w:p w:rsidR="00E0202D" w:rsidRPr="00E0202D" w:rsidRDefault="00E0202D" w:rsidP="00E0202D">
      <w:pPr>
        <w:shd w:val="clear" w:color="auto" w:fill="FFFFFF"/>
        <w:spacing w:after="360" w:line="240" w:lineRule="auto"/>
        <w:jc w:val="both"/>
        <w:rPr>
          <w:rFonts w:ascii="Times New Roman" w:hAnsi="Times New Roman"/>
          <w:color w:val="000000"/>
          <w:sz w:val="24"/>
          <w:szCs w:val="24"/>
        </w:rPr>
      </w:pPr>
      <w:r w:rsidRPr="00E0202D">
        <w:rPr>
          <w:rFonts w:ascii="Times New Roman" w:hAnsi="Times New Roman"/>
          <w:color w:val="000000"/>
          <w:sz w:val="24"/>
          <w:szCs w:val="24"/>
        </w:rPr>
        <w:t>La mayoría de los europeos (57%) cree que la pertenencia a la UE ha sido beneficiosa para su economía, aunque se observan marcadas diferencias entre países (desde el 71% registrado en Alemania hasta el 40% en el Reino Unido) y, sobre todo, algunas caídas drásticas (de 20 puntos porcentuales en Portugal, donde el porcentaje se queda en el 49%).</w:t>
      </w:r>
    </w:p>
    <w:p w:rsidR="00E0202D" w:rsidRPr="00E0202D" w:rsidRDefault="00E0202D" w:rsidP="00E0202D">
      <w:pPr>
        <w:shd w:val="clear" w:color="auto" w:fill="FFFFFF"/>
        <w:spacing w:after="360" w:line="240" w:lineRule="auto"/>
        <w:jc w:val="both"/>
        <w:rPr>
          <w:rFonts w:ascii="Times New Roman" w:hAnsi="Times New Roman"/>
          <w:color w:val="000000"/>
          <w:sz w:val="24"/>
          <w:szCs w:val="24"/>
        </w:rPr>
      </w:pPr>
      <w:r w:rsidRPr="00E0202D">
        <w:rPr>
          <w:rFonts w:ascii="Times New Roman" w:hAnsi="Times New Roman"/>
          <w:color w:val="000000"/>
          <w:sz w:val="24"/>
          <w:szCs w:val="24"/>
        </w:rPr>
        <w:t xml:space="preserve">En general, aumenta entre los europeos la percepción de que la </w:t>
      </w:r>
      <w:r w:rsidRPr="00E0202D">
        <w:rPr>
          <w:rFonts w:ascii="Times New Roman" w:hAnsi="Times New Roman"/>
          <w:bCs/>
          <w:color w:val="000000"/>
          <w:sz w:val="24"/>
          <w:szCs w:val="24"/>
        </w:rPr>
        <w:t>pertenencia a la UE ha tenido un efecto negativo</w:t>
      </w:r>
      <w:r w:rsidRPr="00E0202D">
        <w:rPr>
          <w:rFonts w:ascii="Times New Roman" w:hAnsi="Times New Roman"/>
          <w:color w:val="000000"/>
          <w:sz w:val="24"/>
          <w:szCs w:val="24"/>
        </w:rPr>
        <w:t xml:space="preserve"> en la economía nacional, sobre todo en los países más afectados por la crisis: un 36% de franceses afirma que la pertenencia de su país a la </w:t>
      </w:r>
      <w:r w:rsidRPr="00E0202D">
        <w:rPr>
          <w:rFonts w:ascii="Times New Roman" w:hAnsi="Times New Roman"/>
          <w:color w:val="000000"/>
          <w:sz w:val="24"/>
          <w:szCs w:val="24"/>
        </w:rPr>
        <w:lastRenderedPageBreak/>
        <w:t xml:space="preserve">Unión Europea ha tenido un efecto negativo en su economía, frente al 25% en 2012, al igual que el </w:t>
      </w:r>
      <w:r w:rsidRPr="00E0202D">
        <w:rPr>
          <w:rFonts w:ascii="Times New Roman" w:hAnsi="Times New Roman"/>
          <w:bCs/>
          <w:color w:val="000000"/>
          <w:sz w:val="24"/>
          <w:szCs w:val="24"/>
        </w:rPr>
        <w:t xml:space="preserve">44% de los españoles </w:t>
      </w:r>
      <w:r w:rsidRPr="00E0202D">
        <w:rPr>
          <w:rFonts w:ascii="Times New Roman" w:hAnsi="Times New Roman"/>
          <w:color w:val="000000"/>
          <w:sz w:val="24"/>
          <w:szCs w:val="24"/>
        </w:rPr>
        <w:t>(por encima del 38% en 2012) y el 42% de los portugueses (frente a sólo el 25% en 2012).</w:t>
      </w:r>
    </w:p>
    <w:p w:rsidR="00E0202D" w:rsidRPr="00E0202D" w:rsidRDefault="00E0202D" w:rsidP="00E0202D">
      <w:pPr>
        <w:shd w:val="clear" w:color="auto" w:fill="FFFFFF"/>
        <w:spacing w:after="360" w:line="240" w:lineRule="auto"/>
        <w:jc w:val="both"/>
        <w:rPr>
          <w:rFonts w:ascii="Times New Roman" w:hAnsi="Times New Roman"/>
          <w:color w:val="000000"/>
          <w:sz w:val="24"/>
          <w:szCs w:val="24"/>
        </w:rPr>
      </w:pPr>
      <w:r w:rsidRPr="00E0202D">
        <w:rPr>
          <w:rFonts w:ascii="Times New Roman" w:hAnsi="Times New Roman"/>
          <w:color w:val="000000"/>
          <w:sz w:val="24"/>
          <w:szCs w:val="24"/>
        </w:rPr>
        <w:t>Por ello, una mayoría cada vez más fuerte en Europa (68%, 11 puntos más que en 2012) está en contra de otorgarle mayor autoridad a la UE en el control de la política económica y presupuestaria de cada país; sólo un 26% está a favor. Tan sólo el 21% de españoles, frente al 42% de 2012, prefiere otorgarle mayor autoridad a la UE en el control de la política económica, al igual que el 28% de los italianos (15 puntos menos que en 2012) o el 29% de los franceses (11 puntos menos).</w:t>
      </w:r>
    </w:p>
    <w:p w:rsidR="008C3CB0" w:rsidRPr="00AB3464" w:rsidRDefault="00E0202D" w:rsidP="00B71D19">
      <w:pPr>
        <w:pStyle w:val="NormalWeb"/>
        <w:shd w:val="clear" w:color="auto" w:fill="FFFFFF"/>
        <w:jc w:val="both"/>
        <w:rPr>
          <w:b/>
        </w:rPr>
      </w:pPr>
      <w:r w:rsidRPr="00E96FA2">
        <w:rPr>
          <w:noProof/>
          <w:color w:val="0971B2"/>
        </w:rPr>
        <w:drawing>
          <wp:inline distT="0" distB="0" distL="0" distR="0" wp14:anchorId="005E22DA" wp14:editId="366BB4ED">
            <wp:extent cx="5397500" cy="3219450"/>
            <wp:effectExtent l="0" t="0" r="0" b="0"/>
            <wp:docPr id="66" name="Imagen 66" descr="http://s.libertaddigital.com/fotos/noticias/poden2.jpg">
              <a:hlinkClick xmlns:a="http://schemas.openxmlformats.org/drawingml/2006/main" r:id="rId5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poden2.jpg">
                      <a:hlinkClick r:id="rId53" tgtFrame="&quot;_blank&quo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0040" cy="3220965"/>
                    </a:xfrm>
                    <a:prstGeom prst="rect">
                      <a:avLst/>
                    </a:prstGeom>
                    <a:noFill/>
                    <a:ln>
                      <a:noFill/>
                    </a:ln>
                  </pic:spPr>
                </pic:pic>
              </a:graphicData>
            </a:graphic>
          </wp:inline>
        </w:drawing>
      </w:r>
    </w:p>
    <w:p w:rsidR="00E0202D" w:rsidRPr="00E0202D" w:rsidRDefault="00E0202D" w:rsidP="00E0202D">
      <w:pPr>
        <w:shd w:val="clear" w:color="auto" w:fill="FFFFFF"/>
        <w:spacing w:after="360" w:line="240" w:lineRule="auto"/>
        <w:jc w:val="both"/>
        <w:rPr>
          <w:rFonts w:ascii="Times New Roman" w:hAnsi="Times New Roman"/>
          <w:color w:val="000000"/>
          <w:sz w:val="24"/>
          <w:szCs w:val="24"/>
        </w:rPr>
      </w:pPr>
      <w:r w:rsidRPr="00E0202D">
        <w:rPr>
          <w:rFonts w:ascii="Times New Roman" w:hAnsi="Times New Roman"/>
          <w:color w:val="000000"/>
          <w:sz w:val="24"/>
          <w:szCs w:val="24"/>
        </w:rPr>
        <w:t>Igualmente, la mayoría (60%) en todos países europeos estudiados, salvo tres de ellos, afirma que el euro ha sido (o, en países no miembros, habría sido) negativo para su economía. Sólo en Alemania, Rumanía y Eslovaquia la mayoría o un elevado porc</w:t>
      </w:r>
      <w:r w:rsidR="00FF401D">
        <w:rPr>
          <w:rFonts w:ascii="Times New Roman" w:hAnsi="Times New Roman"/>
          <w:color w:val="000000"/>
          <w:sz w:val="24"/>
          <w:szCs w:val="24"/>
        </w:rPr>
        <w:t xml:space="preserve">entaje </w:t>
      </w:r>
      <w:r w:rsidR="00FF401D" w:rsidRPr="00E0202D">
        <w:rPr>
          <w:rFonts w:ascii="Times New Roman" w:hAnsi="Times New Roman"/>
          <w:color w:val="000000"/>
          <w:sz w:val="24"/>
          <w:szCs w:val="24"/>
        </w:rPr>
        <w:t>creen</w:t>
      </w:r>
      <w:r w:rsidRPr="00E0202D">
        <w:rPr>
          <w:rFonts w:ascii="Times New Roman" w:hAnsi="Times New Roman"/>
          <w:color w:val="000000"/>
          <w:sz w:val="24"/>
          <w:szCs w:val="24"/>
        </w:rPr>
        <w:t xml:space="preserve"> que el euro ha sido o habría sido positivo para su economía.</w:t>
      </w:r>
    </w:p>
    <w:p w:rsidR="00E0202D" w:rsidRPr="00FF401D" w:rsidRDefault="00E0202D" w:rsidP="00E0202D">
      <w:pPr>
        <w:shd w:val="clear" w:color="auto" w:fill="FFFFFF"/>
        <w:spacing w:after="360" w:line="240" w:lineRule="auto"/>
        <w:jc w:val="both"/>
        <w:rPr>
          <w:rFonts w:ascii="Times New Roman" w:hAnsi="Times New Roman"/>
          <w:color w:val="000000"/>
          <w:sz w:val="24"/>
          <w:szCs w:val="24"/>
        </w:rPr>
      </w:pPr>
      <w:r w:rsidRPr="00FF401D">
        <w:rPr>
          <w:rFonts w:ascii="Times New Roman" w:hAnsi="Times New Roman"/>
          <w:color w:val="000000"/>
          <w:sz w:val="24"/>
          <w:szCs w:val="24"/>
        </w:rPr>
        <w:t xml:space="preserve">Sin embargo, pocos quieren dejar la moneda única. Cuando a quienes responden que el euro ha sido negativo para su economía, se les pregunta si desean </w:t>
      </w:r>
      <w:r w:rsidRPr="00FF401D">
        <w:rPr>
          <w:rFonts w:ascii="Times New Roman" w:hAnsi="Times New Roman"/>
          <w:bCs/>
          <w:color w:val="000000"/>
          <w:sz w:val="24"/>
          <w:szCs w:val="24"/>
        </w:rPr>
        <w:t>volver a su moneda anterior</w:t>
      </w:r>
      <w:r w:rsidRPr="00FF401D">
        <w:rPr>
          <w:rFonts w:ascii="Times New Roman" w:hAnsi="Times New Roman"/>
          <w:color w:val="000000"/>
          <w:sz w:val="24"/>
          <w:szCs w:val="24"/>
        </w:rPr>
        <w:t xml:space="preserve">, la mayoría de ese subgrupo prefiere mantener el euro: en Francia (57%, el 27% del total de la muestra), Italia (51%, el 24% del total), Países Bajos (54%, el 22% del total), Portugal (55%, el 27% del total) y </w:t>
      </w:r>
      <w:r w:rsidRPr="00FF401D">
        <w:rPr>
          <w:rFonts w:ascii="Times New Roman" w:hAnsi="Times New Roman"/>
          <w:bCs/>
          <w:color w:val="000000"/>
          <w:sz w:val="24"/>
          <w:szCs w:val="24"/>
        </w:rPr>
        <w:t>España</w:t>
      </w:r>
      <w:r w:rsidRPr="00FF401D">
        <w:rPr>
          <w:rFonts w:ascii="Times New Roman" w:hAnsi="Times New Roman"/>
          <w:color w:val="000000"/>
          <w:sz w:val="24"/>
          <w:szCs w:val="24"/>
        </w:rPr>
        <w:t xml:space="preserve"> (51%, el </w:t>
      </w:r>
      <w:r w:rsidRPr="00FF401D">
        <w:rPr>
          <w:rFonts w:ascii="Times New Roman" w:hAnsi="Times New Roman"/>
          <w:bCs/>
          <w:color w:val="000000"/>
          <w:sz w:val="24"/>
          <w:szCs w:val="24"/>
        </w:rPr>
        <w:t>30%</w:t>
      </w:r>
      <w:r w:rsidRPr="00FF401D">
        <w:rPr>
          <w:rFonts w:ascii="Times New Roman" w:hAnsi="Times New Roman"/>
          <w:color w:val="000000"/>
          <w:sz w:val="24"/>
          <w:szCs w:val="24"/>
        </w:rPr>
        <w:t xml:space="preserve"> del total). Por el contrario, la mayoría de ese subgrupo en Alemania (57%, el 26% del total) desea recuperar su moneda anterior.</w:t>
      </w:r>
    </w:p>
    <w:p w:rsidR="00FF401D" w:rsidRDefault="00E0202D" w:rsidP="00E0202D">
      <w:pPr>
        <w:shd w:val="clear" w:color="auto" w:fill="FFFFFF"/>
        <w:spacing w:after="360" w:line="240" w:lineRule="auto"/>
        <w:jc w:val="both"/>
        <w:rPr>
          <w:rFonts w:ascii="Times New Roman" w:hAnsi="Times New Roman"/>
          <w:color w:val="000000"/>
          <w:sz w:val="24"/>
          <w:szCs w:val="24"/>
        </w:rPr>
      </w:pPr>
      <w:r w:rsidRPr="00E96FA2">
        <w:rPr>
          <w:rFonts w:ascii="Times New Roman" w:hAnsi="Times New Roman"/>
          <w:color w:val="000000"/>
          <w:sz w:val="24"/>
          <w:szCs w:val="24"/>
        </w:rPr>
        <w:t>Los datos existente</w:t>
      </w:r>
      <w:r w:rsidR="00FF401D">
        <w:rPr>
          <w:rFonts w:ascii="Times New Roman" w:hAnsi="Times New Roman"/>
          <w:color w:val="000000"/>
          <w:sz w:val="24"/>
          <w:szCs w:val="24"/>
        </w:rPr>
        <w:t xml:space="preserve">s demuestran, por tanto, que en varios países europeos se están dando </w:t>
      </w:r>
      <w:r w:rsidRPr="00E96FA2">
        <w:rPr>
          <w:rFonts w:ascii="Times New Roman" w:hAnsi="Times New Roman"/>
          <w:color w:val="000000"/>
          <w:sz w:val="24"/>
          <w:szCs w:val="24"/>
        </w:rPr>
        <w:t xml:space="preserve">las condiciones necesarias para que triunfen los mensajes y recetas </w:t>
      </w:r>
      <w:r w:rsidR="00FF401D">
        <w:rPr>
          <w:rFonts w:ascii="Times New Roman" w:hAnsi="Times New Roman"/>
          <w:color w:val="000000"/>
          <w:sz w:val="24"/>
          <w:szCs w:val="24"/>
        </w:rPr>
        <w:t>“</w:t>
      </w:r>
      <w:r w:rsidRPr="00FF401D">
        <w:rPr>
          <w:rFonts w:ascii="Times New Roman" w:hAnsi="Times New Roman"/>
          <w:iCs/>
          <w:color w:val="000000"/>
          <w:sz w:val="24"/>
          <w:szCs w:val="24"/>
        </w:rPr>
        <w:t>populistas</w:t>
      </w:r>
      <w:r w:rsidR="00FF401D">
        <w:rPr>
          <w:rFonts w:ascii="Times New Roman" w:hAnsi="Times New Roman"/>
          <w:iCs/>
          <w:color w:val="000000"/>
          <w:sz w:val="24"/>
          <w:szCs w:val="24"/>
        </w:rPr>
        <w:t>”</w:t>
      </w:r>
      <w:r w:rsidR="00FF401D">
        <w:rPr>
          <w:rFonts w:ascii="Times New Roman" w:hAnsi="Times New Roman"/>
          <w:color w:val="000000"/>
          <w:sz w:val="24"/>
          <w:szCs w:val="24"/>
        </w:rPr>
        <w:t xml:space="preserve"> Tan sólo falta</w:t>
      </w:r>
      <w:r w:rsidRPr="00E96FA2">
        <w:rPr>
          <w:rFonts w:ascii="Times New Roman" w:hAnsi="Times New Roman"/>
          <w:color w:val="000000"/>
          <w:sz w:val="24"/>
          <w:szCs w:val="24"/>
        </w:rPr>
        <w:t xml:space="preserve"> la figura política c</w:t>
      </w:r>
      <w:r w:rsidR="00FF401D">
        <w:rPr>
          <w:rFonts w:ascii="Times New Roman" w:hAnsi="Times New Roman"/>
          <w:color w:val="000000"/>
          <w:sz w:val="24"/>
          <w:szCs w:val="24"/>
        </w:rPr>
        <w:t>apaz de liderar ese movimiento y encender la mecha. Sería de agradecer</w:t>
      </w:r>
      <w:r w:rsidR="006C5966">
        <w:rPr>
          <w:rFonts w:ascii="Times New Roman" w:hAnsi="Times New Roman"/>
          <w:color w:val="000000"/>
          <w:sz w:val="24"/>
          <w:szCs w:val="24"/>
        </w:rPr>
        <w:t xml:space="preserve"> que los </w:t>
      </w:r>
      <w:r w:rsidR="00CC022B">
        <w:rPr>
          <w:rFonts w:ascii="Times New Roman" w:hAnsi="Times New Roman"/>
          <w:color w:val="000000"/>
          <w:sz w:val="24"/>
          <w:szCs w:val="24"/>
        </w:rPr>
        <w:t>dogmáticos</w:t>
      </w:r>
      <w:r w:rsidR="006C5966">
        <w:rPr>
          <w:rFonts w:ascii="Times New Roman" w:hAnsi="Times New Roman"/>
          <w:color w:val="000000"/>
          <w:sz w:val="24"/>
          <w:szCs w:val="24"/>
        </w:rPr>
        <w:t xml:space="preserve"> “ofertistas”</w:t>
      </w:r>
      <w:r w:rsidR="00CC022B">
        <w:rPr>
          <w:rFonts w:ascii="Times New Roman" w:hAnsi="Times New Roman"/>
          <w:color w:val="000000"/>
          <w:sz w:val="24"/>
          <w:szCs w:val="24"/>
        </w:rPr>
        <w:t xml:space="preserve"> con sus arengas,</w:t>
      </w:r>
      <w:r w:rsidR="00FF401D">
        <w:rPr>
          <w:rFonts w:ascii="Times New Roman" w:hAnsi="Times New Roman"/>
          <w:color w:val="000000"/>
          <w:sz w:val="24"/>
          <w:szCs w:val="24"/>
        </w:rPr>
        <w:t xml:space="preserve"> no</w:t>
      </w:r>
      <w:r w:rsidR="00CC022B">
        <w:rPr>
          <w:rFonts w:ascii="Times New Roman" w:hAnsi="Times New Roman"/>
          <w:color w:val="000000"/>
          <w:sz w:val="24"/>
          <w:szCs w:val="24"/>
        </w:rPr>
        <w:t xml:space="preserve"> aviven el fuego.</w:t>
      </w:r>
    </w:p>
    <w:p w:rsidR="00217F16" w:rsidRPr="00217F16" w:rsidRDefault="00217F16" w:rsidP="00217F16">
      <w:pPr>
        <w:shd w:val="clear" w:color="auto" w:fill="FFFFFF"/>
        <w:spacing w:after="360" w:line="240" w:lineRule="auto"/>
        <w:jc w:val="both"/>
        <w:rPr>
          <w:rFonts w:ascii="Times New Roman" w:hAnsi="Times New Roman"/>
          <w:b/>
          <w:color w:val="000000"/>
          <w:sz w:val="24"/>
          <w:szCs w:val="24"/>
        </w:rPr>
      </w:pPr>
      <w:r>
        <w:rPr>
          <w:rFonts w:ascii="Times New Roman" w:hAnsi="Times New Roman"/>
          <w:b/>
          <w:color w:val="000000"/>
          <w:sz w:val="24"/>
          <w:szCs w:val="24"/>
        </w:rPr>
        <w:lastRenderedPageBreak/>
        <w:t xml:space="preserve">- </w:t>
      </w:r>
      <w:r w:rsidRPr="00217F16">
        <w:rPr>
          <w:rFonts w:ascii="Times New Roman" w:hAnsi="Times New Roman"/>
          <w:b/>
          <w:color w:val="000000"/>
          <w:sz w:val="24"/>
          <w:szCs w:val="24"/>
        </w:rPr>
        <w:t>La Europa de</w:t>
      </w:r>
      <w:r w:rsidR="000B5E18">
        <w:rPr>
          <w:rFonts w:ascii="Times New Roman" w:hAnsi="Times New Roman"/>
          <w:b/>
          <w:color w:val="000000"/>
          <w:sz w:val="24"/>
          <w:szCs w:val="24"/>
        </w:rPr>
        <w:t xml:space="preserve"> “las cenizas de</w:t>
      </w:r>
      <w:r w:rsidRPr="00217F16">
        <w:rPr>
          <w:rFonts w:ascii="Times New Roman" w:hAnsi="Times New Roman"/>
          <w:b/>
          <w:color w:val="000000"/>
          <w:sz w:val="24"/>
          <w:szCs w:val="24"/>
        </w:rPr>
        <w:t xml:space="preserve"> Angie</w:t>
      </w:r>
      <w:r w:rsidR="000B5E18">
        <w:rPr>
          <w:rFonts w:ascii="Times New Roman" w:hAnsi="Times New Roman"/>
          <w:b/>
          <w:color w:val="000000"/>
          <w:sz w:val="24"/>
          <w:szCs w:val="24"/>
        </w:rPr>
        <w:t>”</w:t>
      </w:r>
      <w:r w:rsidRPr="00217F16">
        <w:rPr>
          <w:rFonts w:ascii="Times New Roman" w:hAnsi="Times New Roman"/>
          <w:b/>
          <w:color w:val="000000"/>
          <w:sz w:val="24"/>
          <w:szCs w:val="24"/>
        </w:rPr>
        <w:t xml:space="preserve"> (</w:t>
      </w:r>
      <w:r w:rsidR="00801FBF">
        <w:rPr>
          <w:rFonts w:ascii="Times New Roman" w:hAnsi="Times New Roman"/>
          <w:b/>
          <w:color w:val="000000"/>
          <w:sz w:val="24"/>
          <w:szCs w:val="24"/>
        </w:rPr>
        <w:t>¿</w:t>
      </w:r>
      <w:r>
        <w:rPr>
          <w:rFonts w:ascii="Times New Roman" w:hAnsi="Times New Roman"/>
          <w:b/>
          <w:color w:val="000000"/>
          <w:sz w:val="24"/>
          <w:szCs w:val="24"/>
        </w:rPr>
        <w:t xml:space="preserve">del </w:t>
      </w:r>
      <w:r w:rsidR="007D40B5">
        <w:rPr>
          <w:rFonts w:ascii="Times New Roman" w:hAnsi="Times New Roman"/>
          <w:b/>
          <w:color w:val="000000"/>
          <w:sz w:val="24"/>
          <w:szCs w:val="24"/>
        </w:rPr>
        <w:t>“</w:t>
      </w:r>
      <w:r>
        <w:rPr>
          <w:rFonts w:ascii="Times New Roman" w:hAnsi="Times New Roman"/>
          <w:b/>
          <w:color w:val="000000"/>
          <w:sz w:val="24"/>
          <w:szCs w:val="24"/>
        </w:rPr>
        <w:t>hungry</w:t>
      </w:r>
      <w:r w:rsidR="007D40B5">
        <w:rPr>
          <w:rFonts w:ascii="Times New Roman" w:hAnsi="Times New Roman"/>
          <w:b/>
          <w:color w:val="000000"/>
          <w:sz w:val="24"/>
          <w:szCs w:val="24"/>
        </w:rPr>
        <w:t>”</w:t>
      </w:r>
      <w:r>
        <w:rPr>
          <w:rFonts w:ascii="Times New Roman" w:hAnsi="Times New Roman"/>
          <w:b/>
          <w:color w:val="000000"/>
          <w:sz w:val="24"/>
          <w:szCs w:val="24"/>
        </w:rPr>
        <w:t xml:space="preserve"> al </w:t>
      </w:r>
      <w:r w:rsidR="007D40B5">
        <w:rPr>
          <w:rFonts w:ascii="Times New Roman" w:hAnsi="Times New Roman"/>
          <w:b/>
          <w:color w:val="000000"/>
          <w:sz w:val="24"/>
          <w:szCs w:val="24"/>
        </w:rPr>
        <w:t>“</w:t>
      </w:r>
      <w:r>
        <w:rPr>
          <w:rFonts w:ascii="Times New Roman" w:hAnsi="Times New Roman"/>
          <w:b/>
          <w:color w:val="000000"/>
          <w:sz w:val="24"/>
          <w:szCs w:val="24"/>
        </w:rPr>
        <w:t>angry</w:t>
      </w:r>
      <w:r w:rsidR="007D40B5">
        <w:rPr>
          <w:rFonts w:ascii="Times New Roman" w:hAnsi="Times New Roman"/>
          <w:b/>
          <w:color w:val="000000"/>
          <w:sz w:val="24"/>
          <w:szCs w:val="24"/>
        </w:rPr>
        <w:t>”</w:t>
      </w:r>
      <w:r w:rsidR="00801FBF">
        <w:rPr>
          <w:rFonts w:ascii="Times New Roman" w:hAnsi="Times New Roman"/>
          <w:b/>
          <w:color w:val="000000"/>
          <w:sz w:val="24"/>
          <w:szCs w:val="24"/>
        </w:rPr>
        <w:t>?</w:t>
      </w:r>
      <w:r>
        <w:rPr>
          <w:rFonts w:ascii="Times New Roman" w:hAnsi="Times New Roman"/>
          <w:b/>
          <w:color w:val="000000"/>
          <w:sz w:val="24"/>
          <w:szCs w:val="24"/>
        </w:rPr>
        <w:t>)</w:t>
      </w:r>
    </w:p>
    <w:p w:rsidR="00097E56" w:rsidRPr="00097E56" w:rsidRDefault="00217F16" w:rsidP="00097E56">
      <w:pPr>
        <w:pStyle w:val="NormalWeb"/>
        <w:jc w:val="both"/>
        <w:rPr>
          <w:i/>
        </w:rPr>
      </w:pPr>
      <w:r>
        <w:rPr>
          <w:i/>
        </w:rPr>
        <w:t>“</w:t>
      </w:r>
      <w:r w:rsidR="00097E56" w:rsidRPr="00097E56">
        <w:rPr>
          <w:i/>
        </w:rPr>
        <w:t>Mientras los gobiernos oscilan entre el ofertismo y el neokeynesianismo con igual entusiasmo, la única realidad permanente es que estos últimos años la mayoría de los países de altos ingresos sufrieron una considerable caída de la inversión como cuota del producto nacional. Según datos del FMI, el gasto bruto en inversión en estos países cayó de un 24,9% del PIB en 1990 a sólo 20% en 2013.</w:t>
      </w:r>
    </w:p>
    <w:p w:rsidR="00097E56" w:rsidRPr="00097E56" w:rsidRDefault="00097E56" w:rsidP="00097E56">
      <w:pPr>
        <w:pStyle w:val="NormalWeb"/>
        <w:jc w:val="both"/>
        <w:rPr>
          <w:i/>
        </w:rPr>
      </w:pPr>
      <w:r w:rsidRPr="00097E56">
        <w:rPr>
          <w:i/>
        </w:rPr>
        <w:t>En Estados Unidos, el gasto en inversión pasó de 23,6% del PIB en 1990 a 19,3% en 2013; la disminución neta (inversión bruta menos depreciación del capital) fue incluso mayor. En la Unión Europea, se pasó de 24% del PIB en 1990 a 18,1% en 2013…</w:t>
      </w:r>
    </w:p>
    <w:p w:rsidR="00097E56" w:rsidRPr="00097E56" w:rsidRDefault="00097E56" w:rsidP="00097E56">
      <w:pPr>
        <w:pStyle w:val="NormalWeb"/>
        <w:jc w:val="both"/>
        <w:rPr>
          <w:i/>
        </w:rPr>
      </w:pPr>
      <w:r w:rsidRPr="00097E56">
        <w:rPr>
          <w:i/>
        </w:rPr>
        <w:t>Neokeynesianos y ofertistas han comprendido mal la parálisis de las inversiones. Los neokeynesianos ven la inversión (pública o privada) sólo como una forma de demanda agregada, y descuidan las decisiones políticas en materia de infraestructuras y sistemas energéticos (o I+D especializada para la promoción de nuevas tecnologías) que se necesitan para liberar inversiones inteligentes y ecológicamente sostenibles de los sectores público y privado. Por eso, en vez de abogar por la definición de las políticas nacionales necesarias para una recuperación firme de la inversión, echan mano de trucos tales como paquetes de estímulo y tipos de interés nulos.</w:t>
      </w:r>
    </w:p>
    <w:p w:rsidR="00217F16" w:rsidRDefault="00097E56" w:rsidP="00217F16">
      <w:pPr>
        <w:pStyle w:val="NormalWeb"/>
        <w:jc w:val="both"/>
        <w:rPr>
          <w:color w:val="000000"/>
        </w:rPr>
      </w:pPr>
      <w:r w:rsidRPr="00097E56">
        <w:rPr>
          <w:i/>
        </w:rPr>
        <w:t>Los ofertistas, en tanto, se olvidan de que la inversión privada depende de inversiones públicas complementarias y de un marco regulatorio y político claro. Defienden el recorte del gasto público, en la ingenua creencia de que el sector privado vendrá mágicamente a llenar el vacío. Pero al recortar la inversión pública dificultan la inversión privada</w:t>
      </w:r>
      <w:r w:rsidR="00217F16">
        <w:rPr>
          <w:i/>
        </w:rPr>
        <w:t>”</w:t>
      </w:r>
      <w:r w:rsidRPr="00097E56">
        <w:rPr>
          <w:i/>
        </w:rPr>
        <w:t>…</w:t>
      </w:r>
      <w:r w:rsidR="00217F16">
        <w:rPr>
          <w:i/>
        </w:rPr>
        <w:t xml:space="preserve"> </w:t>
      </w:r>
      <w:r w:rsidR="00217F16" w:rsidRPr="006C2EAC">
        <w:rPr>
          <w:color w:val="000000"/>
          <w:u w:val="single"/>
        </w:rPr>
        <w:t>Una nueva estrategia macroeconómica</w:t>
      </w:r>
      <w:r w:rsidR="00217F16">
        <w:rPr>
          <w:color w:val="000000"/>
        </w:rPr>
        <w:t xml:space="preserve"> (</w:t>
      </w:r>
      <w:r w:rsidR="00217F16" w:rsidRPr="00217F16">
        <w:rPr>
          <w:color w:val="000000"/>
        </w:rPr>
        <w:t>Jeffrey D. Sachs</w:t>
      </w:r>
      <w:r w:rsidR="00217F16">
        <w:rPr>
          <w:color w:val="000000"/>
        </w:rPr>
        <w:t xml:space="preserve"> - Project Syndicate - </w:t>
      </w:r>
      <w:r w:rsidR="00217F16" w:rsidRPr="006C2EAC">
        <w:rPr>
          <w:b/>
          <w:color w:val="000000"/>
        </w:rPr>
        <w:t>23/10/14</w:t>
      </w:r>
      <w:r w:rsidR="00217F16">
        <w:rPr>
          <w:color w:val="000000"/>
        </w:rPr>
        <w:t>)</w:t>
      </w:r>
    </w:p>
    <w:p w:rsidR="00217F16" w:rsidRPr="00217F16" w:rsidRDefault="004378EE" w:rsidP="00217F16">
      <w:pPr>
        <w:pStyle w:val="NormalWeb"/>
        <w:jc w:val="both"/>
        <w:rPr>
          <w:color w:val="000000"/>
          <w:u w:val="single"/>
        </w:rPr>
      </w:pPr>
      <w:r>
        <w:rPr>
          <w:color w:val="000000"/>
          <w:u w:val="single"/>
        </w:rPr>
        <w:t>¿Y por Ca’</w:t>
      </w:r>
      <w:r w:rsidR="006D68A8">
        <w:rPr>
          <w:color w:val="000000"/>
          <w:u w:val="single"/>
        </w:rPr>
        <w:t>A</w:t>
      </w:r>
      <w:r>
        <w:rPr>
          <w:color w:val="000000"/>
          <w:u w:val="single"/>
        </w:rPr>
        <w:t>ngela cómo andamos?</w:t>
      </w:r>
      <w:r w:rsidR="00217F16">
        <w:rPr>
          <w:color w:val="000000"/>
          <w:u w:val="single"/>
        </w:rPr>
        <w:t xml:space="preserve"> </w:t>
      </w:r>
      <w:r w:rsidR="00351B3B">
        <w:rPr>
          <w:color w:val="000000"/>
          <w:u w:val="single"/>
        </w:rPr>
        <w:t>El DIW saca los colores al Ifo</w:t>
      </w:r>
      <w:r>
        <w:rPr>
          <w:color w:val="000000"/>
          <w:u w:val="single"/>
        </w:rPr>
        <w:t xml:space="preserve"> (</w:t>
      </w:r>
      <w:r w:rsidRPr="0030717B">
        <w:rPr>
          <w:color w:val="000000"/>
        </w:rPr>
        <w:t>Fratzscher</w:t>
      </w:r>
      <w:r>
        <w:rPr>
          <w:color w:val="000000"/>
        </w:rPr>
        <w:t xml:space="preserve"> vs. Sinn) </w:t>
      </w:r>
    </w:p>
    <w:p w:rsidR="00217F16" w:rsidRPr="0030717B" w:rsidRDefault="00217F16" w:rsidP="00217F16">
      <w:pPr>
        <w:pStyle w:val="NormalWeb"/>
        <w:jc w:val="both"/>
        <w:rPr>
          <w:color w:val="000000"/>
        </w:rPr>
      </w:pPr>
      <w:r w:rsidRPr="0030717B">
        <w:rPr>
          <w:color w:val="000000"/>
        </w:rPr>
        <w:t>El Instituto Alemán de Estudios Económicos de Berlín (DIW) criticó la política de austeridad del Gobierno de Angela Merkel y señaló que darle prioridad a un presupuesto equil</w:t>
      </w:r>
      <w:r w:rsidR="007D40B5">
        <w:rPr>
          <w:color w:val="000000"/>
        </w:rPr>
        <w:t>ibrado es una “señal fatídica”</w:t>
      </w:r>
      <w:r>
        <w:rPr>
          <w:color w:val="000000"/>
        </w:rPr>
        <w:t>.</w:t>
      </w:r>
    </w:p>
    <w:p w:rsidR="00217F16" w:rsidRPr="0030717B" w:rsidRDefault="007D40B5" w:rsidP="00217F16">
      <w:pPr>
        <w:pStyle w:val="NormalWeb"/>
        <w:jc w:val="both"/>
        <w:rPr>
          <w:color w:val="000000"/>
        </w:rPr>
      </w:pPr>
      <w:r>
        <w:rPr>
          <w:color w:val="000000"/>
        </w:rPr>
        <w:t>“</w:t>
      </w:r>
      <w:r w:rsidR="00217F16" w:rsidRPr="0030717B">
        <w:rPr>
          <w:color w:val="000000"/>
        </w:rPr>
        <w:t>La meta del presupuesto equilibrado es una señal fatídica para las empresas al</w:t>
      </w:r>
      <w:r>
        <w:rPr>
          <w:color w:val="000000"/>
        </w:rPr>
        <w:t>emanas y a los vecinos europeos”</w:t>
      </w:r>
      <w:r w:rsidR="00217F16" w:rsidRPr="0030717B">
        <w:rPr>
          <w:color w:val="000000"/>
        </w:rPr>
        <w:t>, dijo el director del DIW, Marcel Fratzscher, en declar</w:t>
      </w:r>
      <w:r>
        <w:rPr>
          <w:color w:val="000000"/>
        </w:rPr>
        <w:t>aciones que publica la revista “Wirtschaftswoche” (</w:t>
      </w:r>
      <w:r w:rsidRPr="0030717B">
        <w:rPr>
          <w:color w:val="000000"/>
          <w:u w:val="single"/>
        </w:rPr>
        <w:t>Instituto de Estudios Económicos critica política de austeridad de Merkel</w:t>
      </w:r>
      <w:r>
        <w:rPr>
          <w:color w:val="000000"/>
        </w:rPr>
        <w:t xml:space="preserve"> - Intereconomia - </w:t>
      </w:r>
      <w:r w:rsidRPr="0030717B">
        <w:rPr>
          <w:b/>
          <w:color w:val="000000"/>
        </w:rPr>
        <w:t>25/10/14</w:t>
      </w:r>
      <w:r>
        <w:rPr>
          <w:color w:val="000000"/>
        </w:rPr>
        <w:t xml:space="preserve">) </w:t>
      </w:r>
    </w:p>
    <w:p w:rsidR="00217F16" w:rsidRPr="0030717B" w:rsidRDefault="007D40B5" w:rsidP="00217F16">
      <w:pPr>
        <w:pStyle w:val="NormalWeb"/>
        <w:jc w:val="both"/>
        <w:rPr>
          <w:color w:val="000000"/>
        </w:rPr>
      </w:pPr>
      <w:r>
        <w:rPr>
          <w:color w:val="000000"/>
        </w:rPr>
        <w:t>·</w:t>
      </w:r>
      <w:r w:rsidR="00217F16" w:rsidRPr="0030717B">
        <w:rPr>
          <w:color w:val="000000"/>
        </w:rPr>
        <w:t>Actualmente producimos menos de lo que podríamos producir y tenemos un déficit de inversiones gigantesco. Esa es exactamente la situación en la que s</w:t>
      </w:r>
      <w:r>
        <w:rPr>
          <w:color w:val="000000"/>
        </w:rPr>
        <w:t>e necesita la acción del Estado”</w:t>
      </w:r>
      <w:r w:rsidR="00217F16" w:rsidRPr="0030717B">
        <w:rPr>
          <w:color w:val="000000"/>
        </w:rPr>
        <w:t>, agregó.</w:t>
      </w:r>
    </w:p>
    <w:p w:rsidR="00217F16" w:rsidRPr="0030717B" w:rsidRDefault="00217F16" w:rsidP="00217F16">
      <w:pPr>
        <w:pStyle w:val="NormalWeb"/>
        <w:jc w:val="both"/>
        <w:rPr>
          <w:color w:val="000000"/>
        </w:rPr>
      </w:pPr>
      <w:r w:rsidRPr="0030717B">
        <w:rPr>
          <w:color w:val="000000"/>
        </w:rPr>
        <w:t>Fratzscher destacó que actualmente se necesitarían ante todo inversiones en infraestructura de tránsito.</w:t>
      </w:r>
    </w:p>
    <w:p w:rsidR="00217F16" w:rsidRPr="0030717B" w:rsidRDefault="007D40B5" w:rsidP="00217F16">
      <w:pPr>
        <w:pStyle w:val="NormalWeb"/>
        <w:jc w:val="both"/>
        <w:rPr>
          <w:color w:val="000000"/>
        </w:rPr>
      </w:pPr>
      <w:r>
        <w:rPr>
          <w:color w:val="000000"/>
        </w:rPr>
        <w:t>“</w:t>
      </w:r>
      <w:r w:rsidR="00217F16" w:rsidRPr="0030717B">
        <w:rPr>
          <w:color w:val="000000"/>
        </w:rPr>
        <w:t>A ello el Gobierno podría destinar entre 15.000 y 20.000 millones de euros, sin violar las reglas del freno a</w:t>
      </w:r>
      <w:r>
        <w:rPr>
          <w:color w:val="000000"/>
        </w:rPr>
        <w:t xml:space="preserve"> la deuda”</w:t>
      </w:r>
      <w:r w:rsidR="00217F16">
        <w:rPr>
          <w:color w:val="000000"/>
        </w:rPr>
        <w:t>, dijo el economista.</w:t>
      </w:r>
    </w:p>
    <w:p w:rsidR="00217F16" w:rsidRPr="0030717B" w:rsidRDefault="00217F16" w:rsidP="00217F16">
      <w:pPr>
        <w:pStyle w:val="NormalWeb"/>
        <w:jc w:val="both"/>
        <w:rPr>
          <w:color w:val="000000"/>
        </w:rPr>
      </w:pPr>
      <w:r w:rsidRPr="0030717B">
        <w:rPr>
          <w:color w:val="000000"/>
        </w:rPr>
        <w:lastRenderedPageBreak/>
        <w:t xml:space="preserve">El ministro de Finanzas, Wolfgang Schäuble, mantiene la meta de lograr un 2015 un presupuesto con déficit 0, pese a la reducción a la baja de </w:t>
      </w:r>
      <w:r>
        <w:rPr>
          <w:color w:val="000000"/>
        </w:rPr>
        <w:t>los pronósticos de crecimiento.</w:t>
      </w:r>
    </w:p>
    <w:p w:rsidR="00217F16" w:rsidRPr="0030717B" w:rsidRDefault="00217F16" w:rsidP="00217F16">
      <w:pPr>
        <w:pStyle w:val="NormalWeb"/>
        <w:jc w:val="both"/>
        <w:rPr>
          <w:color w:val="000000"/>
        </w:rPr>
      </w:pPr>
      <w:r w:rsidRPr="0030717B">
        <w:rPr>
          <w:color w:val="000000"/>
        </w:rPr>
        <w:t xml:space="preserve">El freno a la deuda es una disposición constitucional que exige que el déficit estructural en el presupuesto federal no sea superior al 0,35 por ciento del PIB, aunque se permiten excepciones en casos de catástrofes naturales </w:t>
      </w:r>
      <w:r>
        <w:rPr>
          <w:color w:val="000000"/>
        </w:rPr>
        <w:t>o recesiones económicas graves.</w:t>
      </w:r>
    </w:p>
    <w:p w:rsidR="00217F16" w:rsidRDefault="00217F16" w:rsidP="00217F16">
      <w:pPr>
        <w:pStyle w:val="NormalWeb"/>
        <w:jc w:val="both"/>
        <w:rPr>
          <w:color w:val="000000"/>
        </w:rPr>
      </w:pPr>
      <w:r w:rsidRPr="0030717B">
        <w:rPr>
          <w:color w:val="000000"/>
        </w:rPr>
        <w:t>El freno a la deuda se fijó en una reforma constitucional aprobada en 2009 y tras un periodo de transición empezará a ser vinculante en 2016, pese a lo cual el Gobierno actual se impuso como me</w:t>
      </w:r>
      <w:r w:rsidR="007D40B5">
        <w:rPr>
          <w:color w:val="000000"/>
        </w:rPr>
        <w:t xml:space="preserve">ta cumplir con ello en 2015. </w:t>
      </w:r>
    </w:p>
    <w:p w:rsidR="00823369" w:rsidRDefault="00D73123" w:rsidP="00485992">
      <w:pPr>
        <w:pStyle w:val="Ttulo3"/>
        <w:spacing w:line="240" w:lineRule="auto"/>
        <w:jc w:val="both"/>
        <w:rPr>
          <w:rFonts w:ascii="Times New Roman" w:hAnsi="Times New Roman" w:cs="Times New Roman"/>
          <w:color w:val="auto"/>
          <w:sz w:val="24"/>
          <w:szCs w:val="24"/>
        </w:rPr>
      </w:pPr>
      <w:r w:rsidRPr="00A44DEA">
        <w:rPr>
          <w:color w:val="000000"/>
        </w:rPr>
        <w:t>- Eurolandia</w:t>
      </w:r>
      <w:r w:rsidR="00823369">
        <w:rPr>
          <w:color w:val="000000"/>
        </w:rPr>
        <w:t>:</w:t>
      </w:r>
      <w:r w:rsidR="00A44DEA">
        <w:rPr>
          <w:b w:val="0"/>
          <w:color w:val="000000"/>
        </w:rPr>
        <w:t xml:space="preserve"> </w:t>
      </w:r>
      <w:r w:rsidR="00823369">
        <w:rPr>
          <w:rFonts w:ascii="Times New Roman" w:hAnsi="Times New Roman" w:cs="Times New Roman"/>
          <w:color w:val="auto"/>
          <w:sz w:val="24"/>
          <w:szCs w:val="24"/>
        </w:rPr>
        <w:t>¿Miedo? ¡Pero si es positivo!</w:t>
      </w:r>
      <w:r w:rsidR="007152C6">
        <w:rPr>
          <w:rFonts w:ascii="Times New Roman" w:hAnsi="Times New Roman" w:cs="Times New Roman"/>
          <w:color w:val="auto"/>
          <w:sz w:val="24"/>
          <w:szCs w:val="24"/>
        </w:rPr>
        <w:t xml:space="preserve"> (</w:t>
      </w:r>
      <w:r w:rsidR="00823369">
        <w:rPr>
          <w:rFonts w:ascii="Times New Roman" w:hAnsi="Times New Roman" w:cs="Times New Roman"/>
          <w:color w:val="auto"/>
          <w:sz w:val="24"/>
          <w:szCs w:val="24"/>
        </w:rPr>
        <w:t>dicen los Cinco sabios alemanes)</w:t>
      </w:r>
    </w:p>
    <w:p w:rsidR="00FD5E9B" w:rsidRDefault="00FD5E9B" w:rsidP="00485992">
      <w:pPr>
        <w:spacing w:line="240" w:lineRule="auto"/>
        <w:jc w:val="both"/>
        <w:rPr>
          <w:lang w:eastAsia="es-ES"/>
        </w:rPr>
      </w:pPr>
    </w:p>
    <w:p w:rsidR="00D73123" w:rsidRPr="00D73123" w:rsidRDefault="0079197E" w:rsidP="00485992">
      <w:pPr>
        <w:spacing w:line="240" w:lineRule="auto"/>
        <w:jc w:val="both"/>
        <w:rPr>
          <w:rFonts w:ascii="Times New Roman" w:hAnsi="Times New Roman" w:cs="Times New Roman"/>
          <w:sz w:val="24"/>
          <w:szCs w:val="24"/>
        </w:rPr>
      </w:pPr>
      <w:r w:rsidRPr="00D73123">
        <w:rPr>
          <w:rFonts w:ascii="Times New Roman" w:hAnsi="Times New Roman" w:cs="Times New Roman"/>
          <w:sz w:val="24"/>
          <w:szCs w:val="24"/>
        </w:rPr>
        <w:t>A partir del cambio de paradigma y de que la constante haya de ser el máximo beneficio del factor capital y el más libre movimiento de los factores económicos, toda la arquitectura europea ha de revisarse… pues la hora de la social democracia (y también de las burguesías nacionales) ha pasado sin remedio</w:t>
      </w:r>
      <w:r w:rsidR="00823369">
        <w:rPr>
          <w:rFonts w:ascii="Times New Roman" w:hAnsi="Times New Roman" w:cs="Times New Roman"/>
          <w:sz w:val="24"/>
          <w:szCs w:val="24"/>
        </w:rPr>
        <w:t>,</w:t>
      </w:r>
      <w:r w:rsidRPr="00D73123">
        <w:rPr>
          <w:rFonts w:ascii="Times New Roman" w:hAnsi="Times New Roman" w:cs="Times New Roman"/>
          <w:sz w:val="24"/>
          <w:szCs w:val="24"/>
        </w:rPr>
        <w:t xml:space="preserve"> y</w:t>
      </w:r>
      <w:r w:rsidR="00D73123" w:rsidRPr="00D73123">
        <w:rPr>
          <w:rFonts w:ascii="Times New Roman" w:hAnsi="Times New Roman" w:cs="Times New Roman"/>
          <w:sz w:val="24"/>
          <w:szCs w:val="24"/>
        </w:rPr>
        <w:t xml:space="preserve"> ahora toca embarcarse en </w:t>
      </w:r>
      <w:r w:rsidR="00823369">
        <w:rPr>
          <w:rFonts w:ascii="Times New Roman" w:hAnsi="Times New Roman" w:cs="Times New Roman"/>
          <w:sz w:val="24"/>
          <w:szCs w:val="24"/>
        </w:rPr>
        <w:t>una Europa U</w:t>
      </w:r>
      <w:r w:rsidRPr="00D73123">
        <w:rPr>
          <w:rFonts w:ascii="Times New Roman" w:hAnsi="Times New Roman" w:cs="Times New Roman"/>
          <w:sz w:val="24"/>
          <w:szCs w:val="24"/>
        </w:rPr>
        <w:t>nida</w:t>
      </w:r>
      <w:r w:rsidR="006A524A">
        <w:rPr>
          <w:rFonts w:ascii="Times New Roman" w:hAnsi="Times New Roman" w:cs="Times New Roman"/>
          <w:sz w:val="24"/>
          <w:szCs w:val="24"/>
        </w:rPr>
        <w:t xml:space="preserve"> al ritmo marcial</w:t>
      </w:r>
      <w:r w:rsidR="00D52DE6">
        <w:rPr>
          <w:rFonts w:ascii="Times New Roman" w:hAnsi="Times New Roman" w:cs="Times New Roman"/>
          <w:sz w:val="24"/>
          <w:szCs w:val="24"/>
        </w:rPr>
        <w:t xml:space="preserve"> </w:t>
      </w:r>
      <w:r w:rsidR="00485992">
        <w:rPr>
          <w:rFonts w:ascii="Times New Roman" w:hAnsi="Times New Roman" w:cs="Times New Roman"/>
          <w:sz w:val="24"/>
          <w:szCs w:val="24"/>
        </w:rPr>
        <w:t xml:space="preserve">de una </w:t>
      </w:r>
      <w:r w:rsidR="00D52DE6" w:rsidRPr="00D52DE6">
        <w:rPr>
          <w:rFonts w:ascii="Times New Roman" w:hAnsi="Times New Roman" w:cs="Times New Roman"/>
          <w:sz w:val="24"/>
          <w:szCs w:val="24"/>
        </w:rPr>
        <w:t>Deutsche Militär Märsche</w:t>
      </w:r>
      <w:r w:rsidR="00D73123">
        <w:rPr>
          <w:rFonts w:ascii="Times New Roman" w:hAnsi="Times New Roman" w:cs="Times New Roman"/>
          <w:sz w:val="24"/>
          <w:szCs w:val="24"/>
        </w:rPr>
        <w:t xml:space="preserve"> (</w:t>
      </w:r>
      <w:r w:rsidR="00823369">
        <w:rPr>
          <w:rFonts w:ascii="Times New Roman" w:hAnsi="Times New Roman" w:cs="Times New Roman"/>
          <w:sz w:val="24"/>
          <w:szCs w:val="24"/>
        </w:rPr>
        <w:t>¿</w:t>
      </w:r>
      <w:r w:rsidR="00485992">
        <w:rPr>
          <w:rFonts w:ascii="Times New Roman" w:hAnsi="Times New Roman" w:cs="Times New Roman"/>
          <w:sz w:val="24"/>
          <w:szCs w:val="24"/>
        </w:rPr>
        <w:t>con “</w:t>
      </w:r>
      <w:r w:rsidR="00485992" w:rsidRPr="00485992">
        <w:rPr>
          <w:rFonts w:ascii="Times New Roman" w:hAnsi="Times New Roman" w:cs="Times New Roman"/>
          <w:sz w:val="24"/>
          <w:szCs w:val="24"/>
        </w:rPr>
        <w:t>musical adaptation</w:t>
      </w:r>
      <w:r w:rsidR="00485992">
        <w:rPr>
          <w:rFonts w:ascii="Times New Roman" w:hAnsi="Times New Roman" w:cs="Times New Roman"/>
          <w:sz w:val="24"/>
          <w:szCs w:val="24"/>
        </w:rPr>
        <w:t>” de los Estados Unidos</w:t>
      </w:r>
      <w:r w:rsidR="00823369">
        <w:rPr>
          <w:rFonts w:ascii="Times New Roman" w:hAnsi="Times New Roman" w:cs="Times New Roman"/>
          <w:sz w:val="24"/>
          <w:szCs w:val="24"/>
        </w:rPr>
        <w:t>?</w:t>
      </w:r>
      <w:r w:rsidRPr="00D73123">
        <w:rPr>
          <w:rFonts w:ascii="Times New Roman" w:hAnsi="Times New Roman" w:cs="Times New Roman"/>
          <w:sz w:val="24"/>
          <w:szCs w:val="24"/>
        </w:rPr>
        <w:t xml:space="preserve">). </w:t>
      </w:r>
    </w:p>
    <w:p w:rsidR="0079197E" w:rsidRPr="00E10AB9" w:rsidRDefault="00823369" w:rsidP="00E10AB9">
      <w:pPr>
        <w:pStyle w:val="NormalWeb"/>
        <w:jc w:val="both"/>
        <w:rPr>
          <w:color w:val="000000"/>
        </w:rPr>
      </w:pPr>
      <w:r>
        <w:t>Según dicen</w:t>
      </w:r>
      <w:r w:rsidR="006A524A">
        <w:t xml:space="preserve"> los</w:t>
      </w:r>
      <w:r>
        <w:t xml:space="preserve"> Cinco sabios alemanes</w:t>
      </w:r>
      <w:r w:rsidR="00D73123">
        <w:t xml:space="preserve"> (</w:t>
      </w:r>
      <w:r>
        <w:t>¿</w:t>
      </w:r>
      <w:r w:rsidR="00485992">
        <w:t>con “storyboard” de los Estados Unidos</w:t>
      </w:r>
      <w:r>
        <w:t>?</w:t>
      </w:r>
      <w:r w:rsidR="00D73123" w:rsidRPr="00D73123">
        <w:t xml:space="preserve">) </w:t>
      </w:r>
      <w:r w:rsidR="00D73123" w:rsidRPr="00D73123">
        <w:rPr>
          <w:rStyle w:val="Textoennegrita"/>
          <w:b w:val="0"/>
        </w:rPr>
        <w:t>lo que ha cambiado no es Europa</w:t>
      </w:r>
      <w:r w:rsidR="0079197E" w:rsidRPr="00D73123">
        <w:rPr>
          <w:rStyle w:val="Textoennegrita"/>
          <w:b w:val="0"/>
        </w:rPr>
        <w:t xml:space="preserve"> sino el mundo </w:t>
      </w:r>
      <w:r w:rsidR="00D73123" w:rsidRPr="00D73123">
        <w:t>y lo que ha de hacer Europa</w:t>
      </w:r>
      <w:r w:rsidR="0079197E" w:rsidRPr="00D73123">
        <w:t xml:space="preserve"> es adaptarse a él. Lo contrario es imposible</w:t>
      </w:r>
      <w:r w:rsidR="0079197E" w:rsidRPr="00E10AB9">
        <w:t>.</w:t>
      </w:r>
      <w:r w:rsidR="00E10AB9" w:rsidRPr="00E10AB9">
        <w:rPr>
          <w:color w:val="000000"/>
        </w:rPr>
        <w:t xml:space="preserve"> Serán los alemanes o los estadounidenses</w:t>
      </w:r>
      <w:r w:rsidR="00E10AB9">
        <w:rPr>
          <w:color w:val="000000"/>
        </w:rPr>
        <w:t>,</w:t>
      </w:r>
      <w:r w:rsidR="00E10AB9" w:rsidRPr="00E10AB9">
        <w:rPr>
          <w:color w:val="000000"/>
        </w:rPr>
        <w:t xml:space="preserve"> quienes digan a Europa lo que le conviene. </w:t>
      </w:r>
    </w:p>
    <w:p w:rsidR="00D73123" w:rsidRPr="00823369" w:rsidRDefault="007152C6" w:rsidP="0079197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w:t>
      </w:r>
      <w:r w:rsidR="00823369" w:rsidRPr="00823369">
        <w:rPr>
          <w:rFonts w:ascii="Times New Roman" w:hAnsi="Times New Roman" w:cs="Times New Roman"/>
          <w:sz w:val="24"/>
          <w:szCs w:val="24"/>
          <w:u w:val="single"/>
        </w:rPr>
        <w:t>a hoja de ruta de la Comisión Europea está clara</w:t>
      </w:r>
      <w:r w:rsidR="001F741E">
        <w:rPr>
          <w:rFonts w:ascii="Times New Roman" w:hAnsi="Times New Roman" w:cs="Times New Roman"/>
          <w:sz w:val="24"/>
          <w:szCs w:val="24"/>
          <w:u w:val="single"/>
        </w:rPr>
        <w:t xml:space="preserve"> (¿demasiado lejos o muy tarde</w:t>
      </w:r>
      <w:r>
        <w:rPr>
          <w:rFonts w:ascii="Times New Roman" w:hAnsi="Times New Roman" w:cs="Times New Roman"/>
          <w:sz w:val="24"/>
          <w:szCs w:val="24"/>
          <w:u w:val="single"/>
        </w:rPr>
        <w:t>?)</w:t>
      </w:r>
    </w:p>
    <w:p w:rsidR="007152C6" w:rsidRPr="00714065" w:rsidRDefault="007152C6" w:rsidP="007152C6">
      <w:pPr>
        <w:pStyle w:val="NormalWeb"/>
        <w:jc w:val="both"/>
        <w:rPr>
          <w:b/>
        </w:rPr>
      </w:pPr>
      <w:r w:rsidRPr="00714065">
        <w:rPr>
          <w:b/>
        </w:rPr>
        <w:t>Objetivos Europa 2020</w:t>
      </w:r>
      <w:r w:rsidR="0038308B">
        <w:rPr>
          <w:b/>
        </w:rPr>
        <w:t xml:space="preserve"> - </w:t>
      </w:r>
      <w:r>
        <w:rPr>
          <w:b/>
        </w:rPr>
        <w:t>Comisión europea - (5/3/14)</w:t>
      </w:r>
    </w:p>
    <w:p w:rsidR="007152C6" w:rsidRPr="00714065" w:rsidRDefault="007152C6" w:rsidP="007152C6">
      <w:pPr>
        <w:shd w:val="clear" w:color="auto" w:fill="F2F2F2"/>
        <w:spacing w:before="100" w:beforeAutospacing="1" w:after="100" w:afterAutospacing="1" w:line="240" w:lineRule="auto"/>
        <w:outlineLvl w:val="3"/>
        <w:rPr>
          <w:rFonts w:ascii="Times New Roman" w:hAnsi="Times New Roman"/>
          <w:b/>
          <w:bCs/>
          <w:sz w:val="24"/>
          <w:szCs w:val="24"/>
        </w:rPr>
      </w:pPr>
      <w:r w:rsidRPr="00714065">
        <w:rPr>
          <w:rFonts w:ascii="Times New Roman" w:hAnsi="Times New Roman"/>
          <w:b/>
          <w:bCs/>
          <w:sz w:val="24"/>
          <w:szCs w:val="24"/>
        </w:rPr>
        <w:t>Los cinco objetivos para la UE en 2020</w:t>
      </w:r>
    </w:p>
    <w:p w:rsidR="007152C6" w:rsidRPr="00714065" w:rsidRDefault="007152C6" w:rsidP="007152C6">
      <w:pPr>
        <w:numPr>
          <w:ilvl w:val="0"/>
          <w:numId w:val="14"/>
        </w:numPr>
        <w:shd w:val="clear" w:color="auto" w:fill="F2F2F2"/>
        <w:spacing w:before="100" w:beforeAutospacing="1" w:after="100" w:afterAutospacing="1" w:line="240" w:lineRule="atLeast"/>
        <w:ind w:left="150"/>
        <w:rPr>
          <w:rFonts w:ascii="Times New Roman" w:hAnsi="Times New Roman"/>
          <w:sz w:val="24"/>
          <w:szCs w:val="24"/>
        </w:rPr>
      </w:pPr>
      <w:r w:rsidRPr="00714065">
        <w:rPr>
          <w:rFonts w:ascii="Times New Roman" w:hAnsi="Times New Roman"/>
          <w:b/>
          <w:bCs/>
          <w:sz w:val="24"/>
          <w:szCs w:val="24"/>
        </w:rPr>
        <w:t>Empleo</w:t>
      </w:r>
      <w:r w:rsidRPr="00714065">
        <w:rPr>
          <w:rFonts w:ascii="Times New Roman" w:hAnsi="Times New Roman"/>
          <w:sz w:val="24"/>
          <w:szCs w:val="24"/>
        </w:rPr>
        <w:t xml:space="preserve"> </w:t>
      </w:r>
    </w:p>
    <w:p w:rsidR="007152C6" w:rsidRPr="00485992" w:rsidRDefault="007152C6" w:rsidP="007152C6">
      <w:pPr>
        <w:numPr>
          <w:ilvl w:val="1"/>
          <w:numId w:val="14"/>
        </w:numPr>
        <w:shd w:val="clear" w:color="auto" w:fill="F2F2F2"/>
        <w:spacing w:before="100" w:beforeAutospacing="1" w:after="100" w:afterAutospacing="1" w:line="300" w:lineRule="atLeast"/>
        <w:ind w:left="300"/>
        <w:rPr>
          <w:rFonts w:ascii="Times New Roman" w:hAnsi="Times New Roman"/>
          <w:b/>
          <w:sz w:val="24"/>
          <w:szCs w:val="24"/>
        </w:rPr>
      </w:pPr>
      <w:r w:rsidRPr="00485992">
        <w:rPr>
          <w:rFonts w:ascii="Times New Roman" w:hAnsi="Times New Roman"/>
          <w:b/>
          <w:sz w:val="24"/>
          <w:szCs w:val="24"/>
        </w:rPr>
        <w:t>empleo para el 75% de las personas de 20 a 64 años</w:t>
      </w:r>
    </w:p>
    <w:p w:rsidR="007152C6" w:rsidRPr="00714065" w:rsidRDefault="007152C6" w:rsidP="007152C6">
      <w:pPr>
        <w:numPr>
          <w:ilvl w:val="0"/>
          <w:numId w:val="14"/>
        </w:numPr>
        <w:shd w:val="clear" w:color="auto" w:fill="F2F2F2"/>
        <w:spacing w:before="100" w:beforeAutospacing="1" w:after="100" w:afterAutospacing="1" w:line="240" w:lineRule="atLeast"/>
        <w:ind w:left="150"/>
        <w:rPr>
          <w:rFonts w:ascii="Times New Roman" w:hAnsi="Times New Roman"/>
          <w:sz w:val="24"/>
          <w:szCs w:val="24"/>
        </w:rPr>
      </w:pPr>
      <w:r w:rsidRPr="00714065">
        <w:rPr>
          <w:rFonts w:ascii="Times New Roman" w:hAnsi="Times New Roman"/>
          <w:b/>
          <w:bCs/>
          <w:sz w:val="24"/>
          <w:szCs w:val="24"/>
        </w:rPr>
        <w:t>I+D </w:t>
      </w:r>
      <w:r w:rsidRPr="00714065">
        <w:rPr>
          <w:rFonts w:ascii="Times New Roman" w:hAnsi="Times New Roman"/>
          <w:sz w:val="24"/>
          <w:szCs w:val="24"/>
        </w:rPr>
        <w:t xml:space="preserve">  </w:t>
      </w:r>
    </w:p>
    <w:p w:rsidR="007152C6" w:rsidRPr="00485992" w:rsidRDefault="007152C6" w:rsidP="007152C6">
      <w:pPr>
        <w:numPr>
          <w:ilvl w:val="1"/>
          <w:numId w:val="14"/>
        </w:numPr>
        <w:shd w:val="clear" w:color="auto" w:fill="F2F2F2"/>
        <w:spacing w:before="100" w:beforeAutospacing="1" w:after="100" w:afterAutospacing="1" w:line="300" w:lineRule="atLeast"/>
        <w:ind w:left="300"/>
        <w:rPr>
          <w:rFonts w:ascii="Times New Roman" w:hAnsi="Times New Roman"/>
          <w:b/>
          <w:sz w:val="24"/>
          <w:szCs w:val="24"/>
        </w:rPr>
      </w:pPr>
      <w:r w:rsidRPr="00485992">
        <w:rPr>
          <w:rFonts w:ascii="Times New Roman" w:hAnsi="Times New Roman"/>
          <w:b/>
          <w:sz w:val="24"/>
          <w:szCs w:val="24"/>
        </w:rPr>
        <w:t>inversión del 3% del PIB de la UE en I+D</w:t>
      </w:r>
    </w:p>
    <w:p w:rsidR="007152C6" w:rsidRPr="00714065" w:rsidRDefault="007152C6" w:rsidP="007152C6">
      <w:pPr>
        <w:numPr>
          <w:ilvl w:val="0"/>
          <w:numId w:val="14"/>
        </w:numPr>
        <w:shd w:val="clear" w:color="auto" w:fill="F2F2F2"/>
        <w:spacing w:before="100" w:beforeAutospacing="1" w:after="100" w:afterAutospacing="1" w:line="240" w:lineRule="atLeast"/>
        <w:ind w:left="150"/>
        <w:rPr>
          <w:rFonts w:ascii="Times New Roman" w:hAnsi="Times New Roman"/>
          <w:sz w:val="24"/>
          <w:szCs w:val="24"/>
        </w:rPr>
      </w:pPr>
      <w:r w:rsidRPr="00714065">
        <w:rPr>
          <w:rFonts w:ascii="Times New Roman" w:hAnsi="Times New Roman"/>
          <w:b/>
          <w:bCs/>
          <w:sz w:val="24"/>
          <w:szCs w:val="24"/>
        </w:rPr>
        <w:t>Cambio climático y sostenibilidad energética</w:t>
      </w:r>
      <w:r w:rsidRPr="00714065">
        <w:rPr>
          <w:rFonts w:ascii="Times New Roman" w:hAnsi="Times New Roman"/>
          <w:sz w:val="24"/>
          <w:szCs w:val="24"/>
        </w:rPr>
        <w:t xml:space="preserve"> </w:t>
      </w:r>
    </w:p>
    <w:p w:rsidR="007152C6" w:rsidRPr="00714065" w:rsidRDefault="007152C6" w:rsidP="007152C6">
      <w:pPr>
        <w:numPr>
          <w:ilvl w:val="1"/>
          <w:numId w:val="14"/>
        </w:numPr>
        <w:shd w:val="clear" w:color="auto" w:fill="F2F2F2"/>
        <w:spacing w:before="100" w:beforeAutospacing="1" w:after="100" w:afterAutospacing="1" w:line="300" w:lineRule="atLeast"/>
        <w:ind w:left="300"/>
        <w:rPr>
          <w:rFonts w:ascii="Times New Roman" w:hAnsi="Times New Roman"/>
          <w:sz w:val="24"/>
          <w:szCs w:val="24"/>
        </w:rPr>
      </w:pPr>
      <w:r w:rsidRPr="00714065">
        <w:rPr>
          <w:rFonts w:ascii="Times New Roman" w:hAnsi="Times New Roman"/>
          <w:b/>
          <w:bCs/>
          <w:sz w:val="24"/>
          <w:szCs w:val="24"/>
        </w:rPr>
        <w:t>emisiones de gases de efecto invernadero un 20%</w:t>
      </w:r>
      <w:r w:rsidRPr="00714065">
        <w:rPr>
          <w:rFonts w:ascii="Times New Roman" w:hAnsi="Times New Roman"/>
          <w:sz w:val="24"/>
          <w:szCs w:val="24"/>
        </w:rPr>
        <w:t xml:space="preserve"> (</w:t>
      </w:r>
      <w:r w:rsidRPr="00485992">
        <w:rPr>
          <w:rFonts w:ascii="Times New Roman" w:hAnsi="Times New Roman"/>
          <w:b/>
          <w:sz w:val="24"/>
          <w:szCs w:val="24"/>
        </w:rPr>
        <w:t xml:space="preserve">o un </w:t>
      </w:r>
      <w:r w:rsidRPr="00485992">
        <w:rPr>
          <w:rFonts w:ascii="Times New Roman" w:hAnsi="Times New Roman"/>
          <w:b/>
          <w:bCs/>
          <w:sz w:val="24"/>
          <w:szCs w:val="24"/>
        </w:rPr>
        <w:t>30%</w:t>
      </w:r>
      <w:r w:rsidRPr="00485992">
        <w:rPr>
          <w:rFonts w:ascii="Times New Roman" w:hAnsi="Times New Roman"/>
          <w:b/>
          <w:sz w:val="24"/>
          <w:szCs w:val="24"/>
        </w:rPr>
        <w:t xml:space="preserve"> si se dan las condiciones</w:t>
      </w:r>
      <w:r w:rsidRPr="00714065">
        <w:rPr>
          <w:rFonts w:ascii="Times New Roman" w:hAnsi="Times New Roman"/>
          <w:sz w:val="24"/>
          <w:szCs w:val="24"/>
        </w:rPr>
        <w:t xml:space="preserve">) </w:t>
      </w:r>
      <w:r w:rsidRPr="00714065">
        <w:rPr>
          <w:rFonts w:ascii="Times New Roman" w:hAnsi="Times New Roman"/>
          <w:b/>
          <w:bCs/>
          <w:sz w:val="24"/>
          <w:szCs w:val="24"/>
        </w:rPr>
        <w:t>menores a los niveles de 1990</w:t>
      </w:r>
      <w:r w:rsidRPr="00714065">
        <w:rPr>
          <w:rFonts w:ascii="Times New Roman" w:hAnsi="Times New Roman"/>
          <w:sz w:val="24"/>
          <w:szCs w:val="24"/>
        </w:rPr>
        <w:t xml:space="preserve"> </w:t>
      </w:r>
    </w:p>
    <w:p w:rsidR="007152C6" w:rsidRPr="00714065" w:rsidRDefault="007152C6" w:rsidP="007152C6">
      <w:pPr>
        <w:numPr>
          <w:ilvl w:val="1"/>
          <w:numId w:val="14"/>
        </w:numPr>
        <w:shd w:val="clear" w:color="auto" w:fill="F2F2F2"/>
        <w:spacing w:before="100" w:beforeAutospacing="1" w:after="100" w:afterAutospacing="1" w:line="300" w:lineRule="atLeast"/>
        <w:ind w:left="300"/>
        <w:rPr>
          <w:rFonts w:ascii="Times New Roman" w:hAnsi="Times New Roman"/>
          <w:sz w:val="24"/>
          <w:szCs w:val="24"/>
        </w:rPr>
      </w:pPr>
      <w:r w:rsidRPr="00714065">
        <w:rPr>
          <w:rFonts w:ascii="Times New Roman" w:hAnsi="Times New Roman"/>
          <w:b/>
          <w:bCs/>
          <w:sz w:val="24"/>
          <w:szCs w:val="24"/>
        </w:rPr>
        <w:t>20% de energías renovables</w:t>
      </w:r>
      <w:r w:rsidRPr="00714065">
        <w:rPr>
          <w:rFonts w:ascii="Times New Roman" w:hAnsi="Times New Roman"/>
          <w:sz w:val="24"/>
          <w:szCs w:val="24"/>
        </w:rPr>
        <w:t xml:space="preserve"> </w:t>
      </w:r>
    </w:p>
    <w:p w:rsidR="007152C6" w:rsidRPr="00714065" w:rsidRDefault="007152C6" w:rsidP="007152C6">
      <w:pPr>
        <w:numPr>
          <w:ilvl w:val="1"/>
          <w:numId w:val="14"/>
        </w:numPr>
        <w:shd w:val="clear" w:color="auto" w:fill="F2F2F2"/>
        <w:spacing w:before="100" w:beforeAutospacing="1" w:after="100" w:afterAutospacing="1" w:line="300" w:lineRule="atLeast"/>
        <w:ind w:left="300"/>
        <w:rPr>
          <w:rFonts w:ascii="Times New Roman" w:hAnsi="Times New Roman"/>
          <w:sz w:val="24"/>
          <w:szCs w:val="24"/>
        </w:rPr>
      </w:pPr>
      <w:r w:rsidRPr="00714065">
        <w:rPr>
          <w:rFonts w:ascii="Times New Roman" w:hAnsi="Times New Roman"/>
          <w:b/>
          <w:bCs/>
          <w:sz w:val="24"/>
          <w:szCs w:val="24"/>
        </w:rPr>
        <w:t>aumento del 20 % de la eficiencia energética</w:t>
      </w:r>
      <w:r w:rsidRPr="00714065">
        <w:rPr>
          <w:rFonts w:ascii="Times New Roman" w:hAnsi="Times New Roman"/>
          <w:sz w:val="24"/>
          <w:szCs w:val="24"/>
        </w:rPr>
        <w:t xml:space="preserve"> </w:t>
      </w:r>
    </w:p>
    <w:p w:rsidR="007152C6" w:rsidRPr="00714065" w:rsidRDefault="007152C6" w:rsidP="007152C6">
      <w:pPr>
        <w:numPr>
          <w:ilvl w:val="0"/>
          <w:numId w:val="14"/>
        </w:numPr>
        <w:shd w:val="clear" w:color="auto" w:fill="F2F2F2"/>
        <w:spacing w:before="100" w:beforeAutospacing="1" w:after="100" w:afterAutospacing="1" w:line="240" w:lineRule="atLeast"/>
        <w:ind w:left="150"/>
        <w:rPr>
          <w:rFonts w:ascii="Times New Roman" w:hAnsi="Times New Roman"/>
          <w:sz w:val="24"/>
          <w:szCs w:val="24"/>
        </w:rPr>
      </w:pPr>
      <w:r w:rsidRPr="00714065">
        <w:rPr>
          <w:rFonts w:ascii="Times New Roman" w:hAnsi="Times New Roman"/>
          <w:b/>
          <w:bCs/>
          <w:sz w:val="24"/>
          <w:szCs w:val="24"/>
        </w:rPr>
        <w:t>Educación</w:t>
      </w:r>
      <w:r w:rsidRPr="00714065">
        <w:rPr>
          <w:rFonts w:ascii="Times New Roman" w:hAnsi="Times New Roman"/>
          <w:sz w:val="24"/>
          <w:szCs w:val="24"/>
        </w:rPr>
        <w:t xml:space="preserve"> </w:t>
      </w:r>
    </w:p>
    <w:p w:rsidR="007152C6" w:rsidRPr="00714065" w:rsidRDefault="007152C6" w:rsidP="007152C6">
      <w:pPr>
        <w:numPr>
          <w:ilvl w:val="1"/>
          <w:numId w:val="14"/>
        </w:numPr>
        <w:shd w:val="clear" w:color="auto" w:fill="F2F2F2"/>
        <w:spacing w:before="100" w:beforeAutospacing="1" w:after="100" w:afterAutospacing="1" w:line="300" w:lineRule="atLeast"/>
        <w:ind w:left="300"/>
        <w:rPr>
          <w:rFonts w:ascii="Times New Roman" w:hAnsi="Times New Roman"/>
          <w:sz w:val="24"/>
          <w:szCs w:val="24"/>
        </w:rPr>
      </w:pPr>
      <w:r w:rsidRPr="00714065">
        <w:rPr>
          <w:rFonts w:ascii="Times New Roman" w:hAnsi="Times New Roman"/>
          <w:b/>
          <w:bCs/>
          <w:sz w:val="24"/>
          <w:szCs w:val="24"/>
        </w:rPr>
        <w:t>tasas de abandono escolar prematuro por debajo del 10%</w:t>
      </w:r>
      <w:r w:rsidRPr="00714065">
        <w:rPr>
          <w:rFonts w:ascii="Times New Roman" w:hAnsi="Times New Roman"/>
          <w:sz w:val="24"/>
          <w:szCs w:val="24"/>
        </w:rPr>
        <w:t xml:space="preserve"> </w:t>
      </w:r>
    </w:p>
    <w:p w:rsidR="007152C6" w:rsidRPr="00714065" w:rsidRDefault="007152C6" w:rsidP="007152C6">
      <w:pPr>
        <w:numPr>
          <w:ilvl w:val="1"/>
          <w:numId w:val="14"/>
        </w:numPr>
        <w:shd w:val="clear" w:color="auto" w:fill="F2F2F2"/>
        <w:spacing w:before="100" w:beforeAutospacing="1" w:after="100" w:afterAutospacing="1" w:line="300" w:lineRule="atLeast"/>
        <w:ind w:left="300"/>
        <w:rPr>
          <w:rFonts w:ascii="Times New Roman" w:hAnsi="Times New Roman"/>
          <w:sz w:val="24"/>
          <w:szCs w:val="24"/>
        </w:rPr>
      </w:pPr>
      <w:r w:rsidRPr="00714065">
        <w:rPr>
          <w:rFonts w:ascii="Times New Roman" w:hAnsi="Times New Roman"/>
          <w:b/>
          <w:bCs/>
          <w:sz w:val="24"/>
          <w:szCs w:val="24"/>
        </w:rPr>
        <w:t>al menos un 40% de las personas de 30 a 34 años de edad deberán completar estudios de nivel terciario</w:t>
      </w:r>
      <w:r w:rsidRPr="00714065">
        <w:rPr>
          <w:rFonts w:ascii="Times New Roman" w:hAnsi="Times New Roman"/>
          <w:sz w:val="24"/>
          <w:szCs w:val="24"/>
        </w:rPr>
        <w:t xml:space="preserve"> </w:t>
      </w:r>
    </w:p>
    <w:p w:rsidR="007152C6" w:rsidRPr="00714065" w:rsidRDefault="007152C6" w:rsidP="007152C6">
      <w:pPr>
        <w:numPr>
          <w:ilvl w:val="0"/>
          <w:numId w:val="14"/>
        </w:numPr>
        <w:shd w:val="clear" w:color="auto" w:fill="F2F2F2"/>
        <w:spacing w:before="100" w:beforeAutospacing="1" w:after="100" w:afterAutospacing="1" w:line="240" w:lineRule="atLeast"/>
        <w:ind w:left="150"/>
        <w:rPr>
          <w:rFonts w:ascii="Times New Roman" w:hAnsi="Times New Roman"/>
          <w:sz w:val="24"/>
          <w:szCs w:val="24"/>
        </w:rPr>
      </w:pPr>
      <w:r w:rsidRPr="00714065">
        <w:rPr>
          <w:rFonts w:ascii="Times New Roman" w:hAnsi="Times New Roman"/>
          <w:b/>
          <w:bCs/>
          <w:sz w:val="24"/>
          <w:szCs w:val="24"/>
        </w:rPr>
        <w:t xml:space="preserve">Luchar contra la pobreza y la exclusión social </w:t>
      </w:r>
    </w:p>
    <w:p w:rsidR="0038308B" w:rsidRDefault="007152C6" w:rsidP="0038308B">
      <w:pPr>
        <w:numPr>
          <w:ilvl w:val="1"/>
          <w:numId w:val="14"/>
        </w:numPr>
        <w:shd w:val="clear" w:color="auto" w:fill="F2F2F2"/>
        <w:spacing w:before="100" w:beforeAutospacing="1" w:after="100" w:afterAutospacing="1" w:line="300" w:lineRule="atLeast"/>
        <w:ind w:left="300"/>
        <w:rPr>
          <w:rFonts w:ascii="Times New Roman" w:hAnsi="Times New Roman"/>
          <w:sz w:val="24"/>
          <w:szCs w:val="24"/>
        </w:rPr>
        <w:sectPr w:rsidR="0038308B">
          <w:pgSz w:w="11906" w:h="16838"/>
          <w:pgMar w:top="1417" w:right="1701" w:bottom="1417" w:left="1701" w:header="708" w:footer="708" w:gutter="0"/>
          <w:cols w:space="708"/>
          <w:docGrid w:linePitch="360"/>
        </w:sectPr>
      </w:pPr>
      <w:r w:rsidRPr="00485992">
        <w:rPr>
          <w:rFonts w:ascii="Times New Roman" w:hAnsi="Times New Roman"/>
          <w:b/>
          <w:sz w:val="24"/>
          <w:szCs w:val="24"/>
        </w:rPr>
        <w:t>reducir al menos en</w:t>
      </w:r>
      <w:r w:rsidRPr="00714065">
        <w:rPr>
          <w:rFonts w:ascii="Times New Roman" w:hAnsi="Times New Roman"/>
          <w:sz w:val="24"/>
          <w:szCs w:val="24"/>
        </w:rPr>
        <w:t xml:space="preserve"> </w:t>
      </w:r>
      <w:r w:rsidRPr="00714065">
        <w:rPr>
          <w:rFonts w:ascii="Times New Roman" w:hAnsi="Times New Roman"/>
          <w:b/>
          <w:bCs/>
          <w:sz w:val="24"/>
          <w:szCs w:val="24"/>
        </w:rPr>
        <w:t>20 millones el número de personas en situación o riesgo de pobreza y exclusión social</w:t>
      </w:r>
      <w:r w:rsidRPr="00714065">
        <w:rPr>
          <w:rFonts w:ascii="Times New Roman" w:hAnsi="Times New Roman"/>
          <w:sz w:val="24"/>
          <w:szCs w:val="24"/>
        </w:rPr>
        <w:t xml:space="preserve"> </w:t>
      </w:r>
    </w:p>
    <w:p w:rsidR="007152C6" w:rsidRDefault="0038308B" w:rsidP="0038308B">
      <w:pPr>
        <w:shd w:val="clear" w:color="auto" w:fill="F2F2F2"/>
        <w:spacing w:before="100" w:beforeAutospacing="1" w:after="100" w:afterAutospacing="1" w:line="300" w:lineRule="atLeast"/>
        <w:ind w:left="300"/>
        <w:rPr>
          <w:rFonts w:ascii="Times New Roman" w:hAnsi="Times New Roman"/>
          <w:sz w:val="24"/>
          <w:szCs w:val="24"/>
        </w:rPr>
      </w:pPr>
      <w:r>
        <w:rPr>
          <w:rFonts w:ascii="Times New Roman" w:hAnsi="Times New Roman"/>
          <w:noProof/>
          <w:sz w:val="24"/>
          <w:szCs w:val="24"/>
          <w:lang w:eastAsia="es-ES"/>
        </w:rPr>
        <w:lastRenderedPageBreak/>
        <w:drawing>
          <wp:inline distT="0" distB="0" distL="0" distR="0" wp14:anchorId="2BDE6631" wp14:editId="0E032126">
            <wp:extent cx="8191500" cy="53975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191500" cy="5397500"/>
                    </a:xfrm>
                    <a:prstGeom prst="rect">
                      <a:avLst/>
                    </a:prstGeom>
                    <a:noFill/>
                    <a:ln>
                      <a:noFill/>
                    </a:ln>
                  </pic:spPr>
                </pic:pic>
              </a:graphicData>
            </a:graphic>
          </wp:inline>
        </w:drawing>
      </w:r>
    </w:p>
    <w:p w:rsidR="0038308B" w:rsidRDefault="0038308B" w:rsidP="0038308B">
      <w:pPr>
        <w:shd w:val="clear" w:color="auto" w:fill="F2F2F2"/>
        <w:spacing w:before="100" w:beforeAutospacing="1" w:after="100" w:afterAutospacing="1" w:line="300" w:lineRule="atLeast"/>
        <w:ind w:left="300"/>
        <w:rPr>
          <w:rFonts w:ascii="Times New Roman" w:hAnsi="Times New Roman"/>
          <w:sz w:val="24"/>
          <w:szCs w:val="24"/>
        </w:rPr>
      </w:pPr>
      <w:r>
        <w:rPr>
          <w:rFonts w:ascii="Times New Roman" w:hAnsi="Times New Roman"/>
          <w:noProof/>
          <w:sz w:val="24"/>
          <w:szCs w:val="24"/>
          <w:lang w:eastAsia="es-ES"/>
        </w:rPr>
        <w:lastRenderedPageBreak/>
        <w:drawing>
          <wp:inline distT="0" distB="0" distL="0" distR="0" wp14:anchorId="0BCE1748" wp14:editId="7C5FD867">
            <wp:extent cx="7791450" cy="53975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791450" cy="5397500"/>
                    </a:xfrm>
                    <a:prstGeom prst="rect">
                      <a:avLst/>
                    </a:prstGeom>
                    <a:noFill/>
                    <a:ln>
                      <a:noFill/>
                    </a:ln>
                  </pic:spPr>
                </pic:pic>
              </a:graphicData>
            </a:graphic>
          </wp:inline>
        </w:drawing>
      </w:r>
    </w:p>
    <w:p w:rsidR="0038308B" w:rsidRDefault="0038308B" w:rsidP="0038308B">
      <w:pPr>
        <w:shd w:val="clear" w:color="auto" w:fill="F2F2F2"/>
        <w:spacing w:before="100" w:beforeAutospacing="1" w:after="100" w:afterAutospacing="1" w:line="300" w:lineRule="atLeast"/>
        <w:ind w:left="300"/>
        <w:rPr>
          <w:rFonts w:ascii="Times New Roman" w:hAnsi="Times New Roman"/>
          <w:sz w:val="24"/>
          <w:szCs w:val="24"/>
        </w:rPr>
        <w:sectPr w:rsidR="0038308B" w:rsidSect="0038308B">
          <w:pgSz w:w="16838" w:h="11906" w:orient="landscape"/>
          <w:pgMar w:top="1701" w:right="1418" w:bottom="1701" w:left="1418" w:header="709" w:footer="709" w:gutter="0"/>
          <w:cols w:space="708"/>
          <w:docGrid w:linePitch="360"/>
        </w:sectPr>
      </w:pPr>
      <w:r>
        <w:rPr>
          <w:rFonts w:ascii="Times New Roman" w:hAnsi="Times New Roman"/>
          <w:noProof/>
          <w:color w:val="000000"/>
          <w:sz w:val="24"/>
          <w:szCs w:val="24"/>
          <w:lang w:eastAsia="es-ES"/>
        </w:rPr>
        <w:lastRenderedPageBreak/>
        <w:drawing>
          <wp:inline distT="0" distB="0" distL="0" distR="0" wp14:anchorId="2A613CBE" wp14:editId="6F640276">
            <wp:extent cx="7905750" cy="53975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905750" cy="5397500"/>
                    </a:xfrm>
                    <a:prstGeom prst="rect">
                      <a:avLst/>
                    </a:prstGeom>
                    <a:noFill/>
                    <a:ln>
                      <a:noFill/>
                    </a:ln>
                  </pic:spPr>
                </pic:pic>
              </a:graphicData>
            </a:graphic>
          </wp:inline>
        </w:drawing>
      </w:r>
    </w:p>
    <w:p w:rsidR="0079197E" w:rsidRPr="00FD5AE7" w:rsidRDefault="00FD5AE7" w:rsidP="006F1283">
      <w:pPr>
        <w:pStyle w:val="NormalWeb"/>
        <w:jc w:val="both"/>
        <w:rPr>
          <w:color w:val="000000"/>
          <w:u w:val="single"/>
        </w:rPr>
      </w:pPr>
      <w:r>
        <w:rPr>
          <w:color w:val="000000"/>
          <w:u w:val="single"/>
        </w:rPr>
        <w:lastRenderedPageBreak/>
        <w:t>Un punto de partida que torna dudoso</w:t>
      </w:r>
      <w:r w:rsidR="006F1283" w:rsidRPr="00FD5AE7">
        <w:rPr>
          <w:color w:val="000000"/>
          <w:u w:val="single"/>
        </w:rPr>
        <w:t xml:space="preserve"> </w:t>
      </w:r>
      <w:r w:rsidRPr="00FD5AE7">
        <w:rPr>
          <w:color w:val="000000"/>
          <w:u w:val="single"/>
        </w:rPr>
        <w:t>el logro de los Objetivos Europa</w:t>
      </w:r>
      <w:r w:rsidR="006F1283" w:rsidRPr="00FD5AE7">
        <w:rPr>
          <w:color w:val="000000"/>
          <w:u w:val="single"/>
        </w:rPr>
        <w:t xml:space="preserve"> 2020</w:t>
      </w:r>
    </w:p>
    <w:p w:rsidR="006F1283" w:rsidRPr="002B7FE7" w:rsidRDefault="006F1283" w:rsidP="006F1283">
      <w:pPr>
        <w:spacing w:before="100" w:beforeAutospacing="1" w:after="100" w:afterAutospacing="1" w:line="240" w:lineRule="auto"/>
        <w:jc w:val="both"/>
        <w:rPr>
          <w:rFonts w:ascii="Times New Roman" w:hAnsi="Times New Roman"/>
          <w:b/>
          <w:sz w:val="24"/>
          <w:szCs w:val="24"/>
          <w:lang w:val="en-US"/>
        </w:rPr>
      </w:pPr>
      <w:r w:rsidRPr="002B7FE7">
        <w:rPr>
          <w:rFonts w:ascii="Times New Roman" w:hAnsi="Times New Roman"/>
          <w:b/>
          <w:sz w:val="24"/>
          <w:szCs w:val="24"/>
          <w:lang w:val="en-US"/>
        </w:rPr>
        <w:t xml:space="preserve">Basic figures on the EU </w:t>
      </w:r>
      <w:r>
        <w:rPr>
          <w:rFonts w:ascii="Times New Roman" w:hAnsi="Times New Roman"/>
          <w:b/>
          <w:sz w:val="24"/>
          <w:szCs w:val="24"/>
          <w:lang w:val="en-US"/>
        </w:rPr>
        <w:t>(</w:t>
      </w:r>
      <w:r w:rsidRPr="002B7FE7">
        <w:rPr>
          <w:rFonts w:ascii="Times New Roman" w:hAnsi="Times New Roman"/>
          <w:b/>
          <w:sz w:val="24"/>
          <w:szCs w:val="24"/>
          <w:lang w:val="en-US"/>
        </w:rPr>
        <w:t>Third quarter 2014</w:t>
      </w:r>
      <w:r>
        <w:rPr>
          <w:rFonts w:ascii="Times New Roman" w:hAnsi="Times New Roman"/>
          <w:b/>
          <w:sz w:val="24"/>
          <w:szCs w:val="24"/>
          <w:lang w:val="en-US"/>
        </w:rPr>
        <w:t>)</w:t>
      </w:r>
    </w:p>
    <w:p w:rsidR="006F1283" w:rsidRDefault="006F1283" w:rsidP="006F1283">
      <w:pPr>
        <w:pStyle w:val="NormalWeb"/>
        <w:jc w:val="both"/>
        <w:rPr>
          <w:b/>
          <w:color w:val="000000"/>
          <w:lang w:val="en-US"/>
        </w:rPr>
      </w:pPr>
      <w:r>
        <w:rPr>
          <w:noProof/>
        </w:rPr>
        <w:drawing>
          <wp:inline distT="0" distB="0" distL="0" distR="0" wp14:anchorId="09B7F8F3" wp14:editId="71D625F1">
            <wp:extent cx="4527550" cy="7924800"/>
            <wp:effectExtent l="0" t="0" r="635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27550" cy="7924800"/>
                    </a:xfrm>
                    <a:prstGeom prst="rect">
                      <a:avLst/>
                    </a:prstGeom>
                    <a:noFill/>
                    <a:ln>
                      <a:noFill/>
                    </a:ln>
                  </pic:spPr>
                </pic:pic>
              </a:graphicData>
            </a:graphic>
          </wp:inline>
        </w:drawing>
      </w:r>
    </w:p>
    <w:p w:rsidR="006F1283" w:rsidRDefault="006F1283" w:rsidP="006F1283">
      <w:pPr>
        <w:pStyle w:val="NormalWeb"/>
        <w:jc w:val="both"/>
        <w:rPr>
          <w:b/>
          <w:color w:val="000000"/>
        </w:rPr>
      </w:pPr>
      <w:r w:rsidRPr="006F1283">
        <w:rPr>
          <w:b/>
          <w:color w:val="000000"/>
        </w:rPr>
        <w:lastRenderedPageBreak/>
        <w:t xml:space="preserve">- </w:t>
      </w:r>
      <w:r>
        <w:rPr>
          <w:b/>
          <w:color w:val="000000"/>
        </w:rPr>
        <w:t xml:space="preserve">¿Quién es quién?: </w:t>
      </w:r>
      <w:r w:rsidRPr="006F1283">
        <w:rPr>
          <w:b/>
          <w:color w:val="000000"/>
        </w:rPr>
        <w:t xml:space="preserve">Europa en el mundo (un </w:t>
      </w:r>
      <w:r>
        <w:rPr>
          <w:b/>
          <w:color w:val="000000"/>
        </w:rPr>
        <w:t>‘</w:t>
      </w:r>
      <w:r w:rsidRPr="006F1283">
        <w:rPr>
          <w:b/>
          <w:color w:val="000000"/>
        </w:rPr>
        <w:t>museo vacío</w:t>
      </w:r>
      <w:r w:rsidR="00FD5AE7">
        <w:rPr>
          <w:b/>
          <w:color w:val="000000"/>
        </w:rPr>
        <w:t>’</w:t>
      </w:r>
      <w:r w:rsidRPr="006F1283">
        <w:rPr>
          <w:b/>
          <w:color w:val="000000"/>
        </w:rPr>
        <w:t xml:space="preserve"> desde antes de la crisis)</w:t>
      </w:r>
    </w:p>
    <w:p w:rsidR="00C94D5D" w:rsidRPr="00C94D5D" w:rsidRDefault="00C94D5D" w:rsidP="00C94D5D">
      <w:pPr>
        <w:spacing w:before="100" w:beforeAutospacing="1" w:after="100" w:afterAutospacing="1" w:line="240" w:lineRule="auto"/>
        <w:jc w:val="both"/>
        <w:rPr>
          <w:rFonts w:ascii="Times New Roman" w:hAnsi="Times New Roman"/>
          <w:b/>
          <w:sz w:val="24"/>
          <w:szCs w:val="24"/>
          <w:lang w:val="en-US"/>
        </w:rPr>
      </w:pPr>
      <w:r w:rsidRPr="002B7FE7">
        <w:rPr>
          <w:rFonts w:ascii="Times New Roman" w:hAnsi="Times New Roman"/>
          <w:b/>
          <w:sz w:val="24"/>
          <w:szCs w:val="24"/>
          <w:lang w:val="en-US"/>
        </w:rPr>
        <w:t xml:space="preserve">Basic figures on the EU </w:t>
      </w:r>
      <w:r>
        <w:rPr>
          <w:rFonts w:ascii="Times New Roman" w:hAnsi="Times New Roman"/>
          <w:b/>
          <w:sz w:val="24"/>
          <w:szCs w:val="24"/>
          <w:lang w:val="en-US"/>
        </w:rPr>
        <w:t>(</w:t>
      </w:r>
      <w:r w:rsidR="003E2830">
        <w:rPr>
          <w:rFonts w:ascii="Times New Roman" w:hAnsi="Times New Roman"/>
          <w:b/>
          <w:sz w:val="24"/>
          <w:szCs w:val="24"/>
          <w:lang w:val="en-US"/>
        </w:rPr>
        <w:t xml:space="preserve">Eurostat - </w:t>
      </w:r>
      <w:r w:rsidRPr="002B7FE7">
        <w:rPr>
          <w:rFonts w:ascii="Times New Roman" w:hAnsi="Times New Roman"/>
          <w:b/>
          <w:sz w:val="24"/>
          <w:szCs w:val="24"/>
          <w:lang w:val="en-US"/>
        </w:rPr>
        <w:t>Third quarter 2014</w:t>
      </w:r>
      <w:r>
        <w:rPr>
          <w:rFonts w:ascii="Times New Roman" w:hAnsi="Times New Roman"/>
          <w:b/>
          <w:sz w:val="24"/>
          <w:szCs w:val="24"/>
          <w:lang w:val="en-US"/>
        </w:rPr>
        <w:t>)</w:t>
      </w:r>
    </w:p>
    <w:p w:rsidR="00FD5AE7" w:rsidRPr="006F1283" w:rsidRDefault="00FD5AE7" w:rsidP="006F1283">
      <w:pPr>
        <w:pStyle w:val="NormalWeb"/>
        <w:jc w:val="both"/>
        <w:rPr>
          <w:b/>
          <w:color w:val="000000"/>
        </w:rPr>
      </w:pPr>
      <w:r>
        <w:rPr>
          <w:noProof/>
        </w:rPr>
        <w:drawing>
          <wp:inline distT="0" distB="0" distL="0" distR="0" wp14:anchorId="26960798" wp14:editId="64AE1DD2">
            <wp:extent cx="5397500" cy="68580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97500" cy="6858000"/>
                    </a:xfrm>
                    <a:prstGeom prst="rect">
                      <a:avLst/>
                    </a:prstGeom>
                    <a:noFill/>
                    <a:ln>
                      <a:noFill/>
                    </a:ln>
                  </pic:spPr>
                </pic:pic>
              </a:graphicData>
            </a:graphic>
          </wp:inline>
        </w:drawing>
      </w:r>
    </w:p>
    <w:p w:rsidR="006F1283" w:rsidRDefault="006F1283" w:rsidP="006F1283">
      <w:pPr>
        <w:pStyle w:val="NormalWeb"/>
        <w:jc w:val="both"/>
        <w:rPr>
          <w:b/>
          <w:color w:val="000000"/>
        </w:rPr>
      </w:pPr>
      <w:r>
        <w:rPr>
          <w:noProof/>
        </w:rPr>
        <w:lastRenderedPageBreak/>
        <w:drawing>
          <wp:inline distT="0" distB="0" distL="0" distR="0" wp14:anchorId="4C0E1D7F" wp14:editId="548E6355">
            <wp:extent cx="5397500" cy="398145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7500" cy="3981450"/>
                    </a:xfrm>
                    <a:prstGeom prst="rect">
                      <a:avLst/>
                    </a:prstGeom>
                    <a:noFill/>
                    <a:ln>
                      <a:noFill/>
                    </a:ln>
                  </pic:spPr>
                </pic:pic>
              </a:graphicData>
            </a:graphic>
          </wp:inline>
        </w:drawing>
      </w:r>
    </w:p>
    <w:p w:rsidR="006F1283" w:rsidRDefault="006F1283" w:rsidP="006F1283">
      <w:pPr>
        <w:pStyle w:val="NormalWeb"/>
        <w:jc w:val="both"/>
        <w:rPr>
          <w:b/>
          <w:color w:val="000000"/>
        </w:rPr>
      </w:pPr>
      <w:r>
        <w:rPr>
          <w:noProof/>
        </w:rPr>
        <w:drawing>
          <wp:inline distT="0" distB="0" distL="0" distR="0" wp14:anchorId="542EADE0" wp14:editId="1DD14B09">
            <wp:extent cx="5397500" cy="4108450"/>
            <wp:effectExtent l="0" t="0" r="0" b="635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7500" cy="4108450"/>
                    </a:xfrm>
                    <a:prstGeom prst="rect">
                      <a:avLst/>
                    </a:prstGeom>
                    <a:noFill/>
                    <a:ln>
                      <a:noFill/>
                    </a:ln>
                  </pic:spPr>
                </pic:pic>
              </a:graphicData>
            </a:graphic>
          </wp:inline>
        </w:drawing>
      </w:r>
    </w:p>
    <w:p w:rsidR="006F1283" w:rsidRDefault="006F1283" w:rsidP="006F1283">
      <w:pPr>
        <w:pStyle w:val="NormalWeb"/>
        <w:jc w:val="both"/>
        <w:rPr>
          <w:b/>
          <w:color w:val="000000"/>
        </w:rPr>
      </w:pPr>
    </w:p>
    <w:p w:rsidR="00FD5AE7" w:rsidRDefault="00FD5AE7" w:rsidP="006F1283">
      <w:pPr>
        <w:pStyle w:val="NormalWeb"/>
        <w:jc w:val="both"/>
        <w:rPr>
          <w:b/>
          <w:color w:val="000000"/>
        </w:rPr>
      </w:pPr>
    </w:p>
    <w:p w:rsidR="00FD5AE7" w:rsidRDefault="00FD5AE7" w:rsidP="006F1283">
      <w:pPr>
        <w:pStyle w:val="NormalWeb"/>
        <w:jc w:val="both"/>
        <w:rPr>
          <w:b/>
          <w:color w:val="000000"/>
        </w:rPr>
      </w:pPr>
    </w:p>
    <w:p w:rsidR="00FD5AE7" w:rsidRDefault="00FD5AE7" w:rsidP="006F1283">
      <w:pPr>
        <w:pStyle w:val="NormalWeb"/>
        <w:jc w:val="both"/>
        <w:rPr>
          <w:b/>
          <w:color w:val="000000"/>
        </w:rPr>
      </w:pPr>
    </w:p>
    <w:p w:rsidR="006F1283" w:rsidRDefault="00FD5AE7" w:rsidP="006F1283">
      <w:pPr>
        <w:pStyle w:val="NormalWeb"/>
        <w:jc w:val="both"/>
        <w:rPr>
          <w:b/>
          <w:color w:val="000000"/>
        </w:rPr>
      </w:pPr>
      <w:r>
        <w:rPr>
          <w:noProof/>
        </w:rPr>
        <w:drawing>
          <wp:inline distT="0" distB="0" distL="0" distR="0" wp14:anchorId="384D268E" wp14:editId="02CCF520">
            <wp:extent cx="5400040" cy="6251703"/>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0040" cy="6251703"/>
                    </a:xfrm>
                    <a:prstGeom prst="rect">
                      <a:avLst/>
                    </a:prstGeom>
                    <a:noFill/>
                    <a:ln>
                      <a:noFill/>
                    </a:ln>
                  </pic:spPr>
                </pic:pic>
              </a:graphicData>
            </a:graphic>
          </wp:inline>
        </w:drawing>
      </w:r>
    </w:p>
    <w:p w:rsidR="00FD5AE7" w:rsidRDefault="00FD5AE7" w:rsidP="006F1283">
      <w:pPr>
        <w:pStyle w:val="NormalWeb"/>
        <w:jc w:val="both"/>
        <w:rPr>
          <w:b/>
          <w:color w:val="000000"/>
        </w:rPr>
      </w:pPr>
    </w:p>
    <w:p w:rsidR="00FD5AE7" w:rsidRDefault="00FD5AE7" w:rsidP="006F1283">
      <w:pPr>
        <w:pStyle w:val="NormalWeb"/>
        <w:jc w:val="both"/>
        <w:rPr>
          <w:b/>
          <w:color w:val="000000"/>
        </w:rPr>
      </w:pPr>
    </w:p>
    <w:p w:rsidR="00FD5AE7" w:rsidRDefault="00FD5AE7" w:rsidP="00FD5AE7">
      <w:pPr>
        <w:pStyle w:val="NormalWeb"/>
        <w:jc w:val="both"/>
        <w:rPr>
          <w:b/>
          <w:color w:val="000000"/>
        </w:rPr>
      </w:pPr>
    </w:p>
    <w:p w:rsidR="00FD5AE7" w:rsidRDefault="00FD5AE7" w:rsidP="00FD5AE7">
      <w:pPr>
        <w:pStyle w:val="NormalWeb"/>
        <w:jc w:val="both"/>
        <w:rPr>
          <w:b/>
          <w:color w:val="000000"/>
        </w:rPr>
      </w:pPr>
    </w:p>
    <w:p w:rsidR="00FD5AE7" w:rsidRDefault="00FD5AE7" w:rsidP="00FD5AE7">
      <w:pPr>
        <w:pStyle w:val="NormalWeb"/>
        <w:jc w:val="both"/>
        <w:rPr>
          <w:b/>
          <w:color w:val="000000"/>
        </w:rPr>
        <w:sectPr w:rsidR="00FD5AE7" w:rsidSect="0038308B">
          <w:pgSz w:w="11906" w:h="16838"/>
          <w:pgMar w:top="1418" w:right="1701" w:bottom="1418" w:left="1701" w:header="709" w:footer="709" w:gutter="0"/>
          <w:cols w:space="708"/>
          <w:docGrid w:linePitch="360"/>
        </w:sectPr>
      </w:pPr>
    </w:p>
    <w:p w:rsidR="00FD5AE7" w:rsidRDefault="00FD5AE7" w:rsidP="00FD5AE7">
      <w:pPr>
        <w:pStyle w:val="NormalWeb"/>
        <w:jc w:val="both"/>
        <w:rPr>
          <w:b/>
          <w:color w:val="000000"/>
        </w:rPr>
      </w:pPr>
      <w:r>
        <w:rPr>
          <w:noProof/>
          <w:color w:val="000000"/>
        </w:rPr>
        <w:lastRenderedPageBreak/>
        <w:drawing>
          <wp:inline distT="0" distB="0" distL="0" distR="0" wp14:anchorId="1DED2170" wp14:editId="2D288753">
            <wp:extent cx="8883650" cy="40576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883650" cy="4057650"/>
                    </a:xfrm>
                    <a:prstGeom prst="rect">
                      <a:avLst/>
                    </a:prstGeom>
                    <a:noFill/>
                    <a:ln>
                      <a:noFill/>
                    </a:ln>
                  </pic:spPr>
                </pic:pic>
              </a:graphicData>
            </a:graphic>
          </wp:inline>
        </w:drawing>
      </w:r>
    </w:p>
    <w:p w:rsidR="00FD5AE7" w:rsidRDefault="00FD5AE7" w:rsidP="00FD5AE7">
      <w:pPr>
        <w:pStyle w:val="NormalWeb"/>
        <w:jc w:val="both"/>
        <w:rPr>
          <w:b/>
          <w:color w:val="000000"/>
        </w:rPr>
      </w:pPr>
    </w:p>
    <w:p w:rsidR="00FD5AE7" w:rsidRDefault="00FD5AE7" w:rsidP="00FD5AE7">
      <w:pPr>
        <w:pStyle w:val="NormalWeb"/>
        <w:jc w:val="both"/>
        <w:rPr>
          <w:b/>
          <w:color w:val="000000"/>
        </w:rPr>
      </w:pPr>
    </w:p>
    <w:p w:rsidR="00FD5AE7" w:rsidRDefault="00FD5AE7" w:rsidP="00FD5AE7">
      <w:pPr>
        <w:pStyle w:val="NormalWeb"/>
        <w:jc w:val="both"/>
        <w:rPr>
          <w:b/>
          <w:color w:val="000000"/>
        </w:rPr>
      </w:pPr>
    </w:p>
    <w:p w:rsidR="00FD5AE7" w:rsidRDefault="00FD5AE7" w:rsidP="00FD5AE7">
      <w:pPr>
        <w:pStyle w:val="NormalWeb"/>
        <w:jc w:val="both"/>
        <w:rPr>
          <w:b/>
          <w:color w:val="000000"/>
        </w:rPr>
      </w:pPr>
      <w:r>
        <w:rPr>
          <w:noProof/>
          <w:color w:val="000000"/>
        </w:rPr>
        <w:lastRenderedPageBreak/>
        <w:drawing>
          <wp:inline distT="0" distB="0" distL="0" distR="0" wp14:anchorId="405CDA8A" wp14:editId="4538BE51">
            <wp:extent cx="8883650" cy="4108450"/>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883650" cy="4108450"/>
                    </a:xfrm>
                    <a:prstGeom prst="rect">
                      <a:avLst/>
                    </a:prstGeom>
                    <a:noFill/>
                    <a:ln>
                      <a:noFill/>
                    </a:ln>
                  </pic:spPr>
                </pic:pic>
              </a:graphicData>
            </a:graphic>
          </wp:inline>
        </w:drawing>
      </w:r>
    </w:p>
    <w:p w:rsidR="00FD5AE7" w:rsidRDefault="00FD5AE7" w:rsidP="00FD5AE7">
      <w:pPr>
        <w:pStyle w:val="NormalWeb"/>
        <w:jc w:val="both"/>
        <w:rPr>
          <w:b/>
          <w:color w:val="000000"/>
        </w:rPr>
      </w:pPr>
    </w:p>
    <w:p w:rsidR="00FD5AE7" w:rsidRDefault="00FD5AE7" w:rsidP="00FD5AE7">
      <w:pPr>
        <w:pStyle w:val="NormalWeb"/>
        <w:jc w:val="both"/>
        <w:rPr>
          <w:b/>
          <w:color w:val="000000"/>
        </w:rPr>
      </w:pPr>
    </w:p>
    <w:p w:rsidR="00FD5AE7" w:rsidRDefault="00FD5AE7" w:rsidP="00FD5AE7">
      <w:pPr>
        <w:pStyle w:val="NormalWeb"/>
        <w:jc w:val="both"/>
        <w:rPr>
          <w:b/>
          <w:color w:val="000000"/>
        </w:rPr>
      </w:pPr>
    </w:p>
    <w:p w:rsidR="00FD5AE7" w:rsidRDefault="00FD5AE7" w:rsidP="00FD5AE7">
      <w:pPr>
        <w:pStyle w:val="NormalWeb"/>
        <w:jc w:val="both"/>
        <w:rPr>
          <w:b/>
          <w:color w:val="000000"/>
        </w:rPr>
      </w:pPr>
    </w:p>
    <w:p w:rsidR="00FD5AE7" w:rsidRDefault="00FD5AE7" w:rsidP="00FD5AE7">
      <w:pPr>
        <w:pStyle w:val="NormalWeb"/>
        <w:jc w:val="both"/>
        <w:rPr>
          <w:b/>
          <w:color w:val="000000"/>
        </w:rPr>
      </w:pPr>
    </w:p>
    <w:p w:rsidR="00FD5AE7" w:rsidRDefault="00FD5AE7" w:rsidP="00FD5AE7">
      <w:pPr>
        <w:pStyle w:val="NormalWeb"/>
        <w:jc w:val="both"/>
        <w:rPr>
          <w:b/>
          <w:color w:val="000000"/>
        </w:rPr>
      </w:pPr>
      <w:r>
        <w:rPr>
          <w:noProof/>
          <w:color w:val="000000"/>
        </w:rPr>
        <w:drawing>
          <wp:inline distT="0" distB="0" distL="0" distR="0" wp14:anchorId="3518913A" wp14:editId="0A881D63">
            <wp:extent cx="8877300" cy="2698750"/>
            <wp:effectExtent l="0" t="0" r="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877300" cy="2698750"/>
                    </a:xfrm>
                    <a:prstGeom prst="rect">
                      <a:avLst/>
                    </a:prstGeom>
                    <a:noFill/>
                    <a:ln>
                      <a:noFill/>
                    </a:ln>
                  </pic:spPr>
                </pic:pic>
              </a:graphicData>
            </a:graphic>
          </wp:inline>
        </w:drawing>
      </w:r>
    </w:p>
    <w:p w:rsidR="00FD5AE7" w:rsidRDefault="00FD5AE7" w:rsidP="00FD5AE7">
      <w:pPr>
        <w:pStyle w:val="NormalWeb"/>
        <w:jc w:val="both"/>
        <w:rPr>
          <w:b/>
          <w:color w:val="000000"/>
        </w:rPr>
        <w:sectPr w:rsidR="00FD5AE7" w:rsidSect="00FD5AE7">
          <w:pgSz w:w="16838" w:h="11906" w:orient="landscape"/>
          <w:pgMar w:top="1701" w:right="1418" w:bottom="1701" w:left="1418" w:header="709" w:footer="709" w:gutter="0"/>
          <w:cols w:space="708"/>
          <w:docGrid w:linePitch="360"/>
        </w:sectPr>
      </w:pPr>
    </w:p>
    <w:p w:rsidR="00FD5AE7" w:rsidRDefault="00FD5AE7" w:rsidP="00FD5AE7">
      <w:pPr>
        <w:pStyle w:val="NormalWeb"/>
        <w:jc w:val="both"/>
        <w:rPr>
          <w:b/>
          <w:color w:val="000000"/>
        </w:rPr>
      </w:pPr>
    </w:p>
    <w:p w:rsidR="00C94D5D" w:rsidRDefault="00C94D5D" w:rsidP="00FD5AE7">
      <w:pPr>
        <w:pStyle w:val="NormalWeb"/>
        <w:jc w:val="both"/>
        <w:rPr>
          <w:b/>
          <w:color w:val="000000"/>
        </w:rPr>
      </w:pPr>
    </w:p>
    <w:p w:rsidR="00C94D5D" w:rsidRDefault="00C94D5D" w:rsidP="00FD5AE7">
      <w:pPr>
        <w:pStyle w:val="NormalWeb"/>
        <w:jc w:val="both"/>
        <w:rPr>
          <w:b/>
          <w:color w:val="000000"/>
        </w:rPr>
      </w:pPr>
      <w:r>
        <w:rPr>
          <w:noProof/>
        </w:rPr>
        <w:drawing>
          <wp:inline distT="0" distB="0" distL="0" distR="0" wp14:anchorId="7D6B5134" wp14:editId="19173FBD">
            <wp:extent cx="5400040" cy="7195820"/>
            <wp:effectExtent l="0" t="0" r="0" b="508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0040" cy="7195820"/>
                    </a:xfrm>
                    <a:prstGeom prst="rect">
                      <a:avLst/>
                    </a:prstGeom>
                    <a:noFill/>
                    <a:ln>
                      <a:noFill/>
                    </a:ln>
                  </pic:spPr>
                </pic:pic>
              </a:graphicData>
            </a:graphic>
          </wp:inline>
        </w:drawing>
      </w:r>
    </w:p>
    <w:p w:rsidR="00FD5AE7" w:rsidRDefault="00FD5AE7" w:rsidP="00FD5AE7">
      <w:pPr>
        <w:pStyle w:val="NormalWeb"/>
        <w:jc w:val="both"/>
        <w:rPr>
          <w:b/>
          <w:color w:val="000000"/>
        </w:rPr>
      </w:pPr>
    </w:p>
    <w:p w:rsidR="00C94D5D" w:rsidRDefault="00C94D5D" w:rsidP="00FD5AE7">
      <w:pPr>
        <w:pStyle w:val="NormalWeb"/>
        <w:jc w:val="both"/>
        <w:rPr>
          <w:b/>
          <w:color w:val="000000"/>
        </w:rPr>
      </w:pPr>
    </w:p>
    <w:p w:rsidR="00C94D5D" w:rsidRDefault="00C94D5D" w:rsidP="00FD5AE7">
      <w:pPr>
        <w:pStyle w:val="NormalWeb"/>
        <w:jc w:val="both"/>
        <w:rPr>
          <w:b/>
          <w:color w:val="000000"/>
        </w:rPr>
      </w:pPr>
    </w:p>
    <w:p w:rsidR="00C94D5D" w:rsidRDefault="00C94D5D" w:rsidP="00FD5AE7">
      <w:pPr>
        <w:pStyle w:val="NormalWeb"/>
        <w:jc w:val="both"/>
        <w:rPr>
          <w:b/>
          <w:color w:val="000000"/>
        </w:rPr>
      </w:pPr>
    </w:p>
    <w:p w:rsidR="00FD5AE7" w:rsidRDefault="00FD5AE7" w:rsidP="00FD5AE7">
      <w:pPr>
        <w:pStyle w:val="NormalWeb"/>
        <w:jc w:val="both"/>
        <w:rPr>
          <w:b/>
          <w:color w:val="000000"/>
        </w:rPr>
      </w:pPr>
      <w:r>
        <w:rPr>
          <w:noProof/>
        </w:rPr>
        <w:drawing>
          <wp:inline distT="0" distB="0" distL="0" distR="0" wp14:anchorId="35FFDF57" wp14:editId="3427DA02">
            <wp:extent cx="5400040" cy="6970396"/>
            <wp:effectExtent l="0" t="0" r="0" b="190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0040" cy="6970396"/>
                    </a:xfrm>
                    <a:prstGeom prst="rect">
                      <a:avLst/>
                    </a:prstGeom>
                    <a:noFill/>
                    <a:ln>
                      <a:noFill/>
                    </a:ln>
                  </pic:spPr>
                </pic:pic>
              </a:graphicData>
            </a:graphic>
          </wp:inline>
        </w:drawing>
      </w:r>
    </w:p>
    <w:p w:rsidR="000A7ADD" w:rsidRDefault="000A7ADD" w:rsidP="00FD5AE7">
      <w:pPr>
        <w:pStyle w:val="NormalWeb"/>
        <w:jc w:val="both"/>
        <w:rPr>
          <w:b/>
          <w:color w:val="000000"/>
        </w:rPr>
      </w:pPr>
    </w:p>
    <w:p w:rsidR="000A7ADD" w:rsidRDefault="000A7ADD" w:rsidP="00FD5AE7">
      <w:pPr>
        <w:pStyle w:val="NormalWeb"/>
        <w:jc w:val="both"/>
        <w:rPr>
          <w:b/>
          <w:color w:val="000000"/>
        </w:rPr>
      </w:pPr>
    </w:p>
    <w:p w:rsidR="000A7ADD" w:rsidRDefault="000A7ADD" w:rsidP="00FD5AE7">
      <w:pPr>
        <w:pStyle w:val="NormalWeb"/>
        <w:jc w:val="both"/>
        <w:rPr>
          <w:b/>
          <w:color w:val="000000"/>
        </w:rPr>
      </w:pPr>
    </w:p>
    <w:p w:rsidR="000A7ADD" w:rsidRDefault="000A7ADD" w:rsidP="000A7ADD">
      <w:pPr>
        <w:spacing w:line="240" w:lineRule="auto"/>
        <w:jc w:val="both"/>
        <w:rPr>
          <w:rFonts w:ascii="Times New Roman" w:hAnsi="Times New Roman"/>
          <w:b/>
          <w:sz w:val="24"/>
          <w:szCs w:val="24"/>
          <w:lang w:val="en-US"/>
        </w:rPr>
      </w:pPr>
      <w:r w:rsidRPr="004D227A">
        <w:rPr>
          <w:rFonts w:ascii="Times New Roman" w:hAnsi="Times New Roman"/>
          <w:b/>
          <w:sz w:val="24"/>
          <w:szCs w:val="24"/>
          <w:lang w:val="en-US"/>
        </w:rPr>
        <w:lastRenderedPageBreak/>
        <w:t>The EU in the world 2014</w:t>
      </w:r>
      <w:r>
        <w:rPr>
          <w:rFonts w:ascii="Times New Roman" w:hAnsi="Times New Roman"/>
          <w:b/>
          <w:sz w:val="24"/>
          <w:szCs w:val="24"/>
          <w:lang w:val="en-US"/>
        </w:rPr>
        <w:t xml:space="preserve"> - Eurostat 2014</w:t>
      </w:r>
    </w:p>
    <w:p w:rsidR="000A7ADD" w:rsidRPr="00AD4C60" w:rsidRDefault="000A7ADD" w:rsidP="000A7ADD">
      <w:pPr>
        <w:spacing w:line="240" w:lineRule="auto"/>
        <w:jc w:val="both"/>
        <w:rPr>
          <w:rFonts w:ascii="Times New Roman" w:hAnsi="Times New Roman"/>
          <w:b/>
          <w:sz w:val="24"/>
          <w:szCs w:val="24"/>
          <w:lang w:val="en-US"/>
        </w:rPr>
      </w:pPr>
      <w:r w:rsidRPr="00AD4C60">
        <w:rPr>
          <w:rFonts w:ascii="Times New Roman" w:hAnsi="Times New Roman"/>
          <w:b/>
          <w:sz w:val="24"/>
          <w:szCs w:val="24"/>
          <w:lang w:val="en-US"/>
        </w:rPr>
        <w:t>(A statistical portrait)</w:t>
      </w:r>
    </w:p>
    <w:p w:rsidR="000A7ADD" w:rsidRPr="003E2830" w:rsidRDefault="000A7ADD" w:rsidP="000A7ADD">
      <w:pPr>
        <w:spacing w:line="240" w:lineRule="auto"/>
        <w:jc w:val="both"/>
        <w:rPr>
          <w:rFonts w:ascii="Times New Roman" w:hAnsi="Times New Roman"/>
          <w:b/>
          <w:sz w:val="24"/>
          <w:szCs w:val="24"/>
          <w:lang w:val="en-US"/>
        </w:rPr>
      </w:pPr>
      <w:r w:rsidRPr="00AD4C60">
        <w:rPr>
          <w:rFonts w:ascii="Times New Roman" w:hAnsi="Times New Roman"/>
          <w:b/>
          <w:sz w:val="24"/>
          <w:szCs w:val="24"/>
          <w:lang w:val="en-US"/>
        </w:rPr>
        <w:t>Economy and finance</w:t>
      </w:r>
      <w:r w:rsidR="003E2830">
        <w:rPr>
          <w:rFonts w:ascii="Times New Roman" w:hAnsi="Times New Roman"/>
          <w:b/>
          <w:sz w:val="24"/>
          <w:szCs w:val="24"/>
          <w:lang w:val="en-US"/>
        </w:rPr>
        <w:t xml:space="preserve"> (</w:t>
      </w:r>
      <w:r w:rsidRPr="00DA3AF7">
        <w:rPr>
          <w:rFonts w:ascii="Times New Roman" w:hAnsi="Times New Roman"/>
          <w:sz w:val="24"/>
          <w:szCs w:val="24"/>
          <w:lang w:val="en-US"/>
        </w:rPr>
        <w:t>Main findings</w:t>
      </w:r>
      <w:r w:rsidR="003E2830">
        <w:rPr>
          <w:rFonts w:ascii="Times New Roman" w:hAnsi="Times New Roman"/>
          <w:sz w:val="24"/>
          <w:szCs w:val="24"/>
          <w:lang w:val="en-US"/>
        </w:rPr>
        <w:t>)</w:t>
      </w:r>
    </w:p>
    <w:p w:rsidR="000A7ADD" w:rsidRDefault="000A7ADD" w:rsidP="000A7ADD">
      <w:pPr>
        <w:spacing w:line="240" w:lineRule="auto"/>
        <w:jc w:val="both"/>
        <w:rPr>
          <w:rFonts w:ascii="Times New Roman" w:hAnsi="Times New Roman"/>
          <w:sz w:val="20"/>
          <w:szCs w:val="20"/>
          <w:lang w:val="en-US"/>
        </w:rPr>
      </w:pPr>
      <w:r w:rsidRPr="00DA3AF7">
        <w:rPr>
          <w:rFonts w:ascii="Times New Roman" w:hAnsi="Times New Roman"/>
          <w:sz w:val="20"/>
          <w:szCs w:val="20"/>
          <w:lang w:val="en-US"/>
        </w:rPr>
        <w:t xml:space="preserve">In 2012, the total economic output of the world, as measured by GDP, was valued at EUR 56 577 billion, of which the G20 members accounted for 85.7 %, 4.2 percentage points less than in 2002. The EU-28 accounted for a 22.9 % share of the world’s GDP in 2012, while the United States’ share was 22.3 % - </w:t>
      </w:r>
      <w:r w:rsidRPr="00DA3AF7">
        <w:rPr>
          <w:rFonts w:ascii="Times New Roman" w:hAnsi="Times New Roman"/>
          <w:color w:val="FF0000"/>
          <w:sz w:val="20"/>
          <w:szCs w:val="20"/>
          <w:lang w:val="en-US"/>
        </w:rPr>
        <w:t>see Figure 6.1</w:t>
      </w:r>
      <w:r w:rsidRPr="00DA3AF7">
        <w:rPr>
          <w:rFonts w:ascii="Times New Roman" w:hAnsi="Times New Roman"/>
          <w:sz w:val="20"/>
          <w:szCs w:val="20"/>
          <w:lang w:val="en-US"/>
        </w:rPr>
        <w:t>; note these relative shares are based on current price series in euro terms, reflecting bilateral exchange rates. The Chinese share of world GDP rose from 4.3 % in 2002 to 11.5 % in 2012, moving ahead of Japan (8.2 % share). To put the rapid pace of recent Chinese growth into context, in current price terms China’s GDP in 2012 was EUR 4 970 billion higher than it was in 2002, an increase equivalent to the combined GDP in 2012 of the seven smallest G20 economies (Mexico, South Korea, Indonesia, Turkey, Saudi Arabia, Argentina and South Africa).</w:t>
      </w:r>
    </w:p>
    <w:p w:rsidR="000A7ADD" w:rsidRDefault="000A7ADD" w:rsidP="000A7ADD">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397D603C" wp14:editId="19E1C294">
            <wp:extent cx="5397500" cy="2946400"/>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7500" cy="2946400"/>
                    </a:xfrm>
                    <a:prstGeom prst="rect">
                      <a:avLst/>
                    </a:prstGeom>
                    <a:noFill/>
                    <a:ln>
                      <a:noFill/>
                    </a:ln>
                  </pic:spPr>
                </pic:pic>
              </a:graphicData>
            </a:graphic>
          </wp:inline>
        </w:drawing>
      </w:r>
      <w:r w:rsidRPr="00DA3AF7">
        <w:rPr>
          <w:rFonts w:ascii="Times New Roman" w:hAnsi="Times New Roman"/>
          <w:color w:val="FF0000"/>
          <w:sz w:val="20"/>
          <w:szCs w:val="20"/>
          <w:lang w:val="en-US"/>
        </w:rPr>
        <w:t xml:space="preserve">Figure 6.2 </w:t>
      </w:r>
      <w:r w:rsidRPr="00DA3AF7">
        <w:rPr>
          <w:rFonts w:ascii="Times New Roman" w:hAnsi="Times New Roman"/>
          <w:sz w:val="20"/>
          <w:szCs w:val="20"/>
          <w:lang w:val="en-US"/>
        </w:rPr>
        <w:t>shows an analysis of the world share of GDP accounted</w:t>
      </w:r>
      <w:r>
        <w:rPr>
          <w:rFonts w:ascii="Times New Roman" w:hAnsi="Times New Roman"/>
          <w:sz w:val="20"/>
          <w:szCs w:val="20"/>
          <w:lang w:val="en-US"/>
        </w:rPr>
        <w:t xml:space="preserve"> for by each of the G20 members for 2002 and 2012 -</w:t>
      </w:r>
      <w:r w:rsidRPr="00DA3AF7">
        <w:rPr>
          <w:rFonts w:ascii="Times New Roman" w:hAnsi="Times New Roman"/>
          <w:sz w:val="20"/>
          <w:szCs w:val="20"/>
          <w:lang w:val="en-US"/>
        </w:rPr>
        <w:t xml:space="preserve"> note that these figures are in purchasing</w:t>
      </w:r>
      <w:r>
        <w:rPr>
          <w:rFonts w:ascii="Times New Roman" w:hAnsi="Times New Roman"/>
          <w:sz w:val="20"/>
          <w:szCs w:val="20"/>
          <w:lang w:val="en-US"/>
        </w:rPr>
        <w:t xml:space="preserve"> power parities terms (in other </w:t>
      </w:r>
      <w:r w:rsidRPr="00DA3AF7">
        <w:rPr>
          <w:rFonts w:ascii="Times New Roman" w:hAnsi="Times New Roman"/>
          <w:sz w:val="20"/>
          <w:szCs w:val="20"/>
          <w:lang w:val="en-US"/>
        </w:rPr>
        <w:t>words, they are adjusted for price level differences). On this basi</w:t>
      </w:r>
      <w:r>
        <w:rPr>
          <w:rFonts w:ascii="Times New Roman" w:hAnsi="Times New Roman"/>
          <w:sz w:val="20"/>
          <w:szCs w:val="20"/>
          <w:lang w:val="en-US"/>
        </w:rPr>
        <w:t xml:space="preserve">s, the relative importance of </w:t>
      </w:r>
      <w:r w:rsidRPr="00DA3AF7">
        <w:rPr>
          <w:rFonts w:ascii="Times New Roman" w:hAnsi="Times New Roman"/>
          <w:sz w:val="20"/>
          <w:szCs w:val="20"/>
          <w:lang w:val="en-US"/>
        </w:rPr>
        <w:t>China within the global economy was considerably higher, accou</w:t>
      </w:r>
      <w:r>
        <w:rPr>
          <w:rFonts w:ascii="Times New Roman" w:hAnsi="Times New Roman"/>
          <w:sz w:val="20"/>
          <w:szCs w:val="20"/>
          <w:lang w:val="en-US"/>
        </w:rPr>
        <w:t xml:space="preserve">nting for 14.2 % of the world’s </w:t>
      </w:r>
      <w:r w:rsidRPr="00DA3AF7">
        <w:rPr>
          <w:rFonts w:ascii="Times New Roman" w:hAnsi="Times New Roman"/>
          <w:sz w:val="20"/>
          <w:szCs w:val="20"/>
          <w:lang w:val="en-US"/>
        </w:rPr>
        <w:t xml:space="preserve">output in 2012, which </w:t>
      </w:r>
      <w:r w:rsidR="00A73AE0" w:rsidRPr="00DA3AF7">
        <w:rPr>
          <w:rFonts w:ascii="Times New Roman" w:hAnsi="Times New Roman"/>
          <w:sz w:val="20"/>
          <w:szCs w:val="20"/>
          <w:lang w:val="en-US"/>
        </w:rPr>
        <w:t>were</w:t>
      </w:r>
      <w:r w:rsidRPr="00DA3AF7">
        <w:rPr>
          <w:rFonts w:ascii="Times New Roman" w:hAnsi="Times New Roman"/>
          <w:sz w:val="20"/>
          <w:szCs w:val="20"/>
          <w:lang w:val="en-US"/>
        </w:rPr>
        <w:t xml:space="preserve"> more than two thirds of the share attributed to the EU-28 (19.9 %).</w:t>
      </w:r>
    </w:p>
    <w:p w:rsidR="00340F46" w:rsidRDefault="00340F46" w:rsidP="000A7ADD">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extent cx="5397500" cy="25527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97500" cy="2552700"/>
                    </a:xfrm>
                    <a:prstGeom prst="rect">
                      <a:avLst/>
                    </a:prstGeom>
                    <a:noFill/>
                    <a:ln>
                      <a:noFill/>
                    </a:ln>
                  </pic:spPr>
                </pic:pic>
              </a:graphicData>
            </a:graphic>
          </wp:inline>
        </w:drawing>
      </w:r>
    </w:p>
    <w:p w:rsidR="00340F46" w:rsidRPr="00340F46" w:rsidRDefault="00340F46" w:rsidP="00340F46">
      <w:pPr>
        <w:autoSpaceDE w:val="0"/>
        <w:autoSpaceDN w:val="0"/>
        <w:adjustRightInd w:val="0"/>
        <w:spacing w:after="0" w:line="240" w:lineRule="auto"/>
        <w:jc w:val="both"/>
        <w:rPr>
          <w:rFonts w:ascii="Times New Roman" w:eastAsia="MinionPro-Regular" w:hAnsi="Times New Roman" w:cs="Times New Roman"/>
          <w:sz w:val="20"/>
          <w:szCs w:val="20"/>
          <w:lang w:val="en-US"/>
        </w:rPr>
      </w:pPr>
      <w:r w:rsidRPr="00340F46">
        <w:rPr>
          <w:rFonts w:ascii="Times New Roman" w:eastAsia="MinionPro-Regular" w:hAnsi="Times New Roman" w:cs="Times New Roman"/>
          <w:color w:val="FF0000"/>
          <w:sz w:val="20"/>
          <w:szCs w:val="20"/>
          <w:lang w:val="en-US"/>
        </w:rPr>
        <w:lastRenderedPageBreak/>
        <w:t xml:space="preserve">Figure 6.3 </w:t>
      </w:r>
      <w:r w:rsidRPr="00340F46">
        <w:rPr>
          <w:rFonts w:ascii="Times New Roman" w:eastAsia="MinionPro-Regular" w:hAnsi="Times New Roman" w:cs="Times New Roman"/>
          <w:sz w:val="20"/>
          <w:szCs w:val="20"/>
          <w:lang w:val="en-US"/>
        </w:rPr>
        <w:t>shows the real growth rate (based on constant price data) of GDP in the EU-28</w:t>
      </w:r>
      <w:r>
        <w:rPr>
          <w:rFonts w:ascii="Times New Roman" w:eastAsia="MinionPro-Regular" w:hAnsi="Times New Roman" w:cs="Times New Roman"/>
          <w:sz w:val="20"/>
          <w:szCs w:val="20"/>
          <w:lang w:val="en-US"/>
        </w:rPr>
        <w:t xml:space="preserve"> </w:t>
      </w:r>
      <w:r w:rsidRPr="00340F46">
        <w:rPr>
          <w:rFonts w:ascii="Times New Roman" w:eastAsia="MinionPro-Regular" w:hAnsi="Times New Roman" w:cs="Times New Roman"/>
          <w:sz w:val="20"/>
          <w:szCs w:val="20"/>
          <w:lang w:val="en-US"/>
        </w:rPr>
        <w:t xml:space="preserve">compared with the other G20 members </w:t>
      </w:r>
      <w:r>
        <w:rPr>
          <w:rFonts w:ascii="Times New Roman" w:eastAsia="MinionPro-Regular" w:hAnsi="Times New Roman" w:cs="Times New Roman"/>
          <w:sz w:val="20"/>
          <w:szCs w:val="20"/>
          <w:lang w:val="en-US"/>
        </w:rPr>
        <w:t>-</w:t>
      </w:r>
      <w:r w:rsidRPr="00340F46">
        <w:rPr>
          <w:rFonts w:ascii="Times New Roman" w:eastAsia="MinionPro-Regular" w:hAnsi="Times New Roman" w:cs="Times New Roman"/>
          <w:sz w:val="20"/>
          <w:szCs w:val="20"/>
          <w:lang w:val="en-US"/>
        </w:rPr>
        <w:t xml:space="preserve"> note the different scal</w:t>
      </w:r>
      <w:r>
        <w:rPr>
          <w:rFonts w:ascii="Times New Roman" w:eastAsia="MinionPro-Regular" w:hAnsi="Times New Roman" w:cs="Times New Roman"/>
          <w:sz w:val="20"/>
          <w:szCs w:val="20"/>
          <w:lang w:val="en-US"/>
        </w:rPr>
        <w:t xml:space="preserve">es used for the different parts </w:t>
      </w:r>
      <w:r w:rsidRPr="00340F46">
        <w:rPr>
          <w:rFonts w:ascii="Times New Roman" w:eastAsia="MinionPro-Regular" w:hAnsi="Times New Roman" w:cs="Times New Roman"/>
          <w:sz w:val="20"/>
          <w:szCs w:val="20"/>
          <w:lang w:val="en-US"/>
        </w:rPr>
        <w:t>of the figure. The lowest rates of change were generally reco</w:t>
      </w:r>
      <w:r>
        <w:rPr>
          <w:rFonts w:ascii="Times New Roman" w:eastAsia="MinionPro-Regular" w:hAnsi="Times New Roman" w:cs="Times New Roman"/>
          <w:sz w:val="20"/>
          <w:szCs w:val="20"/>
          <w:lang w:val="en-US"/>
        </w:rPr>
        <w:t xml:space="preserve">rded by the developed economies </w:t>
      </w:r>
      <w:r w:rsidRPr="00340F46">
        <w:rPr>
          <w:rFonts w:ascii="Times New Roman" w:eastAsia="MinionPro-Regular" w:hAnsi="Times New Roman" w:cs="Times New Roman"/>
          <w:sz w:val="20"/>
          <w:szCs w:val="20"/>
          <w:lang w:val="en-US"/>
        </w:rPr>
        <w:t xml:space="preserve">such as Japan, the EU-28, the United States and Canada, while </w:t>
      </w:r>
      <w:r>
        <w:rPr>
          <w:rFonts w:ascii="Times New Roman" w:eastAsia="MinionPro-Regular" w:hAnsi="Times New Roman" w:cs="Times New Roman"/>
          <w:sz w:val="20"/>
          <w:szCs w:val="20"/>
          <w:lang w:val="en-US"/>
        </w:rPr>
        <w:t xml:space="preserve">the highest rates were recorded </w:t>
      </w:r>
      <w:r w:rsidRPr="00340F46">
        <w:rPr>
          <w:rFonts w:ascii="Times New Roman" w:eastAsia="MinionPro-Regular" w:hAnsi="Times New Roman" w:cs="Times New Roman"/>
          <w:sz w:val="20"/>
          <w:szCs w:val="20"/>
          <w:lang w:val="en-US"/>
        </w:rPr>
        <w:t>in the two Asian economies of China and India.</w:t>
      </w:r>
    </w:p>
    <w:p w:rsidR="000A7ADD" w:rsidRDefault="000A7ADD" w:rsidP="000A7ADD">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04F26702" wp14:editId="626676E4">
            <wp:extent cx="5397500" cy="25209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7500" cy="2520950"/>
                    </a:xfrm>
                    <a:prstGeom prst="rect">
                      <a:avLst/>
                    </a:prstGeom>
                    <a:noFill/>
                    <a:ln>
                      <a:noFill/>
                    </a:ln>
                  </pic:spPr>
                </pic:pic>
              </a:graphicData>
            </a:graphic>
          </wp:inline>
        </w:drawing>
      </w:r>
    </w:p>
    <w:p w:rsidR="000A7ADD" w:rsidRDefault="000A7ADD" w:rsidP="000A7ADD">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0FEBE764" wp14:editId="6818A3A5">
            <wp:extent cx="5397500" cy="23812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97500" cy="2381250"/>
                    </a:xfrm>
                    <a:prstGeom prst="rect">
                      <a:avLst/>
                    </a:prstGeom>
                    <a:noFill/>
                    <a:ln>
                      <a:noFill/>
                    </a:ln>
                  </pic:spPr>
                </pic:pic>
              </a:graphicData>
            </a:graphic>
          </wp:inline>
        </w:drawing>
      </w:r>
    </w:p>
    <w:p w:rsidR="00340F46" w:rsidRDefault="000A7ADD" w:rsidP="000A7ADD">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144AD340" wp14:editId="1596FDB8">
            <wp:extent cx="5397500" cy="2870200"/>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7500" cy="2870200"/>
                    </a:xfrm>
                    <a:prstGeom prst="rect">
                      <a:avLst/>
                    </a:prstGeom>
                    <a:noFill/>
                    <a:ln>
                      <a:noFill/>
                    </a:ln>
                  </pic:spPr>
                </pic:pic>
              </a:graphicData>
            </a:graphic>
          </wp:inline>
        </w:drawing>
      </w:r>
    </w:p>
    <w:p w:rsidR="000A7ADD" w:rsidRDefault="000A7ADD" w:rsidP="000A7ADD">
      <w:pPr>
        <w:spacing w:line="240" w:lineRule="auto"/>
        <w:jc w:val="both"/>
        <w:rPr>
          <w:rFonts w:ascii="Times New Roman" w:hAnsi="Times New Roman"/>
          <w:sz w:val="20"/>
          <w:szCs w:val="20"/>
          <w:lang w:val="en-US"/>
        </w:rPr>
      </w:pPr>
      <w:r w:rsidRPr="00DA3AF7">
        <w:rPr>
          <w:rFonts w:ascii="Times New Roman" w:hAnsi="Times New Roman"/>
          <w:sz w:val="20"/>
          <w:szCs w:val="20"/>
          <w:lang w:val="en-US"/>
        </w:rPr>
        <w:lastRenderedPageBreak/>
        <w:t>The economic structure of the G20 members varies most grea</w:t>
      </w:r>
      <w:r>
        <w:rPr>
          <w:rFonts w:ascii="Times New Roman" w:hAnsi="Times New Roman"/>
          <w:sz w:val="20"/>
          <w:szCs w:val="20"/>
          <w:lang w:val="en-US"/>
        </w:rPr>
        <w:t xml:space="preserve">tly in relation to the relative </w:t>
      </w:r>
      <w:r w:rsidRPr="00DA3AF7">
        <w:rPr>
          <w:rFonts w:ascii="Times New Roman" w:hAnsi="Times New Roman"/>
          <w:sz w:val="20"/>
          <w:szCs w:val="20"/>
          <w:lang w:val="en-US"/>
        </w:rPr>
        <w:t>importance of agriculture, forestry and fishing and, to a lesse</w:t>
      </w:r>
      <w:r>
        <w:rPr>
          <w:rFonts w:ascii="Times New Roman" w:hAnsi="Times New Roman"/>
          <w:sz w:val="20"/>
          <w:szCs w:val="20"/>
          <w:lang w:val="en-US"/>
        </w:rPr>
        <w:t>r extent, the relative share of industry -</w:t>
      </w:r>
      <w:r w:rsidRPr="00DA3AF7">
        <w:rPr>
          <w:rFonts w:ascii="Times New Roman" w:hAnsi="Times New Roman"/>
          <w:sz w:val="20"/>
          <w:szCs w:val="20"/>
          <w:lang w:val="en-US"/>
        </w:rPr>
        <w:t xml:space="preserve"> </w:t>
      </w:r>
      <w:r w:rsidRPr="00DA3AF7">
        <w:rPr>
          <w:rFonts w:ascii="Times New Roman" w:hAnsi="Times New Roman"/>
          <w:color w:val="FF0000"/>
          <w:sz w:val="20"/>
          <w:szCs w:val="20"/>
          <w:lang w:val="en-US"/>
        </w:rPr>
        <w:t>see Figure 6.5</w:t>
      </w:r>
      <w:r w:rsidRPr="00DA3AF7">
        <w:rPr>
          <w:rFonts w:ascii="Times New Roman" w:hAnsi="Times New Roman"/>
          <w:sz w:val="20"/>
          <w:szCs w:val="20"/>
          <w:lang w:val="en-US"/>
        </w:rPr>
        <w:t xml:space="preserve">; note that the data for the EU-28 and </w:t>
      </w:r>
      <w:r>
        <w:rPr>
          <w:rFonts w:ascii="Times New Roman" w:hAnsi="Times New Roman"/>
          <w:sz w:val="20"/>
          <w:szCs w:val="20"/>
          <w:lang w:val="en-US"/>
        </w:rPr>
        <w:t xml:space="preserve">the euro area (EA-18) are based </w:t>
      </w:r>
      <w:r w:rsidRPr="00DA3AF7">
        <w:rPr>
          <w:rFonts w:ascii="Times New Roman" w:hAnsi="Times New Roman"/>
          <w:sz w:val="20"/>
          <w:szCs w:val="20"/>
          <w:lang w:val="en-US"/>
        </w:rPr>
        <w:t>on the NACE Rev. 2 activity classification (compatible with IS</w:t>
      </w:r>
      <w:r>
        <w:rPr>
          <w:rFonts w:ascii="Times New Roman" w:hAnsi="Times New Roman"/>
          <w:sz w:val="20"/>
          <w:szCs w:val="20"/>
          <w:lang w:val="en-US"/>
        </w:rPr>
        <w:t xml:space="preserve">IC Rev.4), whereas the data for </w:t>
      </w:r>
      <w:r w:rsidRPr="00DA3AF7">
        <w:rPr>
          <w:rFonts w:ascii="Times New Roman" w:hAnsi="Times New Roman"/>
          <w:sz w:val="20"/>
          <w:szCs w:val="20"/>
          <w:lang w:val="en-US"/>
        </w:rPr>
        <w:t>the other G20 members are based on ISIC Rev.3.</w:t>
      </w:r>
    </w:p>
    <w:p w:rsidR="00061591" w:rsidRDefault="000A7ADD" w:rsidP="00061591">
      <w:pPr>
        <w:spacing w:line="240" w:lineRule="auto"/>
        <w:jc w:val="both"/>
        <w:rPr>
          <w:rFonts w:ascii="Times New Roman" w:hAnsi="Times New Roman"/>
          <w:sz w:val="24"/>
          <w:szCs w:val="24"/>
          <w:lang w:val="en-US"/>
        </w:rPr>
      </w:pPr>
      <w:r>
        <w:rPr>
          <w:rFonts w:ascii="Times New Roman" w:hAnsi="Times New Roman"/>
          <w:noProof/>
          <w:sz w:val="20"/>
          <w:szCs w:val="20"/>
          <w:lang w:eastAsia="es-ES"/>
        </w:rPr>
        <w:drawing>
          <wp:inline distT="0" distB="0" distL="0" distR="0" wp14:anchorId="5C90298C" wp14:editId="2196D86C">
            <wp:extent cx="5397500" cy="27432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97500" cy="2743200"/>
                    </a:xfrm>
                    <a:prstGeom prst="rect">
                      <a:avLst/>
                    </a:prstGeom>
                    <a:noFill/>
                    <a:ln>
                      <a:noFill/>
                    </a:ln>
                  </pic:spPr>
                </pic:pic>
              </a:graphicData>
            </a:graphic>
          </wp:inline>
        </w:drawing>
      </w:r>
      <w:r w:rsidR="00061591" w:rsidRPr="00061591">
        <w:rPr>
          <w:rFonts w:ascii="Times New Roman" w:hAnsi="Times New Roman"/>
          <w:b/>
          <w:sz w:val="24"/>
          <w:szCs w:val="24"/>
          <w:lang w:val="en-US"/>
        </w:rPr>
        <w:t>Population</w:t>
      </w:r>
      <w:r w:rsidR="00061591">
        <w:rPr>
          <w:rFonts w:ascii="Times New Roman" w:hAnsi="Times New Roman"/>
          <w:sz w:val="20"/>
          <w:szCs w:val="20"/>
          <w:lang w:val="en-US"/>
        </w:rPr>
        <w:t xml:space="preserve"> </w:t>
      </w:r>
      <w:r w:rsidR="00021EDE">
        <w:rPr>
          <w:rFonts w:ascii="Times New Roman" w:hAnsi="Times New Roman"/>
          <w:sz w:val="20"/>
          <w:szCs w:val="20"/>
          <w:lang w:val="en-US"/>
        </w:rPr>
        <w:t>(</w:t>
      </w:r>
      <w:r w:rsidR="00061591" w:rsidRPr="00061591">
        <w:rPr>
          <w:rFonts w:ascii="Times New Roman" w:hAnsi="Times New Roman"/>
          <w:sz w:val="24"/>
          <w:szCs w:val="24"/>
          <w:lang w:val="en-US"/>
        </w:rPr>
        <w:t>Main findings</w:t>
      </w:r>
      <w:r w:rsidR="00021EDE">
        <w:rPr>
          <w:rFonts w:ascii="Times New Roman" w:hAnsi="Times New Roman"/>
          <w:sz w:val="24"/>
          <w:szCs w:val="24"/>
          <w:lang w:val="en-US"/>
        </w:rPr>
        <w:t>)</w:t>
      </w:r>
    </w:p>
    <w:p w:rsidR="00021EDE" w:rsidRPr="00021EDE" w:rsidRDefault="00021EDE" w:rsidP="00021EDE">
      <w:pPr>
        <w:spacing w:line="240" w:lineRule="auto"/>
        <w:jc w:val="both"/>
        <w:rPr>
          <w:rFonts w:ascii="Times New Roman" w:hAnsi="Times New Roman"/>
          <w:sz w:val="24"/>
          <w:szCs w:val="24"/>
          <w:lang w:val="en-US"/>
        </w:rPr>
      </w:pPr>
      <w:r>
        <w:rPr>
          <w:rFonts w:ascii="Times New Roman" w:hAnsi="Times New Roman"/>
          <w:noProof/>
          <w:sz w:val="24"/>
          <w:szCs w:val="24"/>
          <w:lang w:eastAsia="es-ES"/>
        </w:rPr>
        <w:drawing>
          <wp:inline distT="0" distB="0" distL="0" distR="0" wp14:anchorId="22173E84" wp14:editId="70C62398">
            <wp:extent cx="5397500" cy="4070350"/>
            <wp:effectExtent l="0" t="0" r="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7500" cy="4070350"/>
                    </a:xfrm>
                    <a:prstGeom prst="rect">
                      <a:avLst/>
                    </a:prstGeom>
                    <a:noFill/>
                    <a:ln>
                      <a:noFill/>
                    </a:ln>
                  </pic:spPr>
                </pic:pic>
              </a:graphicData>
            </a:graphic>
          </wp:inline>
        </w:drawing>
      </w:r>
      <w:r w:rsidRPr="00021EDE">
        <w:rPr>
          <w:rFonts w:ascii="Times New Roman" w:eastAsia="MinionPro-Regular" w:hAnsi="Times New Roman" w:cs="Times New Roman"/>
          <w:sz w:val="20"/>
          <w:szCs w:val="20"/>
          <w:lang w:val="en-US"/>
        </w:rPr>
        <w:t>Old-age dependency ratios are projected to continue to rise in all G20 members, suggesting</w:t>
      </w:r>
      <w:r>
        <w:rPr>
          <w:rFonts w:ascii="Times New Roman" w:hAnsi="Times New Roman"/>
          <w:sz w:val="24"/>
          <w:szCs w:val="24"/>
          <w:lang w:val="en-US"/>
        </w:rPr>
        <w:t xml:space="preserve"> </w:t>
      </w:r>
      <w:r w:rsidRPr="00021EDE">
        <w:rPr>
          <w:rFonts w:ascii="Times New Roman" w:eastAsia="MinionPro-Regular" w:hAnsi="Times New Roman" w:cs="Times New Roman"/>
          <w:sz w:val="20"/>
          <w:szCs w:val="20"/>
          <w:lang w:val="en-US"/>
        </w:rPr>
        <w:t>that there will be an increasing burden to provide for social expenditure related to population</w:t>
      </w:r>
      <w:r>
        <w:rPr>
          <w:rFonts w:ascii="Times New Roman" w:hAnsi="Times New Roman"/>
          <w:sz w:val="24"/>
          <w:szCs w:val="24"/>
          <w:lang w:val="en-US"/>
        </w:rPr>
        <w:t xml:space="preserve"> </w:t>
      </w:r>
      <w:r w:rsidRPr="00021EDE">
        <w:rPr>
          <w:rFonts w:ascii="Times New Roman" w:eastAsia="MinionPro-Regular" w:hAnsi="Times New Roman" w:cs="Times New Roman"/>
          <w:sz w:val="20"/>
          <w:szCs w:val="20"/>
          <w:lang w:val="en-US"/>
        </w:rPr>
        <w:t>ageing (for example, for pensions, healthcare and institutional care). The EU</w:t>
      </w:r>
      <w:r w:rsidRPr="00021EDE">
        <w:rPr>
          <w:rFonts w:ascii="MS Mincho" w:eastAsia="MS Mincho" w:hAnsi="MS Mincho" w:cs="MS Mincho" w:hint="eastAsia"/>
          <w:sz w:val="20"/>
          <w:szCs w:val="20"/>
          <w:lang w:val="en-US"/>
        </w:rPr>
        <w:t>‑</w:t>
      </w:r>
      <w:r w:rsidRPr="00021EDE">
        <w:rPr>
          <w:rFonts w:ascii="Times New Roman" w:eastAsia="MinionPro-Regular" w:hAnsi="Times New Roman" w:cs="Times New Roman"/>
          <w:sz w:val="20"/>
          <w:szCs w:val="20"/>
          <w:lang w:val="en-US"/>
        </w:rPr>
        <w:t>27’s old-age</w:t>
      </w:r>
      <w:r>
        <w:rPr>
          <w:rFonts w:ascii="Times New Roman" w:hAnsi="Times New Roman"/>
          <w:sz w:val="24"/>
          <w:szCs w:val="24"/>
          <w:lang w:val="en-US"/>
        </w:rPr>
        <w:t xml:space="preserve"> </w:t>
      </w:r>
      <w:r w:rsidRPr="00021EDE">
        <w:rPr>
          <w:rFonts w:ascii="Times New Roman" w:eastAsia="MinionPro-Regular" w:hAnsi="Times New Roman" w:cs="Times New Roman"/>
          <w:sz w:val="20"/>
          <w:szCs w:val="20"/>
          <w:lang w:val="en-US"/>
        </w:rPr>
        <w:t>dependency ratio is projected to nearly double from 26.7 % in 2012 to 52.6 % by 2060, when it</w:t>
      </w:r>
      <w:r>
        <w:rPr>
          <w:rFonts w:ascii="Times New Roman" w:hAnsi="Times New Roman"/>
          <w:sz w:val="24"/>
          <w:szCs w:val="24"/>
          <w:lang w:val="en-US"/>
        </w:rPr>
        <w:t xml:space="preserve"> </w:t>
      </w:r>
      <w:r w:rsidRPr="00021EDE">
        <w:rPr>
          <w:rFonts w:ascii="Times New Roman" w:eastAsia="MinionPro-Regular" w:hAnsi="Times New Roman" w:cs="Times New Roman"/>
          <w:sz w:val="20"/>
          <w:szCs w:val="20"/>
          <w:lang w:val="en-US"/>
        </w:rPr>
        <w:t>is forecast to be 24.2 percentage points above the world average, but considerably lower than</w:t>
      </w:r>
      <w:r>
        <w:rPr>
          <w:rFonts w:ascii="Times New Roman" w:hAnsi="Times New Roman"/>
          <w:sz w:val="24"/>
          <w:szCs w:val="24"/>
          <w:lang w:val="en-US"/>
        </w:rPr>
        <w:t xml:space="preserve"> </w:t>
      </w:r>
      <w:r w:rsidRPr="00021EDE">
        <w:rPr>
          <w:rFonts w:ascii="Times New Roman" w:eastAsia="MinionPro-Regular" w:hAnsi="Times New Roman" w:cs="Times New Roman"/>
          <w:sz w:val="20"/>
          <w:szCs w:val="20"/>
          <w:lang w:val="en-US"/>
        </w:rPr>
        <w:t>in South Korea or Japan</w:t>
      </w:r>
      <w:r>
        <w:rPr>
          <w:rFonts w:ascii="Times New Roman" w:eastAsia="MinionPro-Regular" w:hAnsi="Times New Roman" w:cs="Times New Roman"/>
          <w:sz w:val="20"/>
          <w:szCs w:val="20"/>
          <w:lang w:val="en-US"/>
        </w:rPr>
        <w:t>.</w:t>
      </w:r>
    </w:p>
    <w:p w:rsidR="00C94D5D" w:rsidRPr="009205C9" w:rsidRDefault="00C94D5D" w:rsidP="00C94D5D">
      <w:pPr>
        <w:autoSpaceDE w:val="0"/>
        <w:autoSpaceDN w:val="0"/>
        <w:adjustRightInd w:val="0"/>
        <w:spacing w:after="0" w:line="240" w:lineRule="auto"/>
        <w:jc w:val="both"/>
        <w:rPr>
          <w:rFonts w:ascii="Times New Roman" w:hAnsi="Times New Roman"/>
          <w:b/>
          <w:sz w:val="24"/>
          <w:szCs w:val="24"/>
          <w:lang w:val="en-US"/>
        </w:rPr>
      </w:pPr>
      <w:r w:rsidRPr="009205C9">
        <w:rPr>
          <w:rFonts w:ascii="Times New Roman" w:hAnsi="Times New Roman"/>
          <w:b/>
          <w:sz w:val="24"/>
          <w:szCs w:val="24"/>
          <w:lang w:val="en-US"/>
        </w:rPr>
        <w:lastRenderedPageBreak/>
        <w:t xml:space="preserve">OECD Factbook - 2014 - Economic, Environmental and Social Statistics </w:t>
      </w:r>
    </w:p>
    <w:p w:rsidR="00C94D5D" w:rsidRDefault="00C94D5D" w:rsidP="00C94D5D">
      <w:pPr>
        <w:autoSpaceDE w:val="0"/>
        <w:autoSpaceDN w:val="0"/>
        <w:adjustRightInd w:val="0"/>
        <w:spacing w:after="0" w:line="240" w:lineRule="auto"/>
        <w:jc w:val="both"/>
        <w:rPr>
          <w:rFonts w:ascii="Times New Roman" w:hAnsi="Times New Roman"/>
          <w:b/>
          <w:sz w:val="24"/>
          <w:szCs w:val="24"/>
          <w:lang w:val="en-US"/>
        </w:rPr>
      </w:pPr>
    </w:p>
    <w:p w:rsidR="00C94D5D" w:rsidRDefault="00C94D5D" w:rsidP="00C94D5D">
      <w:pPr>
        <w:autoSpaceDE w:val="0"/>
        <w:autoSpaceDN w:val="0"/>
        <w:adjustRightInd w:val="0"/>
        <w:spacing w:after="0" w:line="240" w:lineRule="auto"/>
        <w:jc w:val="both"/>
        <w:rPr>
          <w:rFonts w:ascii="Times New Roman" w:hAnsi="Times New Roman"/>
          <w:b/>
          <w:sz w:val="24"/>
          <w:szCs w:val="24"/>
          <w:lang w:val="en-US"/>
        </w:rPr>
      </w:pPr>
      <w:r w:rsidRPr="009205C9">
        <w:rPr>
          <w:rFonts w:ascii="Times New Roman" w:hAnsi="Times New Roman"/>
          <w:b/>
          <w:sz w:val="24"/>
          <w:szCs w:val="24"/>
          <w:lang w:val="en-US"/>
        </w:rPr>
        <w:t>P</w:t>
      </w:r>
      <w:r>
        <w:rPr>
          <w:rFonts w:ascii="Times New Roman" w:hAnsi="Times New Roman"/>
          <w:b/>
          <w:sz w:val="24"/>
          <w:szCs w:val="24"/>
          <w:lang w:val="en-US"/>
        </w:rPr>
        <w:t>roduction and Productivity</w:t>
      </w:r>
    </w:p>
    <w:p w:rsidR="00FD5AE7" w:rsidRDefault="00C94D5D" w:rsidP="00FD5AE7">
      <w:pPr>
        <w:pStyle w:val="NormalWeb"/>
        <w:jc w:val="both"/>
        <w:rPr>
          <w:b/>
          <w:color w:val="000000"/>
        </w:rPr>
      </w:pPr>
      <w:r>
        <w:rPr>
          <w:rFonts w:eastAsiaTheme="minorHAnsi"/>
          <w:b/>
          <w:noProof/>
        </w:rPr>
        <w:drawing>
          <wp:inline distT="0" distB="0" distL="0" distR="0" wp14:anchorId="221240B6" wp14:editId="31493818">
            <wp:extent cx="5397500" cy="49022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0040" cy="4904507"/>
                    </a:xfrm>
                    <a:prstGeom prst="rect">
                      <a:avLst/>
                    </a:prstGeom>
                    <a:noFill/>
                    <a:ln>
                      <a:noFill/>
                    </a:ln>
                  </pic:spPr>
                </pic:pic>
              </a:graphicData>
            </a:graphic>
          </wp:inline>
        </w:drawing>
      </w:r>
    </w:p>
    <w:p w:rsidR="00C94D5D" w:rsidRDefault="00C94D5D" w:rsidP="00C94D5D">
      <w:pPr>
        <w:pStyle w:val="NormalWeb"/>
        <w:jc w:val="both"/>
        <w:rPr>
          <w:b/>
          <w:color w:val="000000"/>
        </w:rPr>
      </w:pPr>
      <w:r>
        <w:rPr>
          <w:rFonts w:eastAsiaTheme="minorHAnsi"/>
          <w:b/>
          <w:noProof/>
        </w:rPr>
        <w:drawing>
          <wp:inline distT="0" distB="0" distL="0" distR="0" wp14:anchorId="551D940C" wp14:editId="6AC57EF4">
            <wp:extent cx="5397500" cy="288290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00040" cy="2884257"/>
                    </a:xfrm>
                    <a:prstGeom prst="rect">
                      <a:avLst/>
                    </a:prstGeom>
                    <a:noFill/>
                    <a:ln>
                      <a:noFill/>
                    </a:ln>
                  </pic:spPr>
                </pic:pic>
              </a:graphicData>
            </a:graphic>
          </wp:inline>
        </w:drawing>
      </w:r>
    </w:p>
    <w:p w:rsidR="00C94D5D" w:rsidRDefault="00C94D5D" w:rsidP="00C94D5D">
      <w:pPr>
        <w:pStyle w:val="NormalWeb"/>
        <w:jc w:val="both"/>
        <w:rPr>
          <w:b/>
          <w:color w:val="000000"/>
        </w:rPr>
      </w:pPr>
      <w:r>
        <w:rPr>
          <w:rFonts w:eastAsiaTheme="minorHAnsi"/>
          <w:b/>
          <w:noProof/>
        </w:rPr>
        <w:lastRenderedPageBreak/>
        <w:drawing>
          <wp:inline distT="0" distB="0" distL="0" distR="0" wp14:anchorId="53625F57" wp14:editId="7FF07F2B">
            <wp:extent cx="5396240" cy="54927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00040" cy="5496618"/>
                    </a:xfrm>
                    <a:prstGeom prst="rect">
                      <a:avLst/>
                    </a:prstGeom>
                    <a:noFill/>
                    <a:ln>
                      <a:noFill/>
                    </a:ln>
                  </pic:spPr>
                </pic:pic>
              </a:graphicData>
            </a:graphic>
          </wp:inline>
        </w:drawing>
      </w:r>
    </w:p>
    <w:p w:rsidR="00C94D5D" w:rsidRDefault="00C94D5D" w:rsidP="00C94D5D">
      <w:pPr>
        <w:pStyle w:val="NormalWeb"/>
        <w:jc w:val="both"/>
        <w:rPr>
          <w:b/>
          <w:color w:val="000000"/>
        </w:rPr>
      </w:pPr>
      <w:r>
        <w:rPr>
          <w:rFonts w:eastAsiaTheme="minorHAnsi"/>
          <w:noProof/>
        </w:rPr>
        <w:drawing>
          <wp:inline distT="0" distB="0" distL="0" distR="0" wp14:anchorId="0F656F8A" wp14:editId="4174C3AB">
            <wp:extent cx="5394563" cy="299085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00040" cy="2993887"/>
                    </a:xfrm>
                    <a:prstGeom prst="rect">
                      <a:avLst/>
                    </a:prstGeom>
                    <a:noFill/>
                    <a:ln>
                      <a:noFill/>
                    </a:ln>
                  </pic:spPr>
                </pic:pic>
              </a:graphicData>
            </a:graphic>
          </wp:inline>
        </w:drawing>
      </w:r>
    </w:p>
    <w:p w:rsidR="00C94D5D" w:rsidRDefault="00C94D5D" w:rsidP="00C94D5D">
      <w:pPr>
        <w:pStyle w:val="NormalWeb"/>
        <w:jc w:val="both"/>
        <w:rPr>
          <w:b/>
          <w:color w:val="000000"/>
        </w:rPr>
      </w:pPr>
      <w:r>
        <w:rPr>
          <w:rFonts w:eastAsiaTheme="minorHAnsi"/>
          <w:noProof/>
        </w:rPr>
        <w:lastRenderedPageBreak/>
        <w:drawing>
          <wp:inline distT="0" distB="0" distL="0" distR="0" wp14:anchorId="3B0F9F3A" wp14:editId="615C419F">
            <wp:extent cx="5397500" cy="5175250"/>
            <wp:effectExtent l="0" t="0" r="0"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40" cy="5177685"/>
                    </a:xfrm>
                    <a:prstGeom prst="rect">
                      <a:avLst/>
                    </a:prstGeom>
                    <a:noFill/>
                    <a:ln>
                      <a:noFill/>
                    </a:ln>
                  </pic:spPr>
                </pic:pic>
              </a:graphicData>
            </a:graphic>
          </wp:inline>
        </w:drawing>
      </w:r>
    </w:p>
    <w:p w:rsidR="00C94D5D" w:rsidRDefault="00C94D5D" w:rsidP="00C94D5D">
      <w:pPr>
        <w:pStyle w:val="NormalWeb"/>
        <w:jc w:val="both"/>
        <w:rPr>
          <w:b/>
          <w:color w:val="000000"/>
        </w:rPr>
      </w:pPr>
      <w:r>
        <w:rPr>
          <w:rFonts w:eastAsiaTheme="minorHAnsi"/>
          <w:noProof/>
        </w:rPr>
        <w:drawing>
          <wp:inline distT="0" distB="0" distL="0" distR="0" wp14:anchorId="600067E5" wp14:editId="0A9EB069">
            <wp:extent cx="5397500" cy="306705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0040" cy="3068493"/>
                    </a:xfrm>
                    <a:prstGeom prst="rect">
                      <a:avLst/>
                    </a:prstGeom>
                    <a:noFill/>
                    <a:ln>
                      <a:noFill/>
                    </a:ln>
                  </pic:spPr>
                </pic:pic>
              </a:graphicData>
            </a:graphic>
          </wp:inline>
        </w:drawing>
      </w:r>
    </w:p>
    <w:p w:rsidR="00C94D5D" w:rsidRDefault="00C94D5D" w:rsidP="00C94D5D">
      <w:pPr>
        <w:pStyle w:val="NormalWeb"/>
        <w:jc w:val="both"/>
        <w:rPr>
          <w:b/>
          <w:color w:val="000000"/>
        </w:rPr>
      </w:pPr>
    </w:p>
    <w:p w:rsidR="00C94D5D" w:rsidRDefault="00C94D5D" w:rsidP="00C94D5D">
      <w:pPr>
        <w:pStyle w:val="NormalWeb"/>
        <w:jc w:val="both"/>
        <w:rPr>
          <w:b/>
          <w:color w:val="000000"/>
        </w:rPr>
      </w:pPr>
      <w:r>
        <w:rPr>
          <w:rFonts w:eastAsiaTheme="minorHAnsi"/>
          <w:noProof/>
        </w:rPr>
        <w:lastRenderedPageBreak/>
        <w:drawing>
          <wp:inline distT="0" distB="0" distL="0" distR="0" wp14:anchorId="0202B122" wp14:editId="3C52251E">
            <wp:extent cx="5400040" cy="264862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40" cy="2648620"/>
                    </a:xfrm>
                    <a:prstGeom prst="rect">
                      <a:avLst/>
                    </a:prstGeom>
                    <a:noFill/>
                    <a:ln>
                      <a:noFill/>
                    </a:ln>
                  </pic:spPr>
                </pic:pic>
              </a:graphicData>
            </a:graphic>
          </wp:inline>
        </w:drawing>
      </w:r>
    </w:p>
    <w:p w:rsidR="00C94D5D" w:rsidRDefault="00C94D5D" w:rsidP="00C94D5D">
      <w:pPr>
        <w:pStyle w:val="NormalWeb"/>
        <w:jc w:val="both"/>
        <w:rPr>
          <w:b/>
          <w:color w:val="000000"/>
        </w:rPr>
      </w:pPr>
      <w:r>
        <w:rPr>
          <w:rFonts w:eastAsiaTheme="minorHAnsi"/>
          <w:noProof/>
        </w:rPr>
        <w:drawing>
          <wp:inline distT="0" distB="0" distL="0" distR="0" wp14:anchorId="2E3F314B" wp14:editId="4952D4B9">
            <wp:extent cx="5397500" cy="546100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0040" cy="5463570"/>
                    </a:xfrm>
                    <a:prstGeom prst="rect">
                      <a:avLst/>
                    </a:prstGeom>
                    <a:noFill/>
                    <a:ln>
                      <a:noFill/>
                    </a:ln>
                  </pic:spPr>
                </pic:pic>
              </a:graphicData>
            </a:graphic>
          </wp:inline>
        </w:drawing>
      </w:r>
    </w:p>
    <w:p w:rsidR="00C94D5D" w:rsidRDefault="00C94D5D" w:rsidP="00C94D5D">
      <w:pPr>
        <w:pStyle w:val="NormalWeb"/>
        <w:jc w:val="both"/>
        <w:rPr>
          <w:b/>
          <w:color w:val="000000"/>
        </w:rPr>
      </w:pPr>
    </w:p>
    <w:p w:rsidR="00C94D5D" w:rsidRDefault="00C94D5D" w:rsidP="00C94D5D">
      <w:pPr>
        <w:pStyle w:val="NormalWeb"/>
        <w:jc w:val="both"/>
        <w:rPr>
          <w:b/>
          <w:color w:val="000000"/>
        </w:rPr>
      </w:pPr>
      <w:r>
        <w:rPr>
          <w:rFonts w:eastAsiaTheme="minorHAnsi"/>
          <w:noProof/>
        </w:rPr>
        <w:lastRenderedPageBreak/>
        <w:drawing>
          <wp:inline distT="0" distB="0" distL="0" distR="0" wp14:anchorId="6902A676" wp14:editId="25B8E804">
            <wp:extent cx="5397500" cy="501015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00040" cy="5012508"/>
                    </a:xfrm>
                    <a:prstGeom prst="rect">
                      <a:avLst/>
                    </a:prstGeom>
                    <a:noFill/>
                    <a:ln>
                      <a:noFill/>
                    </a:ln>
                  </pic:spPr>
                </pic:pic>
              </a:graphicData>
            </a:graphic>
          </wp:inline>
        </w:drawing>
      </w:r>
    </w:p>
    <w:p w:rsidR="00C94D5D" w:rsidRDefault="00C94D5D" w:rsidP="00C94D5D">
      <w:pPr>
        <w:pStyle w:val="NormalWeb"/>
        <w:jc w:val="both"/>
        <w:rPr>
          <w:b/>
          <w:color w:val="000000"/>
        </w:rPr>
      </w:pPr>
      <w:r>
        <w:rPr>
          <w:rFonts w:eastAsiaTheme="minorHAnsi"/>
          <w:noProof/>
        </w:rPr>
        <w:drawing>
          <wp:inline distT="0" distB="0" distL="0" distR="0" wp14:anchorId="679233F9" wp14:editId="6EE0C1B4">
            <wp:extent cx="5394416" cy="339090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00040" cy="3394435"/>
                    </a:xfrm>
                    <a:prstGeom prst="rect">
                      <a:avLst/>
                    </a:prstGeom>
                    <a:noFill/>
                    <a:ln>
                      <a:noFill/>
                    </a:ln>
                  </pic:spPr>
                </pic:pic>
              </a:graphicData>
            </a:graphic>
          </wp:inline>
        </w:drawing>
      </w:r>
    </w:p>
    <w:p w:rsidR="00C94D5D" w:rsidRDefault="00020DAF" w:rsidP="00C94D5D">
      <w:pPr>
        <w:pStyle w:val="NormalWeb"/>
        <w:jc w:val="both"/>
        <w:rPr>
          <w:b/>
          <w:color w:val="000000"/>
        </w:rPr>
      </w:pPr>
      <w:r>
        <w:rPr>
          <w:rFonts w:eastAsiaTheme="minorHAnsi"/>
          <w:noProof/>
        </w:rPr>
        <w:lastRenderedPageBreak/>
        <w:drawing>
          <wp:inline distT="0" distB="0" distL="0" distR="0" wp14:anchorId="0F038E5D" wp14:editId="16794973">
            <wp:extent cx="5397500" cy="4616450"/>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00040" cy="4618622"/>
                    </a:xfrm>
                    <a:prstGeom prst="rect">
                      <a:avLst/>
                    </a:prstGeom>
                    <a:noFill/>
                    <a:ln>
                      <a:noFill/>
                    </a:ln>
                  </pic:spPr>
                </pic:pic>
              </a:graphicData>
            </a:graphic>
          </wp:inline>
        </w:drawing>
      </w:r>
    </w:p>
    <w:p w:rsidR="00020DAF" w:rsidRDefault="00020DAF" w:rsidP="00C94D5D">
      <w:pPr>
        <w:pStyle w:val="NormalWeb"/>
        <w:jc w:val="both"/>
        <w:rPr>
          <w:b/>
          <w:color w:val="000000"/>
        </w:rPr>
      </w:pPr>
      <w:r>
        <w:rPr>
          <w:rFonts w:eastAsiaTheme="minorHAnsi"/>
          <w:noProof/>
        </w:rPr>
        <w:drawing>
          <wp:inline distT="0" distB="0" distL="0" distR="0" wp14:anchorId="59813126" wp14:editId="4C47744B">
            <wp:extent cx="5397500" cy="3822700"/>
            <wp:effectExtent l="0" t="0" r="0" b="635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00040" cy="3824499"/>
                    </a:xfrm>
                    <a:prstGeom prst="rect">
                      <a:avLst/>
                    </a:prstGeom>
                    <a:noFill/>
                    <a:ln>
                      <a:noFill/>
                    </a:ln>
                  </pic:spPr>
                </pic:pic>
              </a:graphicData>
            </a:graphic>
          </wp:inline>
        </w:drawing>
      </w:r>
    </w:p>
    <w:p w:rsidR="00020DAF" w:rsidRDefault="00020DAF" w:rsidP="00C94D5D">
      <w:pPr>
        <w:pStyle w:val="NormalWeb"/>
        <w:jc w:val="both"/>
        <w:rPr>
          <w:b/>
          <w:color w:val="000000"/>
        </w:rPr>
      </w:pPr>
      <w:r>
        <w:rPr>
          <w:rFonts w:eastAsiaTheme="minorHAnsi"/>
          <w:noProof/>
        </w:rPr>
        <w:lastRenderedPageBreak/>
        <w:drawing>
          <wp:inline distT="0" distB="0" distL="0" distR="0" wp14:anchorId="1DD179CC" wp14:editId="083A3F4F">
            <wp:extent cx="5396289" cy="511175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00040" cy="5115304"/>
                    </a:xfrm>
                    <a:prstGeom prst="rect">
                      <a:avLst/>
                    </a:prstGeom>
                    <a:noFill/>
                    <a:ln>
                      <a:noFill/>
                    </a:ln>
                  </pic:spPr>
                </pic:pic>
              </a:graphicData>
            </a:graphic>
          </wp:inline>
        </w:drawing>
      </w:r>
    </w:p>
    <w:p w:rsidR="00020DAF" w:rsidRDefault="00020DAF" w:rsidP="00C94D5D">
      <w:pPr>
        <w:pStyle w:val="NormalWeb"/>
        <w:jc w:val="both"/>
        <w:rPr>
          <w:b/>
          <w:color w:val="000000"/>
        </w:rPr>
      </w:pPr>
      <w:r>
        <w:rPr>
          <w:rFonts w:eastAsiaTheme="minorHAnsi"/>
          <w:noProof/>
        </w:rPr>
        <w:drawing>
          <wp:inline distT="0" distB="0" distL="0" distR="0" wp14:anchorId="1E7F4D4E" wp14:editId="14C57D69">
            <wp:extent cx="5397500" cy="3213100"/>
            <wp:effectExtent l="0" t="0" r="0"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00040" cy="3214612"/>
                    </a:xfrm>
                    <a:prstGeom prst="rect">
                      <a:avLst/>
                    </a:prstGeom>
                    <a:noFill/>
                    <a:ln>
                      <a:noFill/>
                    </a:ln>
                  </pic:spPr>
                </pic:pic>
              </a:graphicData>
            </a:graphic>
          </wp:inline>
        </w:drawing>
      </w:r>
    </w:p>
    <w:p w:rsidR="00020DAF" w:rsidRDefault="00020DAF" w:rsidP="00C94D5D">
      <w:pPr>
        <w:pStyle w:val="NormalWeb"/>
        <w:jc w:val="both"/>
        <w:rPr>
          <w:b/>
          <w:color w:val="000000"/>
        </w:rPr>
      </w:pPr>
    </w:p>
    <w:p w:rsidR="00020DAF" w:rsidRDefault="00020DAF" w:rsidP="00C94D5D">
      <w:pPr>
        <w:pStyle w:val="NormalWeb"/>
        <w:jc w:val="both"/>
        <w:rPr>
          <w:b/>
          <w:color w:val="000000"/>
        </w:rPr>
      </w:pPr>
      <w:r>
        <w:rPr>
          <w:rFonts w:eastAsiaTheme="minorHAnsi"/>
          <w:noProof/>
        </w:rPr>
        <w:lastRenderedPageBreak/>
        <w:drawing>
          <wp:inline distT="0" distB="0" distL="0" distR="0" wp14:anchorId="48A6D3DE" wp14:editId="431ABA06">
            <wp:extent cx="5397500" cy="48577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00040" cy="4860036"/>
                    </a:xfrm>
                    <a:prstGeom prst="rect">
                      <a:avLst/>
                    </a:prstGeom>
                    <a:noFill/>
                    <a:ln>
                      <a:noFill/>
                    </a:ln>
                  </pic:spPr>
                </pic:pic>
              </a:graphicData>
            </a:graphic>
          </wp:inline>
        </w:drawing>
      </w:r>
    </w:p>
    <w:p w:rsidR="00020DAF" w:rsidRDefault="00020DAF" w:rsidP="00C94D5D">
      <w:pPr>
        <w:pStyle w:val="NormalWeb"/>
        <w:jc w:val="both"/>
        <w:rPr>
          <w:b/>
          <w:color w:val="000000"/>
        </w:rPr>
      </w:pPr>
      <w:r>
        <w:rPr>
          <w:rFonts w:eastAsiaTheme="minorHAnsi"/>
          <w:noProof/>
        </w:rPr>
        <w:drawing>
          <wp:inline distT="0" distB="0" distL="0" distR="0" wp14:anchorId="3967D005" wp14:editId="5EA41D4A">
            <wp:extent cx="5397500" cy="3479800"/>
            <wp:effectExtent l="0" t="0" r="0"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00040" cy="3481438"/>
                    </a:xfrm>
                    <a:prstGeom prst="rect">
                      <a:avLst/>
                    </a:prstGeom>
                    <a:noFill/>
                    <a:ln>
                      <a:noFill/>
                    </a:ln>
                  </pic:spPr>
                </pic:pic>
              </a:graphicData>
            </a:graphic>
          </wp:inline>
        </w:drawing>
      </w:r>
    </w:p>
    <w:p w:rsidR="00020DAF" w:rsidRDefault="00020DAF" w:rsidP="00C94D5D">
      <w:pPr>
        <w:pStyle w:val="NormalWeb"/>
        <w:jc w:val="both"/>
        <w:rPr>
          <w:b/>
          <w:color w:val="000000"/>
        </w:rPr>
      </w:pPr>
    </w:p>
    <w:p w:rsidR="00020DAF" w:rsidRDefault="00020DAF" w:rsidP="00C94D5D">
      <w:pPr>
        <w:pStyle w:val="NormalWeb"/>
        <w:jc w:val="both"/>
        <w:rPr>
          <w:b/>
          <w:color w:val="000000"/>
        </w:rPr>
      </w:pPr>
      <w:r>
        <w:rPr>
          <w:rFonts w:eastAsiaTheme="minorHAnsi"/>
          <w:noProof/>
        </w:rPr>
        <w:lastRenderedPageBreak/>
        <w:drawing>
          <wp:inline distT="0" distB="0" distL="0" distR="0" wp14:anchorId="05359A6E" wp14:editId="747218F8">
            <wp:extent cx="5397500" cy="4908550"/>
            <wp:effectExtent l="0" t="0" r="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00040" cy="4910860"/>
                    </a:xfrm>
                    <a:prstGeom prst="rect">
                      <a:avLst/>
                    </a:prstGeom>
                    <a:noFill/>
                    <a:ln>
                      <a:noFill/>
                    </a:ln>
                  </pic:spPr>
                </pic:pic>
              </a:graphicData>
            </a:graphic>
          </wp:inline>
        </w:drawing>
      </w:r>
    </w:p>
    <w:p w:rsidR="00020DAF" w:rsidRDefault="00020DAF" w:rsidP="00C94D5D">
      <w:pPr>
        <w:pStyle w:val="NormalWeb"/>
        <w:jc w:val="both"/>
        <w:rPr>
          <w:b/>
          <w:color w:val="000000"/>
        </w:rPr>
      </w:pPr>
      <w:r>
        <w:rPr>
          <w:rFonts w:eastAsiaTheme="minorHAnsi"/>
          <w:noProof/>
        </w:rPr>
        <w:drawing>
          <wp:inline distT="0" distB="0" distL="0" distR="0" wp14:anchorId="212ADBBF" wp14:editId="043D0455">
            <wp:extent cx="5393258" cy="310515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00040" cy="3109054"/>
                    </a:xfrm>
                    <a:prstGeom prst="rect">
                      <a:avLst/>
                    </a:prstGeom>
                    <a:noFill/>
                    <a:ln>
                      <a:noFill/>
                    </a:ln>
                  </pic:spPr>
                </pic:pic>
              </a:graphicData>
            </a:graphic>
          </wp:inline>
        </w:drawing>
      </w:r>
    </w:p>
    <w:p w:rsidR="00C94D5D" w:rsidRDefault="00C94D5D" w:rsidP="00C94D5D">
      <w:pPr>
        <w:pStyle w:val="NormalWeb"/>
        <w:jc w:val="both"/>
        <w:rPr>
          <w:b/>
          <w:color w:val="000000"/>
        </w:rPr>
      </w:pPr>
    </w:p>
    <w:p w:rsidR="00020DAF" w:rsidRDefault="00020DAF" w:rsidP="00C94D5D">
      <w:pPr>
        <w:pStyle w:val="NormalWeb"/>
        <w:jc w:val="both"/>
        <w:rPr>
          <w:b/>
          <w:color w:val="000000"/>
        </w:rPr>
      </w:pPr>
      <w:r>
        <w:rPr>
          <w:rFonts w:eastAsiaTheme="minorHAnsi"/>
          <w:noProof/>
        </w:rPr>
        <w:lastRenderedPageBreak/>
        <w:drawing>
          <wp:inline distT="0" distB="0" distL="0" distR="0" wp14:anchorId="600B9CDC" wp14:editId="388D93A4">
            <wp:extent cx="5397148" cy="537845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00040" cy="5381332"/>
                    </a:xfrm>
                    <a:prstGeom prst="rect">
                      <a:avLst/>
                    </a:prstGeom>
                    <a:noFill/>
                    <a:ln>
                      <a:noFill/>
                    </a:ln>
                  </pic:spPr>
                </pic:pic>
              </a:graphicData>
            </a:graphic>
          </wp:inline>
        </w:drawing>
      </w:r>
    </w:p>
    <w:p w:rsidR="00020DAF" w:rsidRDefault="00020DAF" w:rsidP="00C94D5D">
      <w:pPr>
        <w:pStyle w:val="NormalWeb"/>
        <w:jc w:val="both"/>
        <w:rPr>
          <w:b/>
          <w:color w:val="000000"/>
        </w:rPr>
      </w:pPr>
      <w:r>
        <w:rPr>
          <w:rFonts w:eastAsiaTheme="minorHAnsi"/>
          <w:noProof/>
        </w:rPr>
        <w:drawing>
          <wp:inline distT="0" distB="0" distL="0" distR="0" wp14:anchorId="09F5839F" wp14:editId="2AC717A5">
            <wp:extent cx="5397500" cy="3136900"/>
            <wp:effectExtent l="0" t="0" r="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00040" cy="3138376"/>
                    </a:xfrm>
                    <a:prstGeom prst="rect">
                      <a:avLst/>
                    </a:prstGeom>
                    <a:noFill/>
                    <a:ln>
                      <a:noFill/>
                    </a:ln>
                  </pic:spPr>
                </pic:pic>
              </a:graphicData>
            </a:graphic>
          </wp:inline>
        </w:drawing>
      </w:r>
    </w:p>
    <w:p w:rsidR="00020DAF" w:rsidRDefault="00020DAF" w:rsidP="00C94D5D">
      <w:pPr>
        <w:pStyle w:val="NormalWeb"/>
        <w:jc w:val="both"/>
        <w:rPr>
          <w:b/>
          <w:color w:val="000000"/>
        </w:rPr>
      </w:pPr>
      <w:r>
        <w:rPr>
          <w:rFonts w:eastAsiaTheme="minorHAnsi"/>
          <w:noProof/>
        </w:rPr>
        <w:lastRenderedPageBreak/>
        <w:drawing>
          <wp:inline distT="0" distB="0" distL="0" distR="0" wp14:anchorId="61BBE8F2" wp14:editId="00E48108">
            <wp:extent cx="5397500" cy="5162550"/>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00040" cy="5164979"/>
                    </a:xfrm>
                    <a:prstGeom prst="rect">
                      <a:avLst/>
                    </a:prstGeom>
                    <a:noFill/>
                    <a:ln>
                      <a:noFill/>
                    </a:ln>
                  </pic:spPr>
                </pic:pic>
              </a:graphicData>
            </a:graphic>
          </wp:inline>
        </w:drawing>
      </w:r>
    </w:p>
    <w:p w:rsidR="00020DAF" w:rsidRDefault="00020DAF" w:rsidP="00C94D5D">
      <w:pPr>
        <w:pStyle w:val="NormalWeb"/>
        <w:jc w:val="both"/>
        <w:rPr>
          <w:b/>
          <w:color w:val="000000"/>
        </w:rPr>
      </w:pPr>
      <w:r>
        <w:rPr>
          <w:rFonts w:eastAsiaTheme="minorHAnsi"/>
          <w:noProof/>
        </w:rPr>
        <w:drawing>
          <wp:inline distT="0" distB="0" distL="0" distR="0" wp14:anchorId="64B715A4" wp14:editId="5EC60ECA">
            <wp:extent cx="5395546" cy="342900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00040" cy="3431856"/>
                    </a:xfrm>
                    <a:prstGeom prst="rect">
                      <a:avLst/>
                    </a:prstGeom>
                    <a:noFill/>
                    <a:ln>
                      <a:noFill/>
                    </a:ln>
                  </pic:spPr>
                </pic:pic>
              </a:graphicData>
            </a:graphic>
          </wp:inline>
        </w:drawing>
      </w:r>
    </w:p>
    <w:p w:rsidR="0031782E" w:rsidRDefault="003E2830" w:rsidP="0031782E">
      <w:pPr>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lastRenderedPageBreak/>
        <w:t xml:space="preserve">- </w:t>
      </w:r>
      <w:r w:rsidR="0031782E">
        <w:rPr>
          <w:rFonts w:ascii="Times New Roman" w:hAnsi="Times New Roman"/>
          <w:b/>
          <w:sz w:val="24"/>
          <w:szCs w:val="24"/>
        </w:rPr>
        <w:t>El g</w:t>
      </w:r>
      <w:r w:rsidR="00C910E2">
        <w:rPr>
          <w:rFonts w:ascii="Times New Roman" w:hAnsi="Times New Roman"/>
          <w:b/>
          <w:sz w:val="24"/>
          <w:szCs w:val="24"/>
        </w:rPr>
        <w:t>asto público en la UE: competitividad imposible</w:t>
      </w:r>
      <w:r w:rsidR="003F21A8">
        <w:rPr>
          <w:rFonts w:ascii="Times New Roman" w:hAnsi="Times New Roman"/>
          <w:b/>
          <w:sz w:val="24"/>
          <w:szCs w:val="24"/>
        </w:rPr>
        <w:t>,</w:t>
      </w:r>
      <w:r w:rsidR="00C910E2">
        <w:rPr>
          <w:rFonts w:ascii="Times New Roman" w:hAnsi="Times New Roman"/>
          <w:b/>
          <w:sz w:val="24"/>
          <w:szCs w:val="24"/>
        </w:rPr>
        <w:t xml:space="preserve"> en las mismas condiciones</w:t>
      </w:r>
    </w:p>
    <w:p w:rsidR="0031782E" w:rsidRPr="0031782E" w:rsidRDefault="0031782E" w:rsidP="0031782E">
      <w:pPr>
        <w:autoSpaceDE w:val="0"/>
        <w:autoSpaceDN w:val="0"/>
        <w:adjustRightInd w:val="0"/>
        <w:spacing w:after="0" w:line="240" w:lineRule="auto"/>
        <w:jc w:val="both"/>
        <w:rPr>
          <w:rFonts w:ascii="Times New Roman" w:hAnsi="Times New Roman"/>
          <w:b/>
          <w:sz w:val="24"/>
          <w:szCs w:val="24"/>
        </w:rPr>
      </w:pPr>
    </w:p>
    <w:p w:rsidR="0031782E" w:rsidRDefault="0031782E" w:rsidP="0031782E">
      <w:pPr>
        <w:autoSpaceDE w:val="0"/>
        <w:autoSpaceDN w:val="0"/>
        <w:adjustRightInd w:val="0"/>
        <w:spacing w:after="0" w:line="240" w:lineRule="auto"/>
        <w:jc w:val="both"/>
        <w:rPr>
          <w:rFonts w:ascii="Times New Roman" w:hAnsi="Times New Roman"/>
          <w:b/>
          <w:sz w:val="24"/>
          <w:szCs w:val="24"/>
          <w:lang w:val="en-US"/>
        </w:rPr>
      </w:pPr>
      <w:r w:rsidRPr="009C34AE">
        <w:rPr>
          <w:rFonts w:ascii="Times New Roman" w:hAnsi="Times New Roman"/>
          <w:b/>
          <w:sz w:val="24"/>
          <w:szCs w:val="24"/>
          <w:lang w:val="en-US"/>
        </w:rPr>
        <w:t>Government - Government Deficits and Debt</w:t>
      </w:r>
    </w:p>
    <w:p w:rsidR="0031782E" w:rsidRDefault="0031782E" w:rsidP="0031782E">
      <w:pPr>
        <w:autoSpaceDE w:val="0"/>
        <w:autoSpaceDN w:val="0"/>
        <w:adjustRightInd w:val="0"/>
        <w:spacing w:after="0" w:line="240" w:lineRule="auto"/>
        <w:jc w:val="both"/>
        <w:rPr>
          <w:rFonts w:ascii="Times New Roman" w:hAnsi="Times New Roman"/>
          <w:sz w:val="24"/>
          <w:szCs w:val="24"/>
          <w:lang w:val="en-US"/>
        </w:rPr>
      </w:pPr>
      <w:r>
        <w:rPr>
          <w:rFonts w:ascii="Times New Roman" w:hAnsi="Times New Roman"/>
          <w:noProof/>
          <w:sz w:val="24"/>
          <w:szCs w:val="24"/>
          <w:lang w:eastAsia="es-ES"/>
        </w:rPr>
        <w:drawing>
          <wp:inline distT="0" distB="0" distL="0" distR="0" wp14:anchorId="7006E112" wp14:editId="52F561E1">
            <wp:extent cx="5848350" cy="4660900"/>
            <wp:effectExtent l="0" t="0" r="0" b="63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48350" cy="466090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4"/>
          <w:szCs w:val="24"/>
          <w:lang w:val="en-US"/>
        </w:rPr>
      </w:pPr>
      <w:r>
        <w:rPr>
          <w:rFonts w:ascii="Times New Roman" w:hAnsi="Times New Roman"/>
          <w:noProof/>
          <w:sz w:val="24"/>
          <w:szCs w:val="24"/>
          <w:lang w:eastAsia="es-ES"/>
        </w:rPr>
        <w:drawing>
          <wp:inline distT="0" distB="0" distL="0" distR="0" wp14:anchorId="2AB8D5C6" wp14:editId="0FEDC907">
            <wp:extent cx="5810250" cy="2578100"/>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10250" cy="257810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sidRPr="009C34AE">
        <w:rPr>
          <w:rFonts w:ascii="Times New Roman" w:hAnsi="Times New Roman"/>
          <w:sz w:val="20"/>
          <w:szCs w:val="20"/>
          <w:lang w:val="en-US"/>
        </w:rPr>
        <w:t>Total general government</w:t>
      </w:r>
      <w:r>
        <w:rPr>
          <w:rFonts w:ascii="Times New Roman" w:hAnsi="Times New Roman"/>
          <w:sz w:val="20"/>
          <w:szCs w:val="20"/>
          <w:lang w:val="en-US"/>
        </w:rPr>
        <w:t xml:space="preserve"> expenditures (GGE) include the </w:t>
      </w:r>
      <w:r w:rsidRPr="009C34AE">
        <w:rPr>
          <w:rFonts w:ascii="Times New Roman" w:hAnsi="Times New Roman"/>
          <w:sz w:val="20"/>
          <w:szCs w:val="20"/>
          <w:lang w:val="en-US"/>
        </w:rPr>
        <w:t>following items: interme</w:t>
      </w:r>
      <w:r>
        <w:rPr>
          <w:rFonts w:ascii="Times New Roman" w:hAnsi="Times New Roman"/>
          <w:sz w:val="20"/>
          <w:szCs w:val="20"/>
          <w:lang w:val="en-US"/>
        </w:rPr>
        <w:t xml:space="preserve">diate consumption; compensation </w:t>
      </w:r>
      <w:r w:rsidRPr="009C34AE">
        <w:rPr>
          <w:rFonts w:ascii="Times New Roman" w:hAnsi="Times New Roman"/>
          <w:sz w:val="20"/>
          <w:szCs w:val="20"/>
          <w:lang w:val="en-US"/>
        </w:rPr>
        <w:t>of employees, subsidies, socia</w:t>
      </w:r>
      <w:r>
        <w:rPr>
          <w:rFonts w:ascii="Times New Roman" w:hAnsi="Times New Roman"/>
          <w:sz w:val="20"/>
          <w:szCs w:val="20"/>
          <w:lang w:val="en-US"/>
        </w:rPr>
        <w:t xml:space="preserve">l benefits and social transfers </w:t>
      </w:r>
      <w:r w:rsidRPr="009C34AE">
        <w:rPr>
          <w:rFonts w:ascii="Times New Roman" w:hAnsi="Times New Roman"/>
          <w:sz w:val="20"/>
          <w:szCs w:val="20"/>
          <w:lang w:val="en-US"/>
        </w:rPr>
        <w:t>in kind (via market producers); other current t</w:t>
      </w:r>
      <w:r>
        <w:rPr>
          <w:rFonts w:ascii="Times New Roman" w:hAnsi="Times New Roman"/>
          <w:sz w:val="20"/>
          <w:szCs w:val="20"/>
          <w:lang w:val="en-US"/>
        </w:rPr>
        <w:t xml:space="preserve">ransfers; </w:t>
      </w:r>
      <w:r w:rsidRPr="009C34AE">
        <w:rPr>
          <w:rFonts w:ascii="Times New Roman" w:hAnsi="Times New Roman"/>
          <w:sz w:val="20"/>
          <w:szCs w:val="20"/>
          <w:lang w:val="en-US"/>
        </w:rPr>
        <w:t>property income; c</w:t>
      </w:r>
      <w:r>
        <w:rPr>
          <w:rFonts w:ascii="Times New Roman" w:hAnsi="Times New Roman"/>
          <w:sz w:val="20"/>
          <w:szCs w:val="20"/>
          <w:lang w:val="en-US"/>
        </w:rPr>
        <w:t xml:space="preserve">apital transfers (payable); the </w:t>
      </w:r>
      <w:r w:rsidRPr="009C34AE">
        <w:rPr>
          <w:rFonts w:ascii="Times New Roman" w:hAnsi="Times New Roman"/>
          <w:sz w:val="20"/>
          <w:szCs w:val="20"/>
          <w:lang w:val="en-US"/>
        </w:rPr>
        <w:t xml:space="preserve">adjustment for the net </w:t>
      </w:r>
      <w:r>
        <w:rPr>
          <w:rFonts w:ascii="Times New Roman" w:hAnsi="Times New Roman"/>
          <w:sz w:val="20"/>
          <w:szCs w:val="20"/>
          <w:lang w:val="en-US"/>
        </w:rPr>
        <w:t xml:space="preserve">equity of households in pension </w:t>
      </w:r>
      <w:r w:rsidRPr="009C34AE">
        <w:rPr>
          <w:rFonts w:ascii="Times New Roman" w:hAnsi="Times New Roman"/>
          <w:sz w:val="20"/>
          <w:szCs w:val="20"/>
          <w:lang w:val="en-US"/>
        </w:rPr>
        <w:t>funds reserves; gross capital</w:t>
      </w:r>
      <w:r>
        <w:rPr>
          <w:rFonts w:ascii="Times New Roman" w:hAnsi="Times New Roman"/>
          <w:sz w:val="20"/>
          <w:szCs w:val="20"/>
          <w:lang w:val="en-US"/>
        </w:rPr>
        <w:t xml:space="preserve"> formation; and net acquisition </w:t>
      </w:r>
      <w:r w:rsidRPr="009C34AE">
        <w:rPr>
          <w:rFonts w:ascii="Times New Roman" w:hAnsi="Times New Roman"/>
          <w:sz w:val="20"/>
          <w:szCs w:val="20"/>
          <w:lang w:val="en-US"/>
        </w:rPr>
        <w:t>of non-financial non-pr</w:t>
      </w:r>
      <w:r>
        <w:rPr>
          <w:rFonts w:ascii="Times New Roman" w:hAnsi="Times New Roman"/>
          <w:sz w:val="20"/>
          <w:szCs w:val="20"/>
          <w:lang w:val="en-US"/>
        </w:rPr>
        <w:t xml:space="preserve">oduced assets. It also includes </w:t>
      </w:r>
      <w:r w:rsidRPr="009C34AE">
        <w:rPr>
          <w:rFonts w:ascii="Times New Roman" w:hAnsi="Times New Roman"/>
          <w:sz w:val="20"/>
          <w:szCs w:val="20"/>
          <w:lang w:val="en-US"/>
        </w:rPr>
        <w:t>taxes on income and wealt</w:t>
      </w:r>
      <w:r>
        <w:rPr>
          <w:rFonts w:ascii="Times New Roman" w:hAnsi="Times New Roman"/>
          <w:sz w:val="20"/>
          <w:szCs w:val="20"/>
          <w:lang w:val="en-US"/>
        </w:rPr>
        <w:t xml:space="preserve">h and other taxes on production </w:t>
      </w:r>
      <w:r w:rsidRPr="009C34AE">
        <w:rPr>
          <w:rFonts w:ascii="Times New Roman" w:hAnsi="Times New Roman"/>
          <w:sz w:val="20"/>
          <w:szCs w:val="20"/>
          <w:lang w:val="en-US"/>
        </w:rPr>
        <w:t>that gove</w:t>
      </w:r>
      <w:r>
        <w:rPr>
          <w:rFonts w:ascii="Times New Roman" w:hAnsi="Times New Roman"/>
          <w:sz w:val="20"/>
          <w:szCs w:val="20"/>
          <w:lang w:val="en-US"/>
        </w:rPr>
        <w:t xml:space="preserve">rnments may be required to pay. </w:t>
      </w:r>
      <w:r w:rsidRPr="009C34AE">
        <w:rPr>
          <w:rFonts w:ascii="Times New Roman" w:hAnsi="Times New Roman"/>
          <w:sz w:val="20"/>
          <w:szCs w:val="20"/>
          <w:lang w:val="en-US"/>
        </w:rPr>
        <w:t>Revenues include taxes (</w:t>
      </w:r>
      <w:r>
        <w:rPr>
          <w:rFonts w:ascii="Times New Roman" w:hAnsi="Times New Roman"/>
          <w:sz w:val="20"/>
          <w:szCs w:val="20"/>
          <w:lang w:val="en-US"/>
        </w:rPr>
        <w:t xml:space="preserve">on corporations and households, </w:t>
      </w:r>
      <w:r w:rsidRPr="009C34AE">
        <w:rPr>
          <w:rFonts w:ascii="Times New Roman" w:hAnsi="Times New Roman"/>
          <w:sz w:val="20"/>
          <w:szCs w:val="20"/>
          <w:lang w:val="en-US"/>
        </w:rPr>
        <w:t xml:space="preserve">and those on income, </w:t>
      </w:r>
      <w:r>
        <w:rPr>
          <w:rFonts w:ascii="Times New Roman" w:hAnsi="Times New Roman"/>
          <w:sz w:val="20"/>
          <w:szCs w:val="20"/>
          <w:lang w:val="en-US"/>
        </w:rPr>
        <w:t xml:space="preserve">wealth, production and imports). </w:t>
      </w:r>
      <w:r w:rsidRPr="009C34AE">
        <w:rPr>
          <w:rFonts w:ascii="Times New Roman" w:hAnsi="Times New Roman"/>
          <w:sz w:val="20"/>
          <w:szCs w:val="20"/>
          <w:lang w:val="en-US"/>
        </w:rPr>
        <w:t>Net lending reflects the fiscal position of government after</w:t>
      </w:r>
      <w:r>
        <w:rPr>
          <w:rFonts w:ascii="Times New Roman" w:hAnsi="Times New Roman"/>
          <w:sz w:val="20"/>
          <w:szCs w:val="20"/>
          <w:lang w:val="en-US"/>
        </w:rPr>
        <w:t xml:space="preserve"> </w:t>
      </w:r>
      <w:r w:rsidRPr="009C34AE">
        <w:rPr>
          <w:rFonts w:ascii="Times New Roman" w:hAnsi="Times New Roman"/>
          <w:sz w:val="20"/>
          <w:szCs w:val="20"/>
          <w:lang w:val="en-US"/>
        </w:rPr>
        <w:lastRenderedPageBreak/>
        <w:t>accounting for capital exp</w:t>
      </w:r>
      <w:r>
        <w:rPr>
          <w:rFonts w:ascii="Times New Roman" w:hAnsi="Times New Roman"/>
          <w:sz w:val="20"/>
          <w:szCs w:val="20"/>
          <w:lang w:val="en-US"/>
        </w:rPr>
        <w:t xml:space="preserve">enditures. Positive net-lending </w:t>
      </w:r>
      <w:r w:rsidRPr="009C34AE">
        <w:rPr>
          <w:rFonts w:ascii="Times New Roman" w:hAnsi="Times New Roman"/>
          <w:sz w:val="20"/>
          <w:szCs w:val="20"/>
          <w:lang w:val="en-US"/>
        </w:rPr>
        <w:t>means that government is p</w:t>
      </w:r>
      <w:r>
        <w:rPr>
          <w:rFonts w:ascii="Times New Roman" w:hAnsi="Times New Roman"/>
          <w:sz w:val="20"/>
          <w:szCs w:val="20"/>
          <w:lang w:val="en-US"/>
        </w:rPr>
        <w:t xml:space="preserve">roviding financial resources to </w:t>
      </w:r>
      <w:r w:rsidRPr="009C34AE">
        <w:rPr>
          <w:rFonts w:ascii="Times New Roman" w:hAnsi="Times New Roman"/>
          <w:sz w:val="20"/>
          <w:szCs w:val="20"/>
          <w:lang w:val="en-US"/>
        </w:rPr>
        <w:t xml:space="preserve">other sectors and </w:t>
      </w:r>
      <w:r>
        <w:rPr>
          <w:rFonts w:ascii="Times New Roman" w:hAnsi="Times New Roman"/>
          <w:sz w:val="20"/>
          <w:szCs w:val="20"/>
          <w:lang w:val="en-US"/>
        </w:rPr>
        <w:t xml:space="preserve">negative net-lending means that </w:t>
      </w:r>
      <w:r w:rsidRPr="009C34AE">
        <w:rPr>
          <w:rFonts w:ascii="Times New Roman" w:hAnsi="Times New Roman"/>
          <w:sz w:val="20"/>
          <w:szCs w:val="20"/>
          <w:lang w:val="en-US"/>
        </w:rPr>
        <w:t>government requires</w:t>
      </w:r>
      <w:r>
        <w:rPr>
          <w:rFonts w:ascii="Times New Roman" w:hAnsi="Times New Roman"/>
          <w:sz w:val="20"/>
          <w:szCs w:val="20"/>
          <w:lang w:val="en-US"/>
        </w:rPr>
        <w:t xml:space="preserve"> financial resources from other </w:t>
      </w:r>
      <w:r w:rsidRPr="009C34AE">
        <w:rPr>
          <w:rFonts w:ascii="Times New Roman" w:hAnsi="Times New Roman"/>
          <w:sz w:val="20"/>
          <w:szCs w:val="20"/>
          <w:lang w:val="en-US"/>
        </w:rPr>
        <w:t>economic sectors.</w:t>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3045B895" wp14:editId="7DC6F7F4">
            <wp:extent cx="5759450" cy="673100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9450" cy="673100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sidRPr="00404AB1">
        <w:rPr>
          <w:rFonts w:ascii="Times New Roman" w:hAnsi="Times New Roman"/>
          <w:sz w:val="20"/>
          <w:szCs w:val="20"/>
          <w:lang w:val="en-US"/>
        </w:rPr>
        <w:t>The accumulation of governme</w:t>
      </w:r>
      <w:r>
        <w:rPr>
          <w:rFonts w:ascii="Times New Roman" w:hAnsi="Times New Roman"/>
          <w:sz w:val="20"/>
          <w:szCs w:val="20"/>
          <w:lang w:val="en-US"/>
        </w:rPr>
        <w:t xml:space="preserve">nt debt is a key factor for the </w:t>
      </w:r>
      <w:r w:rsidRPr="00404AB1">
        <w:rPr>
          <w:rFonts w:ascii="Times New Roman" w:hAnsi="Times New Roman"/>
          <w:sz w:val="20"/>
          <w:szCs w:val="20"/>
          <w:lang w:val="en-US"/>
        </w:rPr>
        <w:t>sustainability of gov</w:t>
      </w:r>
      <w:r>
        <w:rPr>
          <w:rFonts w:ascii="Times New Roman" w:hAnsi="Times New Roman"/>
          <w:sz w:val="20"/>
          <w:szCs w:val="20"/>
          <w:lang w:val="en-US"/>
        </w:rPr>
        <w:t xml:space="preserve">ernment finance. Apart from net </w:t>
      </w:r>
      <w:r w:rsidRPr="00404AB1">
        <w:rPr>
          <w:rFonts w:ascii="Times New Roman" w:hAnsi="Times New Roman"/>
          <w:sz w:val="20"/>
          <w:szCs w:val="20"/>
          <w:lang w:val="en-US"/>
        </w:rPr>
        <w:t>acquisitions of financial ass</w:t>
      </w:r>
      <w:r>
        <w:rPr>
          <w:rFonts w:ascii="Times New Roman" w:hAnsi="Times New Roman"/>
          <w:sz w:val="20"/>
          <w:szCs w:val="20"/>
          <w:lang w:val="en-US"/>
        </w:rPr>
        <w:t xml:space="preserve">ets, changes in government debt </w:t>
      </w:r>
      <w:r w:rsidRPr="00404AB1">
        <w:rPr>
          <w:rFonts w:ascii="Times New Roman" w:hAnsi="Times New Roman"/>
          <w:sz w:val="20"/>
          <w:szCs w:val="20"/>
          <w:lang w:val="en-US"/>
        </w:rPr>
        <w:t>over time reflect the</w:t>
      </w:r>
      <w:r>
        <w:rPr>
          <w:rFonts w:ascii="Times New Roman" w:hAnsi="Times New Roman"/>
          <w:sz w:val="20"/>
          <w:szCs w:val="20"/>
          <w:lang w:val="en-US"/>
        </w:rPr>
        <w:t xml:space="preserve"> impact of government deficits. </w:t>
      </w:r>
      <w:r w:rsidRPr="00404AB1">
        <w:rPr>
          <w:rFonts w:ascii="Times New Roman" w:hAnsi="Times New Roman"/>
          <w:sz w:val="20"/>
          <w:szCs w:val="20"/>
          <w:lang w:val="en-US"/>
        </w:rPr>
        <w:t xml:space="preserve">The government debt-to-GDP </w:t>
      </w:r>
      <w:r>
        <w:rPr>
          <w:rFonts w:ascii="Times New Roman" w:hAnsi="Times New Roman"/>
          <w:sz w:val="20"/>
          <w:szCs w:val="20"/>
          <w:lang w:val="en-US"/>
        </w:rPr>
        <w:t xml:space="preserve">ratio, calculated as the amount </w:t>
      </w:r>
      <w:r w:rsidRPr="00404AB1">
        <w:rPr>
          <w:rFonts w:ascii="Times New Roman" w:hAnsi="Times New Roman"/>
          <w:sz w:val="20"/>
          <w:szCs w:val="20"/>
          <w:lang w:val="en-US"/>
        </w:rPr>
        <w:t xml:space="preserve">of total gross government debt </w:t>
      </w:r>
      <w:r>
        <w:rPr>
          <w:rFonts w:ascii="Times New Roman" w:hAnsi="Times New Roman"/>
          <w:sz w:val="20"/>
          <w:szCs w:val="20"/>
          <w:lang w:val="en-US"/>
        </w:rPr>
        <w:t xml:space="preserve">of a country as a percentage of </w:t>
      </w:r>
      <w:r w:rsidRPr="00404AB1">
        <w:rPr>
          <w:rFonts w:ascii="Times New Roman" w:hAnsi="Times New Roman"/>
          <w:sz w:val="20"/>
          <w:szCs w:val="20"/>
          <w:lang w:val="en-US"/>
        </w:rPr>
        <w:t>its Gross Domestic Product (GD</w:t>
      </w:r>
      <w:r>
        <w:rPr>
          <w:rFonts w:ascii="Times New Roman" w:hAnsi="Times New Roman"/>
          <w:sz w:val="20"/>
          <w:szCs w:val="20"/>
          <w:lang w:val="en-US"/>
        </w:rPr>
        <w:t xml:space="preserve">P), is one of the indicators of the health of an economy. </w:t>
      </w:r>
      <w:r w:rsidRPr="00404AB1">
        <w:rPr>
          <w:rFonts w:ascii="Times New Roman" w:hAnsi="Times New Roman"/>
          <w:sz w:val="20"/>
          <w:szCs w:val="20"/>
          <w:lang w:val="en-US"/>
        </w:rPr>
        <w:t>Debt is commonly defined as a</w:t>
      </w:r>
      <w:r>
        <w:rPr>
          <w:rFonts w:ascii="Times New Roman" w:hAnsi="Times New Roman"/>
          <w:sz w:val="20"/>
          <w:szCs w:val="20"/>
          <w:lang w:val="en-US"/>
        </w:rPr>
        <w:t xml:space="preserve"> specific subset of liabilities </w:t>
      </w:r>
      <w:r w:rsidRPr="00404AB1">
        <w:rPr>
          <w:rFonts w:ascii="Times New Roman" w:hAnsi="Times New Roman"/>
          <w:sz w:val="20"/>
          <w:szCs w:val="20"/>
          <w:lang w:val="en-US"/>
        </w:rPr>
        <w:t>identified according to the</w:t>
      </w:r>
      <w:r>
        <w:rPr>
          <w:rFonts w:ascii="Times New Roman" w:hAnsi="Times New Roman"/>
          <w:sz w:val="20"/>
          <w:szCs w:val="20"/>
          <w:lang w:val="en-US"/>
        </w:rPr>
        <w:t xml:space="preserve"> types of financial instruments </w:t>
      </w:r>
      <w:r w:rsidRPr="00404AB1">
        <w:rPr>
          <w:rFonts w:ascii="Times New Roman" w:hAnsi="Times New Roman"/>
          <w:sz w:val="20"/>
          <w:szCs w:val="20"/>
          <w:lang w:val="en-US"/>
        </w:rPr>
        <w:t>included or excluded. Ge</w:t>
      </w:r>
      <w:r>
        <w:rPr>
          <w:rFonts w:ascii="Times New Roman" w:hAnsi="Times New Roman"/>
          <w:sz w:val="20"/>
          <w:szCs w:val="20"/>
          <w:lang w:val="en-US"/>
        </w:rPr>
        <w:t xml:space="preserve">nerally, debt is defined as all </w:t>
      </w:r>
      <w:r w:rsidRPr="00404AB1">
        <w:rPr>
          <w:rFonts w:ascii="Times New Roman" w:hAnsi="Times New Roman"/>
          <w:sz w:val="20"/>
          <w:szCs w:val="20"/>
          <w:lang w:val="en-US"/>
        </w:rPr>
        <w:t>liabilities that require pay</w:t>
      </w:r>
      <w:r>
        <w:rPr>
          <w:rFonts w:ascii="Times New Roman" w:hAnsi="Times New Roman"/>
          <w:sz w:val="20"/>
          <w:szCs w:val="20"/>
          <w:lang w:val="en-US"/>
        </w:rPr>
        <w:t xml:space="preserve">ment or payments of interest or </w:t>
      </w:r>
      <w:r w:rsidRPr="00404AB1">
        <w:rPr>
          <w:rFonts w:ascii="Times New Roman" w:hAnsi="Times New Roman"/>
          <w:sz w:val="20"/>
          <w:szCs w:val="20"/>
          <w:lang w:val="en-US"/>
        </w:rPr>
        <w:t>principal by the debtor to the cre</w:t>
      </w:r>
      <w:r>
        <w:rPr>
          <w:rFonts w:ascii="Times New Roman" w:hAnsi="Times New Roman"/>
          <w:sz w:val="20"/>
          <w:szCs w:val="20"/>
          <w:lang w:val="en-US"/>
        </w:rPr>
        <w:t xml:space="preserve">ditor at a date or dates in the </w:t>
      </w:r>
      <w:r w:rsidRPr="00404AB1">
        <w:rPr>
          <w:rFonts w:ascii="Times New Roman" w:hAnsi="Times New Roman"/>
          <w:sz w:val="20"/>
          <w:szCs w:val="20"/>
          <w:lang w:val="en-US"/>
        </w:rPr>
        <w:t>future.</w:t>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552344F3" wp14:editId="4518FB1D">
            <wp:extent cx="5918200" cy="5054600"/>
            <wp:effectExtent l="0" t="0" r="635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18200" cy="505460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6A666365" wp14:editId="75000E0D">
            <wp:extent cx="6140450" cy="2990850"/>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40450" cy="299085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1E280C4D" wp14:editId="016C97F4">
            <wp:extent cx="5981700" cy="4533900"/>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81700" cy="453390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3E0E2509" wp14:editId="3FAFA95B">
            <wp:extent cx="5911850" cy="2647950"/>
            <wp:effectExtent l="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11850" cy="264795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sidRPr="00404AB1">
        <w:rPr>
          <w:rFonts w:ascii="Times New Roman" w:hAnsi="Times New Roman"/>
          <w:sz w:val="20"/>
          <w:szCs w:val="20"/>
          <w:lang w:val="en-US"/>
        </w:rPr>
        <w:t>Governments spend mone</w:t>
      </w:r>
      <w:r>
        <w:rPr>
          <w:rFonts w:ascii="Times New Roman" w:hAnsi="Times New Roman"/>
          <w:sz w:val="20"/>
          <w:szCs w:val="20"/>
          <w:lang w:val="en-US"/>
        </w:rPr>
        <w:t xml:space="preserve">y to provide goods and services </w:t>
      </w:r>
      <w:r w:rsidRPr="00404AB1">
        <w:rPr>
          <w:rFonts w:ascii="Times New Roman" w:hAnsi="Times New Roman"/>
          <w:sz w:val="20"/>
          <w:szCs w:val="20"/>
          <w:lang w:val="en-US"/>
        </w:rPr>
        <w:t>and redistribute inco</w:t>
      </w:r>
      <w:r>
        <w:rPr>
          <w:rFonts w:ascii="Times New Roman" w:hAnsi="Times New Roman"/>
          <w:sz w:val="20"/>
          <w:szCs w:val="20"/>
          <w:lang w:val="en-US"/>
        </w:rPr>
        <w:t xml:space="preserve">me. To finance these activities </w:t>
      </w:r>
      <w:r w:rsidRPr="00404AB1">
        <w:rPr>
          <w:rFonts w:ascii="Times New Roman" w:hAnsi="Times New Roman"/>
          <w:sz w:val="20"/>
          <w:szCs w:val="20"/>
          <w:lang w:val="en-US"/>
        </w:rPr>
        <w:t>governments raise mone</w:t>
      </w:r>
      <w:r>
        <w:rPr>
          <w:rFonts w:ascii="Times New Roman" w:hAnsi="Times New Roman"/>
          <w:sz w:val="20"/>
          <w:szCs w:val="20"/>
          <w:lang w:val="en-US"/>
        </w:rPr>
        <w:t xml:space="preserve">y in the form of revenues (e.g. </w:t>
      </w:r>
      <w:r w:rsidRPr="00404AB1">
        <w:rPr>
          <w:rFonts w:ascii="Times New Roman" w:hAnsi="Times New Roman"/>
          <w:sz w:val="20"/>
          <w:szCs w:val="20"/>
          <w:lang w:val="en-US"/>
        </w:rPr>
        <w:t>taxation) and/or borrow</w:t>
      </w:r>
      <w:r>
        <w:rPr>
          <w:rFonts w:ascii="Times New Roman" w:hAnsi="Times New Roman"/>
          <w:sz w:val="20"/>
          <w:szCs w:val="20"/>
          <w:lang w:val="en-US"/>
        </w:rPr>
        <w:t xml:space="preserve">ing. The amount of revenues and </w:t>
      </w:r>
      <w:r w:rsidRPr="00404AB1">
        <w:rPr>
          <w:rFonts w:ascii="Times New Roman" w:hAnsi="Times New Roman"/>
          <w:sz w:val="20"/>
          <w:szCs w:val="20"/>
          <w:lang w:val="en-US"/>
        </w:rPr>
        <w:t>expenditures per capita pro</w:t>
      </w:r>
      <w:r>
        <w:rPr>
          <w:rFonts w:ascii="Times New Roman" w:hAnsi="Times New Roman"/>
          <w:sz w:val="20"/>
          <w:szCs w:val="20"/>
          <w:lang w:val="en-US"/>
        </w:rPr>
        <w:t xml:space="preserve">vide an indication of the </w:t>
      </w:r>
      <w:r w:rsidRPr="00404AB1">
        <w:rPr>
          <w:rFonts w:ascii="Times New Roman" w:hAnsi="Times New Roman"/>
          <w:sz w:val="20"/>
          <w:szCs w:val="20"/>
          <w:lang w:val="en-US"/>
        </w:rPr>
        <w:t>importance of the publ</w:t>
      </w:r>
      <w:r>
        <w:rPr>
          <w:rFonts w:ascii="Times New Roman" w:hAnsi="Times New Roman"/>
          <w:sz w:val="20"/>
          <w:szCs w:val="20"/>
          <w:lang w:val="en-US"/>
        </w:rPr>
        <w:t xml:space="preserve">ic sector in the economy across </w:t>
      </w:r>
      <w:r w:rsidRPr="00404AB1">
        <w:rPr>
          <w:rFonts w:ascii="Times New Roman" w:hAnsi="Times New Roman"/>
          <w:sz w:val="20"/>
          <w:szCs w:val="20"/>
          <w:lang w:val="en-US"/>
        </w:rPr>
        <w:t>countries. Variations ac</w:t>
      </w:r>
      <w:r>
        <w:rPr>
          <w:rFonts w:ascii="Times New Roman" w:hAnsi="Times New Roman"/>
          <w:sz w:val="20"/>
          <w:szCs w:val="20"/>
          <w:lang w:val="en-US"/>
        </w:rPr>
        <w:t xml:space="preserve">ross countries however can also </w:t>
      </w:r>
      <w:r w:rsidRPr="00404AB1">
        <w:rPr>
          <w:rFonts w:ascii="Times New Roman" w:hAnsi="Times New Roman"/>
          <w:sz w:val="20"/>
          <w:szCs w:val="20"/>
          <w:lang w:val="en-US"/>
        </w:rPr>
        <w:t>reflect different appro</w:t>
      </w:r>
      <w:r>
        <w:rPr>
          <w:rFonts w:ascii="Times New Roman" w:hAnsi="Times New Roman"/>
          <w:sz w:val="20"/>
          <w:szCs w:val="20"/>
          <w:lang w:val="en-US"/>
        </w:rPr>
        <w:t xml:space="preserve">aches to the delivery of public </w:t>
      </w:r>
      <w:r w:rsidRPr="00404AB1">
        <w:rPr>
          <w:rFonts w:ascii="Times New Roman" w:hAnsi="Times New Roman"/>
          <w:sz w:val="20"/>
          <w:szCs w:val="20"/>
          <w:lang w:val="en-US"/>
        </w:rPr>
        <w:t>services (e.g. such as th</w:t>
      </w:r>
      <w:r>
        <w:rPr>
          <w:rFonts w:ascii="Times New Roman" w:hAnsi="Times New Roman"/>
          <w:sz w:val="20"/>
          <w:szCs w:val="20"/>
          <w:lang w:val="en-US"/>
        </w:rPr>
        <w:t xml:space="preserve">e use of tax breaks rather than </w:t>
      </w:r>
      <w:r w:rsidRPr="00404AB1">
        <w:rPr>
          <w:rFonts w:ascii="Times New Roman" w:hAnsi="Times New Roman"/>
          <w:sz w:val="20"/>
          <w:szCs w:val="20"/>
          <w:lang w:val="en-US"/>
        </w:rPr>
        <w:t xml:space="preserve">direct expenditures). </w:t>
      </w:r>
      <w:r>
        <w:rPr>
          <w:rFonts w:ascii="Times New Roman" w:hAnsi="Times New Roman"/>
          <w:sz w:val="20"/>
          <w:szCs w:val="20"/>
          <w:lang w:val="en-US"/>
        </w:rPr>
        <w:t xml:space="preserve">Additionally, both revenues and </w:t>
      </w:r>
      <w:r w:rsidRPr="00404AB1">
        <w:rPr>
          <w:rFonts w:ascii="Times New Roman" w:hAnsi="Times New Roman"/>
          <w:sz w:val="20"/>
          <w:szCs w:val="20"/>
          <w:lang w:val="en-US"/>
        </w:rPr>
        <w:t>expenditures are</w:t>
      </w:r>
      <w:r>
        <w:rPr>
          <w:rFonts w:ascii="Times New Roman" w:hAnsi="Times New Roman"/>
          <w:sz w:val="20"/>
          <w:szCs w:val="20"/>
          <w:lang w:val="en-US"/>
        </w:rPr>
        <w:t xml:space="preserve"> heavily influenced by economic </w:t>
      </w:r>
      <w:r w:rsidRPr="00404AB1">
        <w:rPr>
          <w:rFonts w:ascii="Times New Roman" w:hAnsi="Times New Roman"/>
          <w:sz w:val="20"/>
          <w:szCs w:val="20"/>
          <w:lang w:val="en-US"/>
        </w:rPr>
        <w:t>fluctuations. The global finan</w:t>
      </w:r>
      <w:r>
        <w:rPr>
          <w:rFonts w:ascii="Times New Roman" w:hAnsi="Times New Roman"/>
          <w:sz w:val="20"/>
          <w:szCs w:val="20"/>
          <w:lang w:val="en-US"/>
        </w:rPr>
        <w:t xml:space="preserve">cial crisis had a strong impact </w:t>
      </w:r>
      <w:r w:rsidRPr="00404AB1">
        <w:rPr>
          <w:rFonts w:ascii="Times New Roman" w:hAnsi="Times New Roman"/>
          <w:sz w:val="20"/>
          <w:szCs w:val="20"/>
          <w:lang w:val="en-US"/>
        </w:rPr>
        <w:t>on government revenue</w:t>
      </w:r>
      <w:r>
        <w:rPr>
          <w:rFonts w:ascii="Times New Roman" w:hAnsi="Times New Roman"/>
          <w:sz w:val="20"/>
          <w:szCs w:val="20"/>
          <w:lang w:val="en-US"/>
        </w:rPr>
        <w:t xml:space="preserve">s and expenditures in many OECD </w:t>
      </w:r>
      <w:r w:rsidRPr="00404AB1">
        <w:rPr>
          <w:rFonts w:ascii="Times New Roman" w:hAnsi="Times New Roman"/>
          <w:sz w:val="20"/>
          <w:szCs w:val="20"/>
          <w:lang w:val="en-US"/>
        </w:rPr>
        <w:t>countries.</w:t>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5100DA41" wp14:editId="28C1D36B">
            <wp:extent cx="5835650" cy="465455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35650" cy="465455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2ED8879D" wp14:editId="43D76069">
            <wp:extent cx="5835650" cy="2762250"/>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835650" cy="276225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sidRPr="00CA793D">
        <w:rPr>
          <w:rFonts w:ascii="Times New Roman" w:hAnsi="Times New Roman"/>
          <w:sz w:val="20"/>
          <w:szCs w:val="20"/>
          <w:lang w:val="en-US"/>
        </w:rPr>
        <w:t xml:space="preserve">Governments use a mix </w:t>
      </w:r>
      <w:r>
        <w:rPr>
          <w:rFonts w:ascii="Times New Roman" w:hAnsi="Times New Roman"/>
          <w:sz w:val="20"/>
          <w:szCs w:val="20"/>
          <w:lang w:val="en-US"/>
        </w:rPr>
        <w:t xml:space="preserve">of their own employees, capital </w:t>
      </w:r>
      <w:r w:rsidRPr="00CA793D">
        <w:rPr>
          <w:rFonts w:ascii="Times New Roman" w:hAnsi="Times New Roman"/>
          <w:sz w:val="20"/>
          <w:szCs w:val="20"/>
          <w:lang w:val="en-US"/>
        </w:rPr>
        <w:t>and outside contractors (non</w:t>
      </w:r>
      <w:r>
        <w:rPr>
          <w:rFonts w:ascii="Times New Roman" w:hAnsi="Times New Roman"/>
          <w:sz w:val="20"/>
          <w:szCs w:val="20"/>
          <w:lang w:val="en-US"/>
        </w:rPr>
        <w:t xml:space="preserve">-profit institutions or private </w:t>
      </w:r>
      <w:r w:rsidRPr="00CA793D">
        <w:rPr>
          <w:rFonts w:ascii="Times New Roman" w:hAnsi="Times New Roman"/>
          <w:sz w:val="20"/>
          <w:szCs w:val="20"/>
          <w:lang w:val="en-US"/>
        </w:rPr>
        <w:t>sector entities) to produce goods and services. The l</w:t>
      </w:r>
      <w:r>
        <w:rPr>
          <w:rFonts w:ascii="Times New Roman" w:hAnsi="Times New Roman"/>
          <w:sz w:val="20"/>
          <w:szCs w:val="20"/>
          <w:lang w:val="en-US"/>
        </w:rPr>
        <w:t xml:space="preserve">atter is </w:t>
      </w:r>
      <w:r w:rsidRPr="00CA793D">
        <w:rPr>
          <w:rFonts w:ascii="Times New Roman" w:hAnsi="Times New Roman"/>
          <w:sz w:val="20"/>
          <w:szCs w:val="20"/>
          <w:lang w:val="en-US"/>
        </w:rPr>
        <w:t>ofte</w:t>
      </w:r>
      <w:r>
        <w:rPr>
          <w:rFonts w:ascii="Times New Roman" w:hAnsi="Times New Roman"/>
          <w:sz w:val="20"/>
          <w:szCs w:val="20"/>
          <w:lang w:val="en-US"/>
        </w:rPr>
        <w:t xml:space="preserve">n referred to as “outsourcing”. </w:t>
      </w:r>
      <w:r w:rsidRPr="00CA793D">
        <w:rPr>
          <w:rFonts w:ascii="Times New Roman" w:hAnsi="Times New Roman"/>
          <w:sz w:val="20"/>
          <w:szCs w:val="20"/>
          <w:lang w:val="en-US"/>
        </w:rPr>
        <w:t>This concept and methodo</w:t>
      </w:r>
      <w:r>
        <w:rPr>
          <w:rFonts w:ascii="Times New Roman" w:hAnsi="Times New Roman"/>
          <w:sz w:val="20"/>
          <w:szCs w:val="20"/>
          <w:lang w:val="en-US"/>
        </w:rPr>
        <w:t xml:space="preserve">logy of production costs builds </w:t>
      </w:r>
      <w:r w:rsidRPr="00CA793D">
        <w:rPr>
          <w:rFonts w:ascii="Times New Roman" w:hAnsi="Times New Roman"/>
          <w:sz w:val="20"/>
          <w:szCs w:val="20"/>
          <w:lang w:val="en-US"/>
        </w:rPr>
        <w:t>on the existing classificatio</w:t>
      </w:r>
      <w:r>
        <w:rPr>
          <w:rFonts w:ascii="Times New Roman" w:hAnsi="Times New Roman"/>
          <w:sz w:val="20"/>
          <w:szCs w:val="20"/>
          <w:lang w:val="en-US"/>
        </w:rPr>
        <w:t xml:space="preserve">n of public expenditures in the </w:t>
      </w:r>
      <w:r w:rsidRPr="00CA793D">
        <w:rPr>
          <w:rFonts w:ascii="Times New Roman" w:hAnsi="Times New Roman"/>
          <w:sz w:val="20"/>
          <w:szCs w:val="20"/>
          <w:lang w:val="en-US"/>
        </w:rPr>
        <w:t>System of National Accounts</w:t>
      </w:r>
      <w:r>
        <w:rPr>
          <w:rFonts w:ascii="Times New Roman" w:hAnsi="Times New Roman"/>
          <w:sz w:val="20"/>
          <w:szCs w:val="20"/>
          <w:lang w:val="en-US"/>
        </w:rPr>
        <w:t xml:space="preserve"> (SNA) a set of internationally </w:t>
      </w:r>
      <w:r w:rsidRPr="00CA793D">
        <w:rPr>
          <w:rFonts w:ascii="Times New Roman" w:hAnsi="Times New Roman"/>
          <w:sz w:val="20"/>
          <w:szCs w:val="20"/>
          <w:lang w:val="en-US"/>
        </w:rPr>
        <w:t>agreed concepts, definitions, class</w:t>
      </w:r>
      <w:r>
        <w:rPr>
          <w:rFonts w:ascii="Times New Roman" w:hAnsi="Times New Roman"/>
          <w:sz w:val="20"/>
          <w:szCs w:val="20"/>
          <w:lang w:val="en-US"/>
        </w:rPr>
        <w:t xml:space="preserve">ifications and rules for </w:t>
      </w:r>
      <w:r w:rsidRPr="00CA793D">
        <w:rPr>
          <w:rFonts w:ascii="Times New Roman" w:hAnsi="Times New Roman"/>
          <w:sz w:val="20"/>
          <w:szCs w:val="20"/>
          <w:lang w:val="en-US"/>
        </w:rPr>
        <w:t>national accounting. Spec</w:t>
      </w:r>
      <w:r>
        <w:rPr>
          <w:rFonts w:ascii="Times New Roman" w:hAnsi="Times New Roman"/>
          <w:sz w:val="20"/>
          <w:szCs w:val="20"/>
          <w:lang w:val="en-US"/>
        </w:rPr>
        <w:t xml:space="preserve">ifically, government production </w:t>
      </w:r>
      <w:r w:rsidRPr="00CA793D">
        <w:rPr>
          <w:rFonts w:ascii="Times New Roman" w:hAnsi="Times New Roman"/>
          <w:sz w:val="20"/>
          <w:szCs w:val="20"/>
          <w:lang w:val="en-US"/>
        </w:rPr>
        <w:t>costs include: compensat</w:t>
      </w:r>
      <w:r>
        <w:rPr>
          <w:rFonts w:ascii="Times New Roman" w:hAnsi="Times New Roman"/>
          <w:sz w:val="20"/>
          <w:szCs w:val="20"/>
          <w:lang w:val="en-US"/>
        </w:rPr>
        <w:t xml:space="preserve">ion costs of general government </w:t>
      </w:r>
      <w:r w:rsidRPr="00CA793D">
        <w:rPr>
          <w:rFonts w:ascii="Times New Roman" w:hAnsi="Times New Roman"/>
          <w:sz w:val="20"/>
          <w:szCs w:val="20"/>
          <w:lang w:val="en-US"/>
        </w:rPr>
        <w:t>employees; goods an</w:t>
      </w:r>
      <w:r>
        <w:rPr>
          <w:rFonts w:ascii="Times New Roman" w:hAnsi="Times New Roman"/>
          <w:sz w:val="20"/>
          <w:szCs w:val="20"/>
          <w:lang w:val="en-US"/>
        </w:rPr>
        <w:t xml:space="preserve">d services used and financed by </w:t>
      </w:r>
      <w:r w:rsidRPr="00CA793D">
        <w:rPr>
          <w:rFonts w:ascii="Times New Roman" w:hAnsi="Times New Roman"/>
          <w:sz w:val="20"/>
          <w:szCs w:val="20"/>
          <w:lang w:val="en-US"/>
        </w:rPr>
        <w:t>general government (includ</w:t>
      </w:r>
      <w:r>
        <w:rPr>
          <w:rFonts w:ascii="Times New Roman" w:hAnsi="Times New Roman"/>
          <w:sz w:val="20"/>
          <w:szCs w:val="20"/>
          <w:lang w:val="en-US"/>
        </w:rPr>
        <w:t xml:space="preserve">ing, in SNA terms, intermediate </w:t>
      </w:r>
      <w:r w:rsidRPr="00CA793D">
        <w:rPr>
          <w:rFonts w:ascii="Times New Roman" w:hAnsi="Times New Roman"/>
          <w:sz w:val="20"/>
          <w:szCs w:val="20"/>
          <w:lang w:val="en-US"/>
        </w:rPr>
        <w:t>consumption and soc</w:t>
      </w:r>
      <w:r>
        <w:rPr>
          <w:rFonts w:ascii="Times New Roman" w:hAnsi="Times New Roman"/>
          <w:sz w:val="20"/>
          <w:szCs w:val="20"/>
          <w:lang w:val="en-US"/>
        </w:rPr>
        <w:t xml:space="preserve">ial transfer in kind via market </w:t>
      </w:r>
      <w:r w:rsidRPr="00CA793D">
        <w:rPr>
          <w:rFonts w:ascii="Times New Roman" w:hAnsi="Times New Roman"/>
          <w:sz w:val="20"/>
          <w:szCs w:val="20"/>
          <w:lang w:val="en-US"/>
        </w:rPr>
        <w:lastRenderedPageBreak/>
        <w:t>producers paid for by g</w:t>
      </w:r>
      <w:r>
        <w:rPr>
          <w:rFonts w:ascii="Times New Roman" w:hAnsi="Times New Roman"/>
          <w:sz w:val="20"/>
          <w:szCs w:val="20"/>
          <w:lang w:val="en-US"/>
        </w:rPr>
        <w:t xml:space="preserve">overnment); and, consumption of </w:t>
      </w:r>
      <w:r w:rsidRPr="00CA793D">
        <w:rPr>
          <w:rFonts w:ascii="Times New Roman" w:hAnsi="Times New Roman"/>
          <w:sz w:val="20"/>
          <w:szCs w:val="20"/>
          <w:lang w:val="en-US"/>
        </w:rPr>
        <w:t>fixed capital (depreciation of capital). The data include</w:t>
      </w:r>
      <w:r>
        <w:rPr>
          <w:rFonts w:ascii="Times New Roman" w:hAnsi="Times New Roman"/>
          <w:sz w:val="20"/>
          <w:szCs w:val="20"/>
          <w:lang w:val="en-US"/>
        </w:rPr>
        <w:t xml:space="preserve"> </w:t>
      </w:r>
      <w:r w:rsidRPr="00CA793D">
        <w:rPr>
          <w:rFonts w:ascii="Times New Roman" w:hAnsi="Times New Roman"/>
          <w:sz w:val="20"/>
          <w:szCs w:val="20"/>
          <w:lang w:val="en-US"/>
        </w:rPr>
        <w:t>government employment and intermediate consumption</w:t>
      </w:r>
      <w:r>
        <w:rPr>
          <w:rFonts w:ascii="Times New Roman" w:hAnsi="Times New Roman"/>
          <w:sz w:val="20"/>
          <w:szCs w:val="20"/>
          <w:lang w:val="en-US"/>
        </w:rPr>
        <w:t xml:space="preserve"> </w:t>
      </w:r>
      <w:r w:rsidRPr="00CA793D">
        <w:rPr>
          <w:rFonts w:ascii="Times New Roman" w:hAnsi="Times New Roman"/>
          <w:sz w:val="20"/>
          <w:szCs w:val="20"/>
          <w:lang w:val="en-US"/>
        </w:rPr>
        <w:t>for output produced by the government for</w:t>
      </w:r>
      <w:r>
        <w:rPr>
          <w:rFonts w:ascii="Times New Roman" w:hAnsi="Times New Roman"/>
          <w:sz w:val="20"/>
          <w:szCs w:val="20"/>
          <w:lang w:val="en-US"/>
        </w:rPr>
        <w:t xml:space="preserve"> its own use, </w:t>
      </w:r>
      <w:r w:rsidRPr="00CA793D">
        <w:rPr>
          <w:rFonts w:ascii="Times New Roman" w:hAnsi="Times New Roman"/>
          <w:sz w:val="20"/>
          <w:szCs w:val="20"/>
          <w:lang w:val="en-US"/>
        </w:rPr>
        <w:t>such as roads and other ca</w:t>
      </w:r>
      <w:r>
        <w:rPr>
          <w:rFonts w:ascii="Times New Roman" w:hAnsi="Times New Roman"/>
          <w:sz w:val="20"/>
          <w:szCs w:val="20"/>
          <w:lang w:val="en-US"/>
        </w:rPr>
        <w:t xml:space="preserve">pital investment projects built </w:t>
      </w:r>
      <w:r w:rsidRPr="00CA793D">
        <w:rPr>
          <w:rFonts w:ascii="Times New Roman" w:hAnsi="Times New Roman"/>
          <w:sz w:val="20"/>
          <w:szCs w:val="20"/>
          <w:lang w:val="en-US"/>
        </w:rPr>
        <w:t>by government employees.</w:t>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389A75D6" wp14:editId="18A7567B">
            <wp:extent cx="6007100" cy="4667250"/>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007100" cy="466725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66AD67F3" wp14:editId="2579C91E">
            <wp:extent cx="5842000" cy="3549650"/>
            <wp:effectExtent l="0" t="0" r="635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42000" cy="354965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4C2556B2" wp14:editId="4F7BB97D">
            <wp:extent cx="5873750" cy="5207000"/>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873750" cy="5207000"/>
                    </a:xfrm>
                    <a:prstGeom prst="rect">
                      <a:avLst/>
                    </a:prstGeom>
                    <a:noFill/>
                    <a:ln>
                      <a:noFill/>
                    </a:ln>
                  </pic:spPr>
                </pic:pic>
              </a:graphicData>
            </a:graphic>
          </wp:inline>
        </w:drawing>
      </w:r>
      <w:r>
        <w:rPr>
          <w:rFonts w:ascii="Times New Roman" w:hAnsi="Times New Roman"/>
          <w:noProof/>
          <w:sz w:val="20"/>
          <w:szCs w:val="20"/>
          <w:lang w:eastAsia="es-ES"/>
        </w:rPr>
        <w:drawing>
          <wp:inline distT="0" distB="0" distL="0" distR="0" wp14:anchorId="5887CD8B" wp14:editId="6CE5453B">
            <wp:extent cx="5822950" cy="3676650"/>
            <wp:effectExtent l="0" t="0" r="635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22950" cy="367665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329DCC50" wp14:editId="6AB3F7D8">
            <wp:extent cx="5861050" cy="5143500"/>
            <wp:effectExtent l="0" t="0" r="635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61050" cy="514350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1538110F" wp14:editId="22F31C08">
            <wp:extent cx="5791200" cy="3263900"/>
            <wp:effectExtent l="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91200" cy="326390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63871F7E" wp14:editId="51D014A4">
            <wp:extent cx="5810250" cy="4699000"/>
            <wp:effectExtent l="0" t="0" r="0" b="635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810250" cy="469900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36B4B8B0" wp14:editId="4E1DFAFF">
            <wp:extent cx="5734050" cy="3289300"/>
            <wp:effectExtent l="0" t="0" r="0" b="635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4050" cy="328930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6F32F847" wp14:editId="116BAE5D">
            <wp:extent cx="5829300" cy="506730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829300" cy="506730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6B0CCEEB" wp14:editId="656B02DB">
            <wp:extent cx="5892800" cy="306705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892800" cy="306705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55598491" wp14:editId="663F95ED">
            <wp:extent cx="5975350" cy="4838700"/>
            <wp:effectExtent l="0" t="0" r="635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75350" cy="483870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30678A7A" wp14:editId="0F383AF2">
            <wp:extent cx="5905500" cy="3333750"/>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05500" cy="3333750"/>
                    </a:xfrm>
                    <a:prstGeom prst="rect">
                      <a:avLst/>
                    </a:prstGeom>
                    <a:noFill/>
                    <a:ln>
                      <a:noFill/>
                    </a:ln>
                  </pic:spPr>
                </pic:pic>
              </a:graphicData>
            </a:graphic>
          </wp:inline>
        </w:drawing>
      </w: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31782E" w:rsidRDefault="0031782E" w:rsidP="0031782E">
      <w:pPr>
        <w:autoSpaceDE w:val="0"/>
        <w:autoSpaceDN w:val="0"/>
        <w:adjustRightInd w:val="0"/>
        <w:spacing w:after="0" w:line="240" w:lineRule="auto"/>
        <w:jc w:val="both"/>
        <w:rPr>
          <w:rFonts w:ascii="Times New Roman" w:hAnsi="Times New Roman"/>
          <w:sz w:val="20"/>
          <w:szCs w:val="20"/>
          <w:lang w:val="en-US"/>
        </w:rPr>
      </w:pPr>
    </w:p>
    <w:p w:rsidR="000A7ADD" w:rsidRDefault="000A7ADD" w:rsidP="000A7ADD">
      <w:pPr>
        <w:spacing w:line="240" w:lineRule="auto"/>
        <w:jc w:val="both"/>
        <w:rPr>
          <w:rFonts w:ascii="Times New Roman" w:hAnsi="Times New Roman"/>
          <w:b/>
          <w:sz w:val="24"/>
          <w:szCs w:val="24"/>
          <w:lang w:val="en-US"/>
        </w:rPr>
      </w:pPr>
      <w:r w:rsidRPr="004D227A">
        <w:rPr>
          <w:rFonts w:ascii="Times New Roman" w:hAnsi="Times New Roman"/>
          <w:b/>
          <w:sz w:val="24"/>
          <w:szCs w:val="24"/>
          <w:lang w:val="en-US"/>
        </w:rPr>
        <w:lastRenderedPageBreak/>
        <w:t>The EU in the world 2014</w:t>
      </w:r>
      <w:r>
        <w:rPr>
          <w:rFonts w:ascii="Times New Roman" w:hAnsi="Times New Roman"/>
          <w:b/>
          <w:sz w:val="24"/>
          <w:szCs w:val="24"/>
          <w:lang w:val="en-US"/>
        </w:rPr>
        <w:t xml:space="preserve"> - Eurostat 2014</w:t>
      </w:r>
    </w:p>
    <w:p w:rsidR="000A7ADD" w:rsidRPr="00AD4C60" w:rsidRDefault="000A7ADD" w:rsidP="000A7ADD">
      <w:pPr>
        <w:spacing w:line="240" w:lineRule="auto"/>
        <w:jc w:val="both"/>
        <w:rPr>
          <w:rFonts w:ascii="Times New Roman" w:hAnsi="Times New Roman"/>
          <w:b/>
          <w:sz w:val="24"/>
          <w:szCs w:val="24"/>
          <w:lang w:val="en-US"/>
        </w:rPr>
      </w:pPr>
      <w:r w:rsidRPr="00AD4C60">
        <w:rPr>
          <w:rFonts w:ascii="Times New Roman" w:hAnsi="Times New Roman"/>
          <w:b/>
          <w:sz w:val="24"/>
          <w:szCs w:val="24"/>
          <w:lang w:val="en-US"/>
        </w:rPr>
        <w:t>(A statistical portrait)</w:t>
      </w:r>
    </w:p>
    <w:p w:rsidR="000A7ADD" w:rsidRPr="005E7CE7" w:rsidRDefault="000A7ADD" w:rsidP="000A7ADD">
      <w:pPr>
        <w:spacing w:line="240" w:lineRule="auto"/>
        <w:jc w:val="both"/>
        <w:rPr>
          <w:rFonts w:ascii="Times New Roman" w:hAnsi="Times New Roman"/>
          <w:b/>
          <w:sz w:val="24"/>
          <w:szCs w:val="24"/>
          <w:lang w:val="en-US"/>
        </w:rPr>
      </w:pPr>
      <w:r w:rsidRPr="00AD4C60">
        <w:rPr>
          <w:rFonts w:ascii="Times New Roman" w:hAnsi="Times New Roman"/>
          <w:b/>
          <w:sz w:val="24"/>
          <w:szCs w:val="24"/>
          <w:lang w:val="en-US"/>
        </w:rPr>
        <w:t>Economy and finance</w:t>
      </w:r>
      <w:r w:rsidR="005E7CE7">
        <w:rPr>
          <w:rFonts w:ascii="Times New Roman" w:hAnsi="Times New Roman"/>
          <w:b/>
          <w:sz w:val="24"/>
          <w:szCs w:val="24"/>
          <w:lang w:val="en-US"/>
        </w:rPr>
        <w:t xml:space="preserve"> (</w:t>
      </w:r>
      <w:r w:rsidRPr="00DA3AF7">
        <w:rPr>
          <w:rFonts w:ascii="Times New Roman" w:hAnsi="Times New Roman"/>
          <w:sz w:val="24"/>
          <w:szCs w:val="24"/>
          <w:lang w:val="en-US"/>
        </w:rPr>
        <w:t>Main findings</w:t>
      </w:r>
      <w:r w:rsidR="005E7CE7">
        <w:rPr>
          <w:rFonts w:ascii="Times New Roman" w:hAnsi="Times New Roman"/>
          <w:sz w:val="24"/>
          <w:szCs w:val="24"/>
          <w:lang w:val="en-US"/>
        </w:rPr>
        <w:t>)</w:t>
      </w:r>
    </w:p>
    <w:p w:rsidR="000A7ADD" w:rsidRPr="0076128B" w:rsidRDefault="000A7ADD" w:rsidP="000A7ADD">
      <w:pPr>
        <w:spacing w:line="240" w:lineRule="auto"/>
        <w:jc w:val="both"/>
        <w:rPr>
          <w:rFonts w:ascii="Times New Roman" w:hAnsi="Times New Roman"/>
          <w:sz w:val="20"/>
          <w:szCs w:val="20"/>
          <w:lang w:val="en-US"/>
        </w:rPr>
      </w:pPr>
      <w:r w:rsidRPr="0076128B">
        <w:rPr>
          <w:rFonts w:ascii="Times New Roman" w:hAnsi="Times New Roman"/>
          <w:sz w:val="20"/>
          <w:szCs w:val="20"/>
          <w:lang w:val="en-US"/>
        </w:rPr>
        <w:t>The importance of the general government sector in the e</w:t>
      </w:r>
      <w:r>
        <w:rPr>
          <w:rFonts w:ascii="Times New Roman" w:hAnsi="Times New Roman"/>
          <w:sz w:val="20"/>
          <w:szCs w:val="20"/>
          <w:lang w:val="en-US"/>
        </w:rPr>
        <w:t xml:space="preserve">conomy may be measured in terms </w:t>
      </w:r>
      <w:r w:rsidRPr="0076128B">
        <w:rPr>
          <w:rFonts w:ascii="Times New Roman" w:hAnsi="Times New Roman"/>
          <w:sz w:val="20"/>
          <w:szCs w:val="20"/>
          <w:lang w:val="en-US"/>
        </w:rPr>
        <w:t xml:space="preserve">of the average of general government revenue and expenditure </w:t>
      </w:r>
      <w:r>
        <w:rPr>
          <w:rFonts w:ascii="Times New Roman" w:hAnsi="Times New Roman"/>
          <w:sz w:val="20"/>
          <w:szCs w:val="20"/>
          <w:lang w:val="en-US"/>
        </w:rPr>
        <w:t xml:space="preserve">in relation to GDP. The highest </w:t>
      </w:r>
      <w:r w:rsidRPr="0076128B">
        <w:rPr>
          <w:rFonts w:ascii="Times New Roman" w:hAnsi="Times New Roman"/>
          <w:sz w:val="20"/>
          <w:szCs w:val="20"/>
          <w:lang w:val="en-US"/>
        </w:rPr>
        <w:t>such ratios for G20 members in 2012 were 47.4 % in the EU-</w:t>
      </w:r>
      <w:r>
        <w:rPr>
          <w:rFonts w:ascii="Times New Roman" w:hAnsi="Times New Roman"/>
          <w:sz w:val="20"/>
          <w:szCs w:val="20"/>
          <w:lang w:val="en-US"/>
        </w:rPr>
        <w:t xml:space="preserve">28, followed by 44.3 % in Saudi </w:t>
      </w:r>
      <w:r w:rsidRPr="0076128B">
        <w:rPr>
          <w:rFonts w:ascii="Times New Roman" w:hAnsi="Times New Roman"/>
          <w:sz w:val="20"/>
          <w:szCs w:val="20"/>
          <w:lang w:val="en-US"/>
        </w:rPr>
        <w:t>Arabia and 42.3 % in Argentina. The lowest ratio was in Indone</w:t>
      </w:r>
      <w:r>
        <w:rPr>
          <w:rFonts w:ascii="Times New Roman" w:hAnsi="Times New Roman"/>
          <w:sz w:val="20"/>
          <w:szCs w:val="20"/>
          <w:lang w:val="en-US"/>
        </w:rPr>
        <w:t xml:space="preserve">sia (18.9 %); note the data for </w:t>
      </w:r>
      <w:r w:rsidRPr="0076128B">
        <w:rPr>
          <w:rFonts w:ascii="Times New Roman" w:hAnsi="Times New Roman"/>
          <w:sz w:val="20"/>
          <w:szCs w:val="20"/>
          <w:lang w:val="en-US"/>
        </w:rPr>
        <w:t>Mexico and South Korea relate only to the expenditure and r</w:t>
      </w:r>
      <w:r>
        <w:rPr>
          <w:rFonts w:ascii="Times New Roman" w:hAnsi="Times New Roman"/>
          <w:sz w:val="20"/>
          <w:szCs w:val="20"/>
          <w:lang w:val="en-US"/>
        </w:rPr>
        <w:t xml:space="preserve">evenue of central government as </w:t>
      </w:r>
      <w:r w:rsidRPr="0076128B">
        <w:rPr>
          <w:rFonts w:ascii="Times New Roman" w:hAnsi="Times New Roman"/>
          <w:sz w:val="20"/>
          <w:szCs w:val="20"/>
          <w:lang w:val="en-US"/>
        </w:rPr>
        <w:t>opposed to general government which covers all levels of public administration.</w:t>
      </w:r>
    </w:p>
    <w:p w:rsidR="000A7ADD" w:rsidRPr="0076128B" w:rsidRDefault="000A7ADD" w:rsidP="000A7ADD">
      <w:pPr>
        <w:spacing w:line="240" w:lineRule="auto"/>
        <w:jc w:val="both"/>
        <w:rPr>
          <w:rFonts w:ascii="Times New Roman" w:hAnsi="Times New Roman"/>
          <w:sz w:val="20"/>
          <w:szCs w:val="20"/>
          <w:lang w:val="en-US"/>
        </w:rPr>
      </w:pPr>
      <w:r w:rsidRPr="0076128B">
        <w:rPr>
          <w:rFonts w:ascii="Times New Roman" w:hAnsi="Times New Roman"/>
          <w:sz w:val="20"/>
          <w:szCs w:val="20"/>
          <w:lang w:val="en-US"/>
        </w:rPr>
        <w:t>Subtracting expenditure from revenue results in the govern</w:t>
      </w:r>
      <w:r>
        <w:rPr>
          <w:rFonts w:ascii="Times New Roman" w:hAnsi="Times New Roman"/>
          <w:sz w:val="20"/>
          <w:szCs w:val="20"/>
          <w:lang w:val="en-US"/>
        </w:rPr>
        <w:t xml:space="preserve">ment surplus/deficit. Comparing </w:t>
      </w:r>
      <w:r w:rsidRPr="0076128B">
        <w:rPr>
          <w:rFonts w:ascii="Times New Roman" w:hAnsi="Times New Roman"/>
          <w:sz w:val="20"/>
          <w:szCs w:val="20"/>
          <w:lang w:val="en-US"/>
        </w:rPr>
        <w:t>data for 2002 with 2012 (</w:t>
      </w:r>
      <w:r w:rsidRPr="0076128B">
        <w:rPr>
          <w:rFonts w:ascii="Times New Roman" w:hAnsi="Times New Roman"/>
          <w:color w:val="FF0000"/>
          <w:sz w:val="20"/>
          <w:szCs w:val="20"/>
          <w:lang w:val="en-US"/>
        </w:rPr>
        <w:t>see Table 6.1</w:t>
      </w:r>
      <w:r w:rsidRPr="0076128B">
        <w:rPr>
          <w:rFonts w:ascii="Times New Roman" w:hAnsi="Times New Roman"/>
          <w:sz w:val="20"/>
          <w:szCs w:val="20"/>
          <w:lang w:val="en-US"/>
        </w:rPr>
        <w:t>), Saudi Arabia’s gover</w:t>
      </w:r>
      <w:r>
        <w:rPr>
          <w:rFonts w:ascii="Times New Roman" w:hAnsi="Times New Roman"/>
          <w:sz w:val="20"/>
          <w:szCs w:val="20"/>
          <w:lang w:val="en-US"/>
        </w:rPr>
        <w:t xml:space="preserve">nment moved from a deficit to a </w:t>
      </w:r>
      <w:r w:rsidRPr="0076128B">
        <w:rPr>
          <w:rFonts w:ascii="Times New Roman" w:hAnsi="Times New Roman"/>
          <w:sz w:val="20"/>
          <w:szCs w:val="20"/>
          <w:lang w:val="en-US"/>
        </w:rPr>
        <w:t>surplus, Russia and South Korea’s surpluses contracted, w</w:t>
      </w:r>
      <w:r>
        <w:rPr>
          <w:rFonts w:ascii="Times New Roman" w:hAnsi="Times New Roman"/>
          <w:sz w:val="20"/>
          <w:szCs w:val="20"/>
          <w:lang w:val="en-US"/>
        </w:rPr>
        <w:t xml:space="preserve">hile Canada and Australia moved </w:t>
      </w:r>
      <w:r w:rsidRPr="0076128B">
        <w:rPr>
          <w:rFonts w:ascii="Times New Roman" w:hAnsi="Times New Roman"/>
          <w:sz w:val="20"/>
          <w:szCs w:val="20"/>
          <w:lang w:val="en-US"/>
        </w:rPr>
        <w:t>from a balanced budget and a government surplus respectively to a governme</w:t>
      </w:r>
      <w:r>
        <w:rPr>
          <w:rFonts w:ascii="Times New Roman" w:hAnsi="Times New Roman"/>
          <w:sz w:val="20"/>
          <w:szCs w:val="20"/>
          <w:lang w:val="en-US"/>
        </w:rPr>
        <w:t xml:space="preserve">nt deficit. At </w:t>
      </w:r>
      <w:r w:rsidRPr="0076128B">
        <w:rPr>
          <w:rFonts w:ascii="Times New Roman" w:hAnsi="Times New Roman"/>
          <w:sz w:val="20"/>
          <w:szCs w:val="20"/>
          <w:lang w:val="en-US"/>
        </w:rPr>
        <w:t>the same time, Turkey, Argentina, India, Brazil and China’s</w:t>
      </w:r>
      <w:r>
        <w:rPr>
          <w:rFonts w:ascii="Times New Roman" w:hAnsi="Times New Roman"/>
          <w:sz w:val="20"/>
          <w:szCs w:val="20"/>
          <w:lang w:val="en-US"/>
        </w:rPr>
        <w:t xml:space="preserve"> government deficits contracted </w:t>
      </w:r>
      <w:r w:rsidRPr="0076128B">
        <w:rPr>
          <w:rFonts w:ascii="Times New Roman" w:hAnsi="Times New Roman"/>
          <w:sz w:val="20"/>
          <w:szCs w:val="20"/>
          <w:lang w:val="en-US"/>
        </w:rPr>
        <w:t>and the government deficits of Mexico, Indonesia, Japan, Sou</w:t>
      </w:r>
      <w:r>
        <w:rPr>
          <w:rFonts w:ascii="Times New Roman" w:hAnsi="Times New Roman"/>
          <w:sz w:val="20"/>
          <w:szCs w:val="20"/>
          <w:lang w:val="en-US"/>
        </w:rPr>
        <w:t xml:space="preserve">th Africa and the United States </w:t>
      </w:r>
      <w:r w:rsidRPr="0076128B">
        <w:rPr>
          <w:rFonts w:ascii="Times New Roman" w:hAnsi="Times New Roman"/>
          <w:sz w:val="20"/>
          <w:szCs w:val="20"/>
          <w:lang w:val="en-US"/>
        </w:rPr>
        <w:t>expanded, as did the deficit for the EU Member States (com</w:t>
      </w:r>
      <w:r>
        <w:rPr>
          <w:rFonts w:ascii="Times New Roman" w:hAnsi="Times New Roman"/>
          <w:sz w:val="20"/>
          <w:szCs w:val="20"/>
          <w:lang w:val="en-US"/>
        </w:rPr>
        <w:t xml:space="preserve">paring EU-28 data for 2012 with </w:t>
      </w:r>
      <w:r w:rsidRPr="0076128B">
        <w:rPr>
          <w:rFonts w:ascii="Times New Roman" w:hAnsi="Times New Roman"/>
          <w:sz w:val="20"/>
          <w:szCs w:val="20"/>
          <w:lang w:val="en-US"/>
        </w:rPr>
        <w:t>EU-27 data for 2002).</w:t>
      </w:r>
    </w:p>
    <w:p w:rsidR="000A7ADD" w:rsidRDefault="000A7ADD" w:rsidP="000A7ADD">
      <w:pPr>
        <w:spacing w:line="240" w:lineRule="auto"/>
        <w:jc w:val="both"/>
        <w:rPr>
          <w:rFonts w:ascii="Times New Roman" w:hAnsi="Times New Roman"/>
          <w:b/>
          <w:sz w:val="20"/>
          <w:szCs w:val="20"/>
          <w:lang w:val="en-US"/>
        </w:rPr>
      </w:pPr>
      <w:r>
        <w:rPr>
          <w:rFonts w:ascii="Times New Roman" w:hAnsi="Times New Roman"/>
          <w:b/>
          <w:noProof/>
          <w:sz w:val="20"/>
          <w:szCs w:val="20"/>
          <w:lang w:eastAsia="es-ES"/>
        </w:rPr>
        <w:drawing>
          <wp:inline distT="0" distB="0" distL="0" distR="0" wp14:anchorId="3461A5D1" wp14:editId="21231905">
            <wp:extent cx="5397500" cy="340995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97500" cy="3409950"/>
                    </a:xfrm>
                    <a:prstGeom prst="rect">
                      <a:avLst/>
                    </a:prstGeom>
                    <a:noFill/>
                    <a:ln>
                      <a:noFill/>
                    </a:ln>
                  </pic:spPr>
                </pic:pic>
              </a:graphicData>
            </a:graphic>
          </wp:inline>
        </w:drawing>
      </w:r>
    </w:p>
    <w:p w:rsidR="000A7ADD" w:rsidRDefault="000A7ADD" w:rsidP="000A7ADD">
      <w:pPr>
        <w:spacing w:line="240" w:lineRule="auto"/>
        <w:jc w:val="both"/>
        <w:rPr>
          <w:rFonts w:ascii="Times New Roman" w:hAnsi="Times New Roman"/>
          <w:sz w:val="20"/>
          <w:szCs w:val="20"/>
          <w:lang w:val="en-US"/>
        </w:rPr>
      </w:pPr>
      <w:r w:rsidRPr="0076128B">
        <w:rPr>
          <w:rFonts w:ascii="Times New Roman" w:hAnsi="Times New Roman"/>
          <w:color w:val="FF0000"/>
          <w:sz w:val="20"/>
          <w:szCs w:val="20"/>
          <w:lang w:val="en-US"/>
        </w:rPr>
        <w:t xml:space="preserve">Table 6.2 </w:t>
      </w:r>
      <w:r w:rsidRPr="0076128B">
        <w:rPr>
          <w:rFonts w:ascii="Times New Roman" w:hAnsi="Times New Roman"/>
          <w:sz w:val="20"/>
          <w:szCs w:val="20"/>
          <w:lang w:val="en-US"/>
        </w:rPr>
        <w:t>provides more detailed information concerning th</w:t>
      </w:r>
      <w:r>
        <w:rPr>
          <w:rFonts w:ascii="Times New Roman" w:hAnsi="Times New Roman"/>
          <w:sz w:val="20"/>
          <w:szCs w:val="20"/>
          <w:lang w:val="en-US"/>
        </w:rPr>
        <w:t xml:space="preserve">e development of the government </w:t>
      </w:r>
      <w:r w:rsidRPr="0076128B">
        <w:rPr>
          <w:rFonts w:ascii="Times New Roman" w:hAnsi="Times New Roman"/>
          <w:sz w:val="20"/>
          <w:szCs w:val="20"/>
          <w:lang w:val="en-US"/>
        </w:rPr>
        <w:t>surplus/deficit between 2002 and 2012. In 2007, just before</w:t>
      </w:r>
      <w:r>
        <w:rPr>
          <w:rFonts w:ascii="Times New Roman" w:hAnsi="Times New Roman"/>
          <w:sz w:val="20"/>
          <w:szCs w:val="20"/>
          <w:lang w:val="en-US"/>
        </w:rPr>
        <w:t xml:space="preserve"> the onset of the financial and </w:t>
      </w:r>
      <w:r w:rsidRPr="0076128B">
        <w:rPr>
          <w:rFonts w:ascii="Times New Roman" w:hAnsi="Times New Roman"/>
          <w:sz w:val="20"/>
          <w:szCs w:val="20"/>
          <w:lang w:val="en-US"/>
        </w:rPr>
        <w:t>economic crisis, seven G20 members recorded a governme</w:t>
      </w:r>
      <w:r>
        <w:rPr>
          <w:rFonts w:ascii="Times New Roman" w:hAnsi="Times New Roman"/>
          <w:sz w:val="20"/>
          <w:szCs w:val="20"/>
          <w:lang w:val="en-US"/>
        </w:rPr>
        <w:t xml:space="preserve">nt surplus, generally less than </w:t>
      </w:r>
      <w:r w:rsidRPr="0076128B">
        <w:rPr>
          <w:rFonts w:ascii="Times New Roman" w:hAnsi="Times New Roman"/>
          <w:sz w:val="20"/>
          <w:szCs w:val="20"/>
          <w:lang w:val="en-US"/>
        </w:rPr>
        <w:t>2.5 % of GDP with Russia (6.8 %) and Saudi Arabia (15.0 %)</w:t>
      </w:r>
      <w:r>
        <w:rPr>
          <w:rFonts w:ascii="Times New Roman" w:hAnsi="Times New Roman"/>
          <w:sz w:val="20"/>
          <w:szCs w:val="20"/>
          <w:lang w:val="en-US"/>
        </w:rPr>
        <w:t xml:space="preserve"> above this level. The deficits </w:t>
      </w:r>
      <w:r w:rsidRPr="0076128B">
        <w:rPr>
          <w:rFonts w:ascii="Times New Roman" w:hAnsi="Times New Roman"/>
          <w:sz w:val="20"/>
          <w:szCs w:val="20"/>
          <w:lang w:val="en-US"/>
        </w:rPr>
        <w:t xml:space="preserve">in the remaining G20 members were less than 2.5 % of GDP </w:t>
      </w:r>
      <w:r>
        <w:rPr>
          <w:rFonts w:ascii="Times New Roman" w:hAnsi="Times New Roman"/>
          <w:sz w:val="20"/>
          <w:szCs w:val="20"/>
          <w:lang w:val="en-US"/>
        </w:rPr>
        <w:t xml:space="preserve">except in Brazil and the United </w:t>
      </w:r>
      <w:r w:rsidRPr="0076128B">
        <w:rPr>
          <w:rFonts w:ascii="Times New Roman" w:hAnsi="Times New Roman"/>
          <w:sz w:val="20"/>
          <w:szCs w:val="20"/>
          <w:lang w:val="en-US"/>
        </w:rPr>
        <w:t>States (both 2.7 % of GDP) and India (4.4 %). Already in</w:t>
      </w:r>
      <w:r>
        <w:rPr>
          <w:rFonts w:ascii="Times New Roman" w:hAnsi="Times New Roman"/>
          <w:sz w:val="20"/>
          <w:szCs w:val="20"/>
          <w:lang w:val="en-US"/>
        </w:rPr>
        <w:t xml:space="preserve"> 2008 the number of G20 members </w:t>
      </w:r>
      <w:r w:rsidRPr="0076128B">
        <w:rPr>
          <w:rFonts w:ascii="Times New Roman" w:hAnsi="Times New Roman"/>
          <w:sz w:val="20"/>
          <w:szCs w:val="20"/>
          <w:lang w:val="en-US"/>
        </w:rPr>
        <w:t>reporting a surplus stood at just three: namely, Saudi Arabia</w:t>
      </w:r>
      <w:r>
        <w:rPr>
          <w:rFonts w:ascii="Times New Roman" w:hAnsi="Times New Roman"/>
          <w:sz w:val="20"/>
          <w:szCs w:val="20"/>
          <w:lang w:val="en-US"/>
        </w:rPr>
        <w:t xml:space="preserve">, Russia and South Korea, while </w:t>
      </w:r>
      <w:r w:rsidRPr="0076128B">
        <w:rPr>
          <w:rFonts w:ascii="Times New Roman" w:hAnsi="Times New Roman"/>
          <w:sz w:val="20"/>
          <w:szCs w:val="20"/>
          <w:lang w:val="en-US"/>
        </w:rPr>
        <w:t>the deficits reported for India and the United States had increased substantially. In 20</w:t>
      </w:r>
      <w:r>
        <w:rPr>
          <w:rFonts w:ascii="Times New Roman" w:hAnsi="Times New Roman"/>
          <w:sz w:val="20"/>
          <w:szCs w:val="20"/>
          <w:lang w:val="en-US"/>
        </w:rPr>
        <w:t xml:space="preserve">09, none </w:t>
      </w:r>
      <w:r w:rsidRPr="0076128B">
        <w:rPr>
          <w:rFonts w:ascii="Times New Roman" w:hAnsi="Times New Roman"/>
          <w:sz w:val="20"/>
          <w:szCs w:val="20"/>
          <w:lang w:val="en-US"/>
        </w:rPr>
        <w:t>of the G20 members reported a government surplus, al</w:t>
      </w:r>
      <w:r>
        <w:rPr>
          <w:rFonts w:ascii="Times New Roman" w:hAnsi="Times New Roman"/>
          <w:sz w:val="20"/>
          <w:szCs w:val="20"/>
          <w:lang w:val="en-US"/>
        </w:rPr>
        <w:t xml:space="preserve">though South Korea maintained a </w:t>
      </w:r>
      <w:r w:rsidRPr="0076128B">
        <w:rPr>
          <w:rFonts w:ascii="Times New Roman" w:hAnsi="Times New Roman"/>
          <w:sz w:val="20"/>
          <w:szCs w:val="20"/>
          <w:lang w:val="en-US"/>
        </w:rPr>
        <w:t>balanced budget; South Korea was the only G20 member not to</w:t>
      </w:r>
      <w:r>
        <w:rPr>
          <w:rFonts w:ascii="Times New Roman" w:hAnsi="Times New Roman"/>
          <w:sz w:val="20"/>
          <w:szCs w:val="20"/>
          <w:lang w:val="en-US"/>
        </w:rPr>
        <w:t xml:space="preserve"> report a budget deficit during </w:t>
      </w:r>
      <w:r w:rsidRPr="0076128B">
        <w:rPr>
          <w:rFonts w:ascii="Times New Roman" w:hAnsi="Times New Roman"/>
          <w:sz w:val="20"/>
          <w:szCs w:val="20"/>
          <w:lang w:val="en-US"/>
        </w:rPr>
        <w:t>the financial and economic crisis. In India the deficit in 2009 contract</w:t>
      </w:r>
      <w:r>
        <w:rPr>
          <w:rFonts w:ascii="Times New Roman" w:hAnsi="Times New Roman"/>
          <w:sz w:val="20"/>
          <w:szCs w:val="20"/>
          <w:lang w:val="en-US"/>
        </w:rPr>
        <w:t xml:space="preserve">ed slightly, whereas in all </w:t>
      </w:r>
      <w:r w:rsidRPr="0076128B">
        <w:rPr>
          <w:rFonts w:ascii="Times New Roman" w:hAnsi="Times New Roman"/>
          <w:sz w:val="20"/>
          <w:szCs w:val="20"/>
          <w:lang w:val="en-US"/>
        </w:rPr>
        <w:t>other G20 members the deficit grew wider or a surplus turned int</w:t>
      </w:r>
      <w:r>
        <w:rPr>
          <w:rFonts w:ascii="Times New Roman" w:hAnsi="Times New Roman"/>
          <w:sz w:val="20"/>
          <w:szCs w:val="20"/>
          <w:lang w:val="en-US"/>
        </w:rPr>
        <w:t xml:space="preserve">o a deficit. The pace of change </w:t>
      </w:r>
      <w:r w:rsidRPr="0076128B">
        <w:rPr>
          <w:rFonts w:ascii="Times New Roman" w:hAnsi="Times New Roman"/>
          <w:sz w:val="20"/>
          <w:szCs w:val="20"/>
          <w:lang w:val="en-US"/>
        </w:rPr>
        <w:t>was particularly rapid in Russia and Saudi Arabia, where g</w:t>
      </w:r>
      <w:r>
        <w:rPr>
          <w:rFonts w:ascii="Times New Roman" w:hAnsi="Times New Roman"/>
          <w:sz w:val="20"/>
          <w:szCs w:val="20"/>
          <w:lang w:val="en-US"/>
        </w:rPr>
        <w:t xml:space="preserve">overnment surpluses recorded in </w:t>
      </w:r>
      <w:r w:rsidRPr="0076128B">
        <w:rPr>
          <w:rFonts w:ascii="Times New Roman" w:hAnsi="Times New Roman"/>
          <w:sz w:val="20"/>
          <w:szCs w:val="20"/>
          <w:lang w:val="en-US"/>
        </w:rPr>
        <w:t>2008 turned into deficits of -6.3 % and -4.1 % of GDP respe</w:t>
      </w:r>
      <w:r>
        <w:rPr>
          <w:rFonts w:ascii="Times New Roman" w:hAnsi="Times New Roman"/>
          <w:sz w:val="20"/>
          <w:szCs w:val="20"/>
          <w:lang w:val="en-US"/>
        </w:rPr>
        <w:t xml:space="preserve">ctively in 2009. In 2010, there </w:t>
      </w:r>
      <w:r w:rsidRPr="0076128B">
        <w:rPr>
          <w:rFonts w:ascii="Times New Roman" w:hAnsi="Times New Roman"/>
          <w:sz w:val="20"/>
          <w:szCs w:val="20"/>
          <w:lang w:val="en-US"/>
        </w:rPr>
        <w:t>were signs that the pace of government borrowing was general</w:t>
      </w:r>
      <w:r>
        <w:rPr>
          <w:rFonts w:ascii="Times New Roman" w:hAnsi="Times New Roman"/>
          <w:sz w:val="20"/>
          <w:szCs w:val="20"/>
          <w:lang w:val="en-US"/>
        </w:rPr>
        <w:t xml:space="preserve">ly no longer expanding, as only </w:t>
      </w:r>
      <w:r w:rsidRPr="0076128B">
        <w:rPr>
          <w:rFonts w:ascii="Times New Roman" w:hAnsi="Times New Roman"/>
          <w:sz w:val="20"/>
          <w:szCs w:val="20"/>
          <w:lang w:val="en-US"/>
        </w:rPr>
        <w:t xml:space="preserve">Australia and Canada reported their budget deficits </w:t>
      </w:r>
      <w:r w:rsidRPr="0076128B">
        <w:rPr>
          <w:rFonts w:ascii="Times New Roman" w:hAnsi="Times New Roman"/>
          <w:sz w:val="20"/>
          <w:szCs w:val="20"/>
          <w:lang w:val="en-US"/>
        </w:rPr>
        <w:lastRenderedPageBreak/>
        <w:t>(relat</w:t>
      </w:r>
      <w:r>
        <w:rPr>
          <w:rFonts w:ascii="Times New Roman" w:hAnsi="Times New Roman"/>
          <w:sz w:val="20"/>
          <w:szCs w:val="20"/>
          <w:lang w:val="en-US"/>
        </w:rPr>
        <w:t xml:space="preserve">ive to GDP) increasing compared </w:t>
      </w:r>
      <w:r w:rsidRPr="0076128B">
        <w:rPr>
          <w:rFonts w:ascii="Times New Roman" w:hAnsi="Times New Roman"/>
          <w:sz w:val="20"/>
          <w:szCs w:val="20"/>
          <w:lang w:val="en-US"/>
        </w:rPr>
        <w:t>with the previous year, while in Saudi Arabia, South Korea and Russia, a government surplus</w:t>
      </w:r>
      <w:r>
        <w:rPr>
          <w:rFonts w:ascii="Times New Roman" w:hAnsi="Times New Roman"/>
          <w:sz w:val="20"/>
          <w:szCs w:val="20"/>
          <w:lang w:val="en-US"/>
        </w:rPr>
        <w:t xml:space="preserve"> </w:t>
      </w:r>
      <w:r w:rsidRPr="0076128B">
        <w:rPr>
          <w:rFonts w:ascii="Times New Roman" w:hAnsi="Times New Roman"/>
          <w:sz w:val="20"/>
          <w:szCs w:val="20"/>
          <w:lang w:val="en-US"/>
        </w:rPr>
        <w:t>was reported.</w:t>
      </w:r>
    </w:p>
    <w:p w:rsidR="000A7ADD" w:rsidRDefault="000A7ADD" w:rsidP="000A7ADD">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5A83A357" wp14:editId="071E283C">
            <wp:extent cx="5397500" cy="2819400"/>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97500" cy="2819400"/>
                    </a:xfrm>
                    <a:prstGeom prst="rect">
                      <a:avLst/>
                    </a:prstGeom>
                    <a:noFill/>
                    <a:ln>
                      <a:noFill/>
                    </a:ln>
                  </pic:spPr>
                </pic:pic>
              </a:graphicData>
            </a:graphic>
          </wp:inline>
        </w:drawing>
      </w:r>
    </w:p>
    <w:p w:rsidR="00A64F47" w:rsidRDefault="00A64F47" w:rsidP="00A64F47">
      <w:pPr>
        <w:autoSpaceDE w:val="0"/>
        <w:autoSpaceDN w:val="0"/>
        <w:adjustRightInd w:val="0"/>
        <w:spacing w:after="0" w:line="240" w:lineRule="auto"/>
        <w:jc w:val="both"/>
        <w:rPr>
          <w:rFonts w:ascii="Times New Roman" w:eastAsia="MinionPro-Regular" w:hAnsi="Times New Roman" w:cs="Times New Roman"/>
          <w:sz w:val="20"/>
          <w:szCs w:val="20"/>
          <w:lang w:val="en-US"/>
        </w:rPr>
      </w:pPr>
      <w:r w:rsidRPr="00A64F47">
        <w:rPr>
          <w:rFonts w:ascii="Times New Roman" w:eastAsia="MinionPro-Regular" w:hAnsi="Times New Roman" w:cs="Times New Roman"/>
          <w:sz w:val="20"/>
          <w:szCs w:val="20"/>
          <w:lang w:val="en-US"/>
        </w:rPr>
        <w:t>Two of the three G20 members recording government surpluses in 2012 saw their levels of</w:t>
      </w:r>
      <w:r>
        <w:rPr>
          <w:rFonts w:ascii="Times New Roman" w:eastAsia="MinionPro-Regular" w:hAnsi="Times New Roman" w:cs="Times New Roman"/>
          <w:sz w:val="20"/>
          <w:szCs w:val="20"/>
          <w:lang w:val="en-US"/>
        </w:rPr>
        <w:t xml:space="preserve"> </w:t>
      </w:r>
      <w:r w:rsidRPr="00A64F47">
        <w:rPr>
          <w:rFonts w:ascii="Times New Roman" w:eastAsia="MinionPro-Regular" w:hAnsi="Times New Roman" w:cs="Times New Roman"/>
          <w:sz w:val="20"/>
          <w:szCs w:val="20"/>
          <w:lang w:val="en-US"/>
        </w:rPr>
        <w:t>debt fall between 2002 and 2012, namely Saudi Arabia and Russia. Other G20 countries wi</w:t>
      </w:r>
      <w:r>
        <w:rPr>
          <w:rFonts w:ascii="Times New Roman" w:eastAsia="MinionPro-Regular" w:hAnsi="Times New Roman" w:cs="Times New Roman"/>
          <w:sz w:val="20"/>
          <w:szCs w:val="20"/>
          <w:lang w:val="en-US"/>
        </w:rPr>
        <w:t xml:space="preserve">th </w:t>
      </w:r>
      <w:r w:rsidRPr="00A64F47">
        <w:rPr>
          <w:rFonts w:ascii="Times New Roman" w:eastAsia="MinionPro-Regular" w:hAnsi="Times New Roman" w:cs="Times New Roman"/>
          <w:sz w:val="20"/>
          <w:szCs w:val="20"/>
          <w:lang w:val="en-US"/>
        </w:rPr>
        <w:t>a lower ratio of general government gross debt to GDP in 201</w:t>
      </w:r>
      <w:r>
        <w:rPr>
          <w:rFonts w:ascii="Times New Roman" w:eastAsia="MinionPro-Regular" w:hAnsi="Times New Roman" w:cs="Times New Roman"/>
          <w:sz w:val="20"/>
          <w:szCs w:val="20"/>
          <w:lang w:val="en-US"/>
        </w:rPr>
        <w:t xml:space="preserve">2 than in 2002 included Brazil, </w:t>
      </w:r>
      <w:r w:rsidRPr="00A64F47">
        <w:rPr>
          <w:rFonts w:ascii="Times New Roman" w:eastAsia="MinionPro-Regular" w:hAnsi="Times New Roman" w:cs="Times New Roman"/>
          <w:sz w:val="20"/>
          <w:szCs w:val="20"/>
          <w:lang w:val="en-US"/>
        </w:rPr>
        <w:t>India, Turkey, Indonesia and Argentina. All the remaining</w:t>
      </w:r>
      <w:r>
        <w:rPr>
          <w:rFonts w:ascii="Times New Roman" w:eastAsia="MinionPro-Regular" w:hAnsi="Times New Roman" w:cs="Times New Roman"/>
          <w:sz w:val="20"/>
          <w:szCs w:val="20"/>
          <w:lang w:val="en-US"/>
        </w:rPr>
        <w:t xml:space="preserve"> G20 members shown in </w:t>
      </w:r>
      <w:r w:rsidRPr="00A64F47">
        <w:rPr>
          <w:rFonts w:ascii="Times New Roman" w:eastAsia="MinionPro-Regular" w:hAnsi="Times New Roman" w:cs="Times New Roman"/>
          <w:color w:val="FF0000"/>
          <w:sz w:val="20"/>
          <w:szCs w:val="20"/>
          <w:lang w:val="en-US"/>
        </w:rPr>
        <w:t xml:space="preserve">Table 6.1 </w:t>
      </w:r>
      <w:r w:rsidRPr="00A64F47">
        <w:rPr>
          <w:rFonts w:ascii="Times New Roman" w:eastAsia="MinionPro-Regular" w:hAnsi="Times New Roman" w:cs="Times New Roman"/>
          <w:sz w:val="20"/>
          <w:szCs w:val="20"/>
          <w:lang w:val="en-US"/>
        </w:rPr>
        <w:t>recorded higher general government gross debt relative to GDP in 2012 th</w:t>
      </w:r>
      <w:r>
        <w:rPr>
          <w:rFonts w:ascii="Times New Roman" w:eastAsia="MinionPro-Regular" w:hAnsi="Times New Roman" w:cs="Times New Roman"/>
          <w:sz w:val="20"/>
          <w:szCs w:val="20"/>
          <w:lang w:val="en-US"/>
        </w:rPr>
        <w:t xml:space="preserve">an in 2002, most </w:t>
      </w:r>
      <w:r w:rsidRPr="00A64F47">
        <w:rPr>
          <w:rFonts w:ascii="Times New Roman" w:eastAsia="MinionPro-Regular" w:hAnsi="Times New Roman" w:cs="Times New Roman"/>
          <w:sz w:val="20"/>
          <w:szCs w:val="20"/>
          <w:lang w:val="en-US"/>
        </w:rPr>
        <w:t>notably in Japan and the United States whose ratios of gro</w:t>
      </w:r>
      <w:r>
        <w:rPr>
          <w:rFonts w:ascii="Times New Roman" w:eastAsia="MinionPro-Regular" w:hAnsi="Times New Roman" w:cs="Times New Roman"/>
          <w:sz w:val="20"/>
          <w:szCs w:val="20"/>
          <w:lang w:val="en-US"/>
        </w:rPr>
        <w:t xml:space="preserve">ss debt to GDP passed 200 % and </w:t>
      </w:r>
      <w:r w:rsidRPr="00A64F47">
        <w:rPr>
          <w:rFonts w:ascii="Times New Roman" w:eastAsia="MinionPro-Regular" w:hAnsi="Times New Roman" w:cs="Times New Roman"/>
          <w:sz w:val="20"/>
          <w:szCs w:val="20"/>
          <w:lang w:val="en-US"/>
        </w:rPr>
        <w:t xml:space="preserve">100 % of GDP respectively. </w:t>
      </w:r>
      <w:r w:rsidRPr="00A64F47">
        <w:rPr>
          <w:rFonts w:ascii="Times New Roman" w:eastAsia="MinionPro-Regular" w:hAnsi="Times New Roman" w:cs="Times New Roman"/>
          <w:color w:val="FF0000"/>
          <w:sz w:val="20"/>
          <w:szCs w:val="20"/>
          <w:lang w:val="en-US"/>
        </w:rPr>
        <w:t xml:space="preserve">Figure 6.7 </w:t>
      </w:r>
      <w:r w:rsidRPr="00A64F47">
        <w:rPr>
          <w:rFonts w:ascii="Times New Roman" w:eastAsia="MinionPro-Regular" w:hAnsi="Times New Roman" w:cs="Times New Roman"/>
          <w:sz w:val="20"/>
          <w:szCs w:val="20"/>
          <w:lang w:val="en-US"/>
        </w:rPr>
        <w:t>provides an analysis of</w:t>
      </w:r>
      <w:r>
        <w:rPr>
          <w:rFonts w:ascii="Times New Roman" w:eastAsia="MinionPro-Regular" w:hAnsi="Times New Roman" w:cs="Times New Roman"/>
          <w:sz w:val="20"/>
          <w:szCs w:val="20"/>
          <w:lang w:val="en-US"/>
        </w:rPr>
        <w:t xml:space="preserve"> the change in government gross </w:t>
      </w:r>
      <w:r w:rsidRPr="00A64F47">
        <w:rPr>
          <w:rFonts w:ascii="Times New Roman" w:eastAsia="MinionPro-Regular" w:hAnsi="Times New Roman" w:cs="Times New Roman"/>
          <w:sz w:val="20"/>
          <w:szCs w:val="20"/>
          <w:lang w:val="en-US"/>
        </w:rPr>
        <w:t xml:space="preserve">debt levels between 2007 </w:t>
      </w:r>
      <w:r>
        <w:rPr>
          <w:rFonts w:ascii="Times New Roman" w:eastAsia="MinionPro-Regular" w:hAnsi="Times New Roman" w:cs="Times New Roman"/>
          <w:sz w:val="20"/>
          <w:szCs w:val="20"/>
          <w:lang w:val="en-US"/>
        </w:rPr>
        <w:t>-</w:t>
      </w:r>
      <w:r w:rsidRPr="00A64F47">
        <w:rPr>
          <w:rFonts w:ascii="Times New Roman" w:eastAsia="MinionPro-Regular" w:hAnsi="Times New Roman" w:cs="Times New Roman"/>
          <w:sz w:val="20"/>
          <w:szCs w:val="20"/>
          <w:lang w:val="en-US"/>
        </w:rPr>
        <w:t>just before the onset of th</w:t>
      </w:r>
      <w:r>
        <w:rPr>
          <w:rFonts w:ascii="Times New Roman" w:eastAsia="MinionPro-Regular" w:hAnsi="Times New Roman" w:cs="Times New Roman"/>
          <w:sz w:val="20"/>
          <w:szCs w:val="20"/>
          <w:lang w:val="en-US"/>
        </w:rPr>
        <w:t xml:space="preserve">e financial and economic crisis- and </w:t>
      </w:r>
      <w:r w:rsidRPr="00A64F47">
        <w:rPr>
          <w:rFonts w:ascii="Times New Roman" w:eastAsia="MinionPro-Regular" w:hAnsi="Times New Roman" w:cs="Times New Roman"/>
          <w:sz w:val="20"/>
          <w:szCs w:val="20"/>
          <w:lang w:val="en-US"/>
        </w:rPr>
        <w:t>2012. During this period, government debt relative to GDP fe</w:t>
      </w:r>
      <w:r>
        <w:rPr>
          <w:rFonts w:ascii="Times New Roman" w:eastAsia="MinionPro-Regular" w:hAnsi="Times New Roman" w:cs="Times New Roman"/>
          <w:sz w:val="20"/>
          <w:szCs w:val="20"/>
          <w:lang w:val="en-US"/>
        </w:rPr>
        <w:t xml:space="preserve">ll in Turkey, India, Indonesia, </w:t>
      </w:r>
      <w:r w:rsidRPr="00A64F47">
        <w:rPr>
          <w:rFonts w:ascii="Times New Roman" w:eastAsia="MinionPro-Regular" w:hAnsi="Times New Roman" w:cs="Times New Roman"/>
          <w:sz w:val="20"/>
          <w:szCs w:val="20"/>
          <w:lang w:val="en-US"/>
        </w:rPr>
        <w:t>Saudi Arabia and Argentina, while it increased in all other G</w:t>
      </w:r>
      <w:r>
        <w:rPr>
          <w:rFonts w:ascii="Times New Roman" w:eastAsia="MinionPro-Regular" w:hAnsi="Times New Roman" w:cs="Times New Roman"/>
          <w:sz w:val="20"/>
          <w:szCs w:val="20"/>
          <w:lang w:val="en-US"/>
        </w:rPr>
        <w:t xml:space="preserve">20 members, most notably in the </w:t>
      </w:r>
      <w:r w:rsidRPr="00A64F47">
        <w:rPr>
          <w:rFonts w:ascii="Times New Roman" w:eastAsia="MinionPro-Regular" w:hAnsi="Times New Roman" w:cs="Times New Roman"/>
          <w:sz w:val="20"/>
          <w:szCs w:val="20"/>
          <w:lang w:val="en-US"/>
        </w:rPr>
        <w:t>Unite</w:t>
      </w:r>
      <w:r>
        <w:rPr>
          <w:rFonts w:ascii="Times New Roman" w:eastAsia="MinionPro-Regular" w:hAnsi="Times New Roman" w:cs="Times New Roman"/>
          <w:sz w:val="20"/>
          <w:szCs w:val="20"/>
          <w:lang w:val="en-US"/>
        </w:rPr>
        <w:t xml:space="preserve">d </w:t>
      </w:r>
      <w:r w:rsidRPr="00A64F47">
        <w:rPr>
          <w:rFonts w:ascii="Times New Roman" w:eastAsia="MinionPro-Regular" w:hAnsi="Times New Roman" w:cs="Times New Roman"/>
          <w:sz w:val="20"/>
          <w:szCs w:val="20"/>
          <w:lang w:val="en-US"/>
        </w:rPr>
        <w:t>States and Japan.</w:t>
      </w:r>
    </w:p>
    <w:p w:rsidR="00A64F47" w:rsidRDefault="00A64F47" w:rsidP="00A64F47">
      <w:pPr>
        <w:autoSpaceDE w:val="0"/>
        <w:autoSpaceDN w:val="0"/>
        <w:adjustRightInd w:val="0"/>
        <w:spacing w:after="0" w:line="240" w:lineRule="auto"/>
        <w:jc w:val="both"/>
        <w:rPr>
          <w:rFonts w:ascii="Times New Roman" w:eastAsia="MinionPro-Regular" w:hAnsi="Times New Roman" w:cs="Times New Roman"/>
          <w:sz w:val="20"/>
          <w:szCs w:val="20"/>
          <w:lang w:val="en-US"/>
        </w:rPr>
      </w:pPr>
    </w:p>
    <w:p w:rsidR="00A64F47" w:rsidRDefault="00A64F47" w:rsidP="00A64F47">
      <w:pPr>
        <w:autoSpaceDE w:val="0"/>
        <w:autoSpaceDN w:val="0"/>
        <w:adjustRightInd w:val="0"/>
        <w:spacing w:after="0" w:line="240" w:lineRule="auto"/>
        <w:jc w:val="both"/>
        <w:rPr>
          <w:rFonts w:ascii="Times New Roman" w:eastAsia="MinionPro-Regular" w:hAnsi="Times New Roman" w:cs="Times New Roman"/>
          <w:sz w:val="20"/>
          <w:szCs w:val="20"/>
          <w:lang w:val="en-US"/>
        </w:rPr>
      </w:pPr>
    </w:p>
    <w:p w:rsidR="00A64F47" w:rsidRPr="00A64F47" w:rsidRDefault="00A64F47" w:rsidP="00A64F47">
      <w:pPr>
        <w:autoSpaceDE w:val="0"/>
        <w:autoSpaceDN w:val="0"/>
        <w:adjustRightInd w:val="0"/>
        <w:spacing w:after="0" w:line="240" w:lineRule="auto"/>
        <w:jc w:val="both"/>
        <w:rPr>
          <w:rFonts w:ascii="Times New Roman" w:eastAsia="MinionPro-Regular" w:hAnsi="Times New Roman" w:cs="Times New Roman"/>
          <w:sz w:val="20"/>
          <w:szCs w:val="20"/>
          <w:lang w:val="en-US"/>
        </w:rPr>
        <w:sectPr w:rsidR="00A64F47" w:rsidRPr="00A64F47" w:rsidSect="00FD5AE7">
          <w:pgSz w:w="11906" w:h="16838"/>
          <w:pgMar w:top="1418" w:right="1701" w:bottom="1418" w:left="1701" w:header="709" w:footer="709" w:gutter="0"/>
          <w:cols w:space="708"/>
          <w:docGrid w:linePitch="360"/>
        </w:sectPr>
      </w:pPr>
      <w:r>
        <w:rPr>
          <w:rFonts w:ascii="Times New Roman" w:eastAsia="MinionPro-Regular" w:hAnsi="Times New Roman" w:cs="Times New Roman"/>
          <w:noProof/>
          <w:sz w:val="20"/>
          <w:szCs w:val="20"/>
          <w:lang w:eastAsia="es-ES"/>
        </w:rPr>
        <w:drawing>
          <wp:inline distT="0" distB="0" distL="0" distR="0">
            <wp:extent cx="5397500" cy="339725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97500" cy="3397250"/>
                    </a:xfrm>
                    <a:prstGeom prst="rect">
                      <a:avLst/>
                    </a:prstGeom>
                    <a:noFill/>
                    <a:ln>
                      <a:noFill/>
                    </a:ln>
                  </pic:spPr>
                </pic:pic>
              </a:graphicData>
            </a:graphic>
          </wp:inline>
        </w:drawing>
      </w:r>
    </w:p>
    <w:p w:rsidR="000A7ADD" w:rsidRDefault="000A7ADD" w:rsidP="000A7ADD">
      <w:pPr>
        <w:spacing w:line="240" w:lineRule="auto"/>
        <w:jc w:val="both"/>
        <w:rPr>
          <w:rFonts w:ascii="Times New Roman" w:hAnsi="Times New Roman"/>
          <w:sz w:val="20"/>
          <w:szCs w:val="20"/>
          <w:lang w:val="en-US"/>
        </w:rPr>
      </w:pPr>
    </w:p>
    <w:p w:rsidR="00F04D04" w:rsidRPr="009A2926" w:rsidRDefault="00F04D04" w:rsidP="009A2926">
      <w:pPr>
        <w:pStyle w:val="NormalWeb"/>
        <w:jc w:val="both"/>
      </w:pPr>
      <w:r>
        <w:rPr>
          <w:b/>
        </w:rPr>
        <w:t>Anexo</w:t>
      </w:r>
      <w:r w:rsidR="009A2926">
        <w:rPr>
          <w:b/>
        </w:rPr>
        <w:t xml:space="preserve"> </w:t>
      </w:r>
      <w:r>
        <w:rPr>
          <w:b/>
        </w:rPr>
        <w:t>- “</w:t>
      </w:r>
      <w:r w:rsidRPr="00F04D04">
        <w:rPr>
          <w:b/>
        </w:rPr>
        <w:t>Last minute</w:t>
      </w:r>
      <w:r>
        <w:rPr>
          <w:b/>
        </w:rPr>
        <w:t>”</w:t>
      </w:r>
      <w:r w:rsidRPr="00F04D04">
        <w:rPr>
          <w:b/>
        </w:rPr>
        <w:t>: A qué se destinan los impuestos</w:t>
      </w:r>
      <w:r w:rsidR="00C910E2">
        <w:rPr>
          <w:b/>
        </w:rPr>
        <w:t xml:space="preserve"> en la Unión Europea</w:t>
      </w:r>
      <w:r>
        <w:t xml:space="preserve"> </w:t>
      </w:r>
      <w:r w:rsidRPr="009A2926">
        <w:t xml:space="preserve">(Fuente: Cinco Días  - </w:t>
      </w:r>
      <w:r w:rsidRPr="009A2926">
        <w:rPr>
          <w:b/>
        </w:rPr>
        <w:t>27/10/14</w:t>
      </w:r>
      <w:r w:rsidRPr="009A2926">
        <w:t>)</w:t>
      </w:r>
    </w:p>
    <w:p w:rsidR="000A7ADD" w:rsidRDefault="00F04D04" w:rsidP="000A7ADD">
      <w:pPr>
        <w:spacing w:line="240" w:lineRule="auto"/>
        <w:jc w:val="both"/>
        <w:rPr>
          <w:rFonts w:ascii="Times New Roman" w:hAnsi="Times New Roman"/>
          <w:b/>
          <w:sz w:val="24"/>
          <w:szCs w:val="24"/>
          <w:lang w:val="en-US"/>
        </w:rPr>
      </w:pPr>
      <w:r>
        <w:rPr>
          <w:noProof/>
          <w:lang w:eastAsia="es-ES"/>
        </w:rPr>
        <w:drawing>
          <wp:inline distT="0" distB="0" distL="0" distR="0" wp14:anchorId="4CB8FB36" wp14:editId="6F8A3030">
            <wp:extent cx="8585200" cy="4387850"/>
            <wp:effectExtent l="0" t="0" r="6350" b="0"/>
            <wp:docPr id="19" name="Imagen 19" descr="http://cincodias.com/especiales/infografia/141027_ingresos_gastos/WEB_Ingresos_Gast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incodias.com/especiales/infografia/141027_ingresos_gastos/WEB_Ingresos_Gastos.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8585200" cy="4387850"/>
                    </a:xfrm>
                    <a:prstGeom prst="rect">
                      <a:avLst/>
                    </a:prstGeom>
                    <a:noFill/>
                    <a:ln>
                      <a:noFill/>
                    </a:ln>
                  </pic:spPr>
                </pic:pic>
              </a:graphicData>
            </a:graphic>
          </wp:inline>
        </w:drawing>
      </w:r>
    </w:p>
    <w:p w:rsidR="009A2926" w:rsidRDefault="00F04D04" w:rsidP="000A7ADD">
      <w:pPr>
        <w:spacing w:line="240" w:lineRule="auto"/>
        <w:jc w:val="both"/>
        <w:rPr>
          <w:rFonts w:ascii="Times New Roman" w:hAnsi="Times New Roman"/>
          <w:b/>
          <w:sz w:val="24"/>
          <w:szCs w:val="24"/>
          <w:lang w:val="en-US"/>
        </w:rPr>
      </w:pPr>
      <w:r>
        <w:rPr>
          <w:rFonts w:ascii="Arial" w:hAnsi="Arial" w:cs="Arial"/>
          <w:noProof/>
          <w:color w:val="000000"/>
          <w:sz w:val="15"/>
          <w:szCs w:val="15"/>
          <w:lang w:eastAsia="es-ES"/>
        </w:rPr>
        <w:lastRenderedPageBreak/>
        <w:drawing>
          <wp:inline distT="0" distB="0" distL="0" distR="0" wp14:anchorId="23679F05" wp14:editId="594C46C6">
            <wp:extent cx="7886700" cy="4591050"/>
            <wp:effectExtent l="0" t="0" r="0" b="0"/>
            <wp:docPr id="81" name="Imagen 81" descr="http://cincodias.com/cincodias/imagenes/2014/10/24/economia/1414166543_381094_1414183070_sumario_gra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http://cincodias.com/cincodias/imagenes/2014/10/24/economia/1414166543_381094_1414183070_sumario_grande.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7886700" cy="4591050"/>
                    </a:xfrm>
                    <a:prstGeom prst="rect">
                      <a:avLst/>
                    </a:prstGeom>
                    <a:noFill/>
                    <a:ln>
                      <a:noFill/>
                    </a:ln>
                  </pic:spPr>
                </pic:pic>
              </a:graphicData>
            </a:graphic>
          </wp:inline>
        </w:drawing>
      </w:r>
    </w:p>
    <w:p w:rsidR="000B5E18" w:rsidRDefault="00C910E2" w:rsidP="000A7ADD">
      <w:pPr>
        <w:spacing w:line="240" w:lineRule="auto"/>
        <w:jc w:val="both"/>
        <w:rPr>
          <w:rFonts w:ascii="Times New Roman" w:hAnsi="Times New Roman"/>
          <w:sz w:val="20"/>
          <w:szCs w:val="20"/>
        </w:rPr>
      </w:pPr>
      <w:r>
        <w:rPr>
          <w:rFonts w:ascii="Times New Roman" w:hAnsi="Times New Roman"/>
          <w:sz w:val="20"/>
          <w:szCs w:val="20"/>
        </w:rPr>
        <w:t>Nota: Se presenta</w:t>
      </w:r>
      <w:r w:rsidR="00F41821" w:rsidRPr="00F41821">
        <w:rPr>
          <w:rFonts w:ascii="Times New Roman" w:hAnsi="Times New Roman"/>
          <w:sz w:val="20"/>
          <w:szCs w:val="20"/>
        </w:rPr>
        <w:t xml:space="preserve"> el Grafico sobre las cuentas públicas en España como</w:t>
      </w:r>
      <w:r>
        <w:rPr>
          <w:rFonts w:ascii="Times New Roman" w:hAnsi="Times New Roman"/>
          <w:sz w:val="20"/>
          <w:szCs w:val="20"/>
        </w:rPr>
        <w:t xml:space="preserve"> la “crónica de un</w:t>
      </w:r>
      <w:r w:rsidR="00F41821" w:rsidRPr="00F41821">
        <w:rPr>
          <w:rFonts w:ascii="Times New Roman" w:hAnsi="Times New Roman"/>
          <w:sz w:val="20"/>
          <w:szCs w:val="20"/>
        </w:rPr>
        <w:t xml:space="preserve"> esperpento”. Más allá de las f</w:t>
      </w:r>
      <w:r w:rsidR="003845F3">
        <w:rPr>
          <w:rFonts w:ascii="Times New Roman" w:hAnsi="Times New Roman"/>
          <w:sz w:val="20"/>
          <w:szCs w:val="20"/>
        </w:rPr>
        <w:t>alsas promesas (y timos fiscales</w:t>
      </w:r>
      <w:r w:rsidR="00F41821" w:rsidRPr="00F41821">
        <w:rPr>
          <w:rFonts w:ascii="Times New Roman" w:hAnsi="Times New Roman"/>
          <w:sz w:val="20"/>
          <w:szCs w:val="20"/>
        </w:rPr>
        <w:t>), un déficit de más del 6% en 2013,</w:t>
      </w:r>
      <w:r w:rsidR="00EE3E85">
        <w:rPr>
          <w:rFonts w:ascii="Times New Roman" w:hAnsi="Times New Roman"/>
          <w:sz w:val="20"/>
          <w:szCs w:val="20"/>
        </w:rPr>
        <w:t xml:space="preserve"> es muy difícil de llevar </w:t>
      </w:r>
      <w:r w:rsidR="00F41821" w:rsidRPr="00F41821">
        <w:rPr>
          <w:rFonts w:ascii="Times New Roman" w:hAnsi="Times New Roman"/>
          <w:sz w:val="20"/>
          <w:szCs w:val="20"/>
        </w:rPr>
        <w:t xml:space="preserve"> al </w:t>
      </w:r>
      <w:r w:rsidR="00EE3E85">
        <w:rPr>
          <w:rFonts w:ascii="Times New Roman" w:hAnsi="Times New Roman"/>
          <w:sz w:val="20"/>
          <w:szCs w:val="20"/>
        </w:rPr>
        <w:t>-</w:t>
      </w:r>
      <w:r w:rsidR="00F41821" w:rsidRPr="00F41821">
        <w:rPr>
          <w:rFonts w:ascii="Times New Roman" w:hAnsi="Times New Roman"/>
          <w:sz w:val="20"/>
          <w:szCs w:val="20"/>
        </w:rPr>
        <w:t>1% en 2017</w:t>
      </w:r>
      <w:r w:rsidR="00EE3E85">
        <w:rPr>
          <w:rFonts w:ascii="Times New Roman" w:hAnsi="Times New Roman"/>
          <w:sz w:val="20"/>
          <w:szCs w:val="20"/>
        </w:rPr>
        <w:t xml:space="preserve"> (</w:t>
      </w:r>
      <w:r w:rsidR="000B5E18">
        <w:rPr>
          <w:rFonts w:ascii="Times New Roman" w:hAnsi="Times New Roman"/>
          <w:sz w:val="20"/>
          <w:szCs w:val="20"/>
        </w:rPr>
        <w:t xml:space="preserve">sin una </w:t>
      </w:r>
      <w:r w:rsidR="00F41821">
        <w:rPr>
          <w:rFonts w:ascii="Times New Roman" w:hAnsi="Times New Roman"/>
          <w:sz w:val="20"/>
          <w:szCs w:val="20"/>
        </w:rPr>
        <w:t>“drástica”</w:t>
      </w:r>
      <w:r w:rsidR="000B5E18">
        <w:rPr>
          <w:rFonts w:ascii="Times New Roman" w:hAnsi="Times New Roman"/>
          <w:sz w:val="20"/>
          <w:szCs w:val="20"/>
        </w:rPr>
        <w:t xml:space="preserve"> reducción</w:t>
      </w:r>
      <w:r w:rsidR="00F41821">
        <w:rPr>
          <w:rFonts w:ascii="Times New Roman" w:hAnsi="Times New Roman"/>
          <w:sz w:val="20"/>
          <w:szCs w:val="20"/>
        </w:rPr>
        <w:t xml:space="preserve"> del aparato del Estado</w:t>
      </w:r>
      <w:r>
        <w:rPr>
          <w:rFonts w:ascii="Times New Roman" w:hAnsi="Times New Roman"/>
          <w:sz w:val="20"/>
          <w:szCs w:val="20"/>
        </w:rPr>
        <w:t>, cosa a la que se niegan los sectores que se benefician del mismo</w:t>
      </w:r>
      <w:r w:rsidR="000B5E18">
        <w:rPr>
          <w:rFonts w:ascii="Times New Roman" w:hAnsi="Times New Roman"/>
          <w:sz w:val="20"/>
          <w:szCs w:val="20"/>
        </w:rPr>
        <w:t>, tanto del sector público como del privado</w:t>
      </w:r>
      <w:r w:rsidR="00EE3E85">
        <w:rPr>
          <w:rFonts w:ascii="Times New Roman" w:hAnsi="Times New Roman"/>
          <w:sz w:val="20"/>
          <w:szCs w:val="20"/>
        </w:rPr>
        <w:t>)</w:t>
      </w:r>
      <w:r w:rsidR="00F41821" w:rsidRPr="00F41821">
        <w:rPr>
          <w:rFonts w:ascii="Times New Roman" w:hAnsi="Times New Roman"/>
          <w:sz w:val="20"/>
          <w:szCs w:val="20"/>
        </w:rPr>
        <w:t>, ni siquiera con la ayuda</w:t>
      </w:r>
      <w:r>
        <w:rPr>
          <w:rFonts w:ascii="Times New Roman" w:hAnsi="Times New Roman"/>
          <w:sz w:val="20"/>
          <w:szCs w:val="20"/>
        </w:rPr>
        <w:t xml:space="preserve"> de la Unión Europea</w:t>
      </w:r>
      <w:r w:rsidR="00F41821">
        <w:rPr>
          <w:rFonts w:ascii="Times New Roman" w:hAnsi="Times New Roman"/>
          <w:sz w:val="20"/>
          <w:szCs w:val="20"/>
        </w:rPr>
        <w:t xml:space="preserve"> y</w:t>
      </w:r>
      <w:r>
        <w:rPr>
          <w:rFonts w:ascii="Times New Roman" w:hAnsi="Times New Roman"/>
          <w:sz w:val="20"/>
          <w:szCs w:val="20"/>
        </w:rPr>
        <w:t xml:space="preserve"> de Todos los Santos del Cielo. </w:t>
      </w:r>
      <w:r w:rsidR="003845F3">
        <w:rPr>
          <w:rFonts w:ascii="Times New Roman" w:hAnsi="Times New Roman"/>
          <w:sz w:val="20"/>
          <w:szCs w:val="20"/>
        </w:rPr>
        <w:t xml:space="preserve"> La ficción (banal) de unos “payasos asesinos”.</w:t>
      </w:r>
    </w:p>
    <w:p w:rsidR="003845F3" w:rsidRPr="00F41821" w:rsidRDefault="003845F3" w:rsidP="000A7ADD">
      <w:pPr>
        <w:spacing w:line="240" w:lineRule="auto"/>
        <w:jc w:val="both"/>
        <w:rPr>
          <w:rFonts w:ascii="Times New Roman" w:hAnsi="Times New Roman"/>
          <w:sz w:val="20"/>
          <w:szCs w:val="20"/>
        </w:rPr>
        <w:sectPr w:rsidR="003845F3" w:rsidRPr="00F41821" w:rsidSect="009A2926">
          <w:pgSz w:w="16838" w:h="11906" w:orient="landscape"/>
          <w:pgMar w:top="1701" w:right="1418" w:bottom="1701" w:left="1418" w:header="709" w:footer="709" w:gutter="0"/>
          <w:cols w:space="708"/>
          <w:docGrid w:linePitch="360"/>
        </w:sectPr>
      </w:pPr>
    </w:p>
    <w:p w:rsidR="00F04D04" w:rsidRDefault="00FC718A" w:rsidP="00FC718A">
      <w:pPr>
        <w:spacing w:line="240" w:lineRule="auto"/>
        <w:jc w:val="both"/>
        <w:rPr>
          <w:rFonts w:ascii="Times New Roman" w:hAnsi="Times New Roman"/>
          <w:b/>
          <w:sz w:val="24"/>
          <w:szCs w:val="24"/>
        </w:rPr>
      </w:pPr>
      <w:r>
        <w:rPr>
          <w:rFonts w:ascii="Times New Roman" w:hAnsi="Times New Roman"/>
          <w:b/>
          <w:sz w:val="24"/>
          <w:szCs w:val="24"/>
        </w:rPr>
        <w:lastRenderedPageBreak/>
        <w:t xml:space="preserve">- </w:t>
      </w:r>
      <w:r w:rsidRPr="00FC718A">
        <w:rPr>
          <w:rFonts w:ascii="Times New Roman" w:hAnsi="Times New Roman"/>
          <w:b/>
          <w:sz w:val="24"/>
          <w:szCs w:val="24"/>
        </w:rPr>
        <w:t>Trade in goods (no muy “good”</w:t>
      </w:r>
      <w:r w:rsidR="005E7CE7">
        <w:rPr>
          <w:rFonts w:ascii="Times New Roman" w:hAnsi="Times New Roman"/>
          <w:b/>
          <w:sz w:val="24"/>
          <w:szCs w:val="24"/>
        </w:rPr>
        <w:t xml:space="preserve"> que digamos</w:t>
      </w:r>
      <w:r w:rsidRPr="00FC718A">
        <w:rPr>
          <w:rFonts w:ascii="Times New Roman" w:hAnsi="Times New Roman"/>
          <w:b/>
          <w:sz w:val="24"/>
          <w:szCs w:val="24"/>
        </w:rPr>
        <w:t>)</w:t>
      </w:r>
      <w:r>
        <w:rPr>
          <w:rFonts w:ascii="Times New Roman" w:hAnsi="Times New Roman"/>
          <w:b/>
          <w:sz w:val="24"/>
          <w:szCs w:val="24"/>
        </w:rPr>
        <w:t>: la madre de todas las batallas</w:t>
      </w:r>
    </w:p>
    <w:p w:rsidR="00FC718A" w:rsidRDefault="00FC718A" w:rsidP="00FC718A">
      <w:pPr>
        <w:spacing w:line="240" w:lineRule="auto"/>
        <w:jc w:val="both"/>
        <w:rPr>
          <w:rFonts w:ascii="Times New Roman" w:hAnsi="Times New Roman"/>
          <w:sz w:val="24"/>
          <w:szCs w:val="24"/>
        </w:rPr>
      </w:pPr>
      <w:r>
        <w:rPr>
          <w:rFonts w:ascii="Times New Roman" w:hAnsi="Times New Roman"/>
          <w:sz w:val="24"/>
          <w:szCs w:val="24"/>
        </w:rPr>
        <w:t>Este es el tema central del Paper, la excesiva dependencia de las exportaciones que tiene Alemania y el condicionamiento q</w:t>
      </w:r>
      <w:r w:rsidR="002C2334">
        <w:rPr>
          <w:rFonts w:ascii="Times New Roman" w:hAnsi="Times New Roman"/>
          <w:sz w:val="24"/>
          <w:szCs w:val="24"/>
        </w:rPr>
        <w:t>ue esa situación provoca</w:t>
      </w:r>
      <w:r>
        <w:rPr>
          <w:rFonts w:ascii="Times New Roman" w:hAnsi="Times New Roman"/>
          <w:sz w:val="24"/>
          <w:szCs w:val="24"/>
        </w:rPr>
        <w:t xml:space="preserve"> sobre la evolución y desarrollo</w:t>
      </w:r>
      <w:r w:rsidR="002C2334">
        <w:rPr>
          <w:rFonts w:ascii="Times New Roman" w:hAnsi="Times New Roman"/>
          <w:sz w:val="24"/>
          <w:szCs w:val="24"/>
        </w:rPr>
        <w:t xml:space="preserve"> económico</w:t>
      </w:r>
      <w:r w:rsidR="00C15AD8">
        <w:rPr>
          <w:rFonts w:ascii="Times New Roman" w:hAnsi="Times New Roman"/>
          <w:sz w:val="24"/>
          <w:szCs w:val="24"/>
        </w:rPr>
        <w:t xml:space="preserve"> de gran parte de</w:t>
      </w:r>
      <w:r>
        <w:rPr>
          <w:rFonts w:ascii="Times New Roman" w:hAnsi="Times New Roman"/>
          <w:sz w:val="24"/>
          <w:szCs w:val="24"/>
        </w:rPr>
        <w:t xml:space="preserve"> países miembros de la Unión Europea</w:t>
      </w:r>
      <w:r w:rsidR="002C2334">
        <w:rPr>
          <w:rFonts w:ascii="Times New Roman" w:hAnsi="Times New Roman"/>
          <w:sz w:val="24"/>
          <w:szCs w:val="24"/>
        </w:rPr>
        <w:t>.</w:t>
      </w:r>
    </w:p>
    <w:p w:rsidR="00E5547A" w:rsidRPr="009064A7" w:rsidRDefault="00E5547A" w:rsidP="00E5547A">
      <w:pPr>
        <w:pStyle w:val="NormalWeb"/>
        <w:jc w:val="both"/>
      </w:pPr>
      <w:r w:rsidRPr="009064A7">
        <w:t>No es un problema de estadísticas y de décimas de PIB arriba o abajo, el asunto es de mayor enjundia y consiste en contemplar cómo se ha ido deteriorando la economía de los diferentes países y cómo la deuda pública ha ido creciendo para suplir la falta de recursos provenientes de la producción de bienes y servicios.</w:t>
      </w:r>
    </w:p>
    <w:p w:rsidR="00E5547A" w:rsidRPr="009064A7" w:rsidRDefault="00E5547A" w:rsidP="00E5547A">
      <w:pPr>
        <w:pStyle w:val="NormalWeb"/>
        <w:jc w:val="both"/>
      </w:pPr>
      <w:r w:rsidRPr="009064A7">
        <w:t>En realidad, se están recogiendo los frutos amargos de un modelo instaurado a principios de los años 90, incapaz de enfrentarse, con posibilidades de éxito, a la conjunción de dos factores perversos para el desarrollo económico y la estabilidad social: la preeminencia casi absoluta del mercado financiero y la desertización industrial. Si además de eso los Estados y sus gobiernos se empeñan en recurrir a la deuda para rehuir la ordenación de sus modelos productivos y la administración rigurosa de sus recursos, llegamos ineluctablemente a la situación en que estamos, llámese parálisis, estancamiento, recesión o como se quiera expresar. Y, desgraciadamente, no se sale de ello con las políticas conocidas.</w:t>
      </w:r>
    </w:p>
    <w:p w:rsidR="00E5547A" w:rsidRDefault="00E5547A" w:rsidP="00E5547A">
      <w:pPr>
        <w:pStyle w:val="NormalWeb"/>
        <w:jc w:val="both"/>
      </w:pPr>
      <w:r w:rsidRPr="009064A7">
        <w:t>Por más que se intenta buscar explicaciones racionales a lo que sucede, no hay manera de conseguirlas: seguimos oyendo la retahíla de lugares comunes, normalmente de carácter financiero o de exaltación de los recortes sociales, bajo el eufemismo de las reformas estructurales, con la ausencia llamativa de planes de inversión y de protección de lo que va quedando de los sectores productivos europeos. Lo único claro es la perseverancia en el empobrecimiento y el aumento de la desigualdad que resulta fácil predecir adónde nos conducirán, porque no hace falta recurrir a los augures pa</w:t>
      </w:r>
      <w:r w:rsidR="001106A9">
        <w:t>ra afirmar que los que dirigen E</w:t>
      </w:r>
      <w:r w:rsidRPr="009064A7">
        <w:t>urolandia trabajan con ahínco para arruinarla, a pesar de sus protestas constantes de fe en ella. Lo malo es que no serán ellos los que paguen, seremos nosotros, los ciudadanos contribuyentes.</w:t>
      </w:r>
    </w:p>
    <w:p w:rsidR="00545EE4" w:rsidRPr="00545EE4" w:rsidRDefault="00545EE4" w:rsidP="00545EE4">
      <w:pPr>
        <w:spacing w:line="240" w:lineRule="auto"/>
        <w:jc w:val="both"/>
        <w:rPr>
          <w:rFonts w:ascii="Times New Roman" w:hAnsi="Times New Roman"/>
          <w:sz w:val="24"/>
          <w:szCs w:val="24"/>
          <w:u w:val="single"/>
        </w:rPr>
      </w:pPr>
      <w:r w:rsidRPr="00545EE4">
        <w:rPr>
          <w:rFonts w:ascii="Times New Roman" w:hAnsi="Times New Roman"/>
          <w:sz w:val="24"/>
          <w:szCs w:val="24"/>
          <w:u w:val="single"/>
        </w:rPr>
        <w:t>Europa, como los cobardes (según Gandhi) está muriendo muchas veces antes de morir</w:t>
      </w:r>
    </w:p>
    <w:p w:rsidR="00472495" w:rsidRDefault="00472495" w:rsidP="00472495">
      <w:pPr>
        <w:pStyle w:val="NormalWeb"/>
        <w:jc w:val="both"/>
      </w:pPr>
      <w:r>
        <w:rPr>
          <w:i/>
          <w:color w:val="000000"/>
        </w:rPr>
        <w:t>“</w:t>
      </w:r>
      <w:r w:rsidRPr="00472495">
        <w:rPr>
          <w:i/>
          <w:color w:val="000000"/>
        </w:rPr>
        <w:t>Hay que saber que el éxito de un Estado no está ligado necesariamente al fracaso de otro. Los problemas de unos acaban siendo los problemas de todos. Esta es la base del principio que rige la UE</w:t>
      </w:r>
      <w:r>
        <w:rPr>
          <w:i/>
          <w:color w:val="000000"/>
        </w:rPr>
        <w:t>”..</w:t>
      </w:r>
      <w:r>
        <w:rPr>
          <w:color w:val="000000"/>
        </w:rPr>
        <w:t xml:space="preserve">. </w:t>
      </w:r>
      <w:r w:rsidRPr="009064A7">
        <w:t xml:space="preserve">Wolfgang </w:t>
      </w:r>
      <w:r w:rsidRPr="00351B3B">
        <w:t>Schäuble (El</w:t>
      </w:r>
      <w:r>
        <w:t xml:space="preserve"> Economista - </w:t>
      </w:r>
      <w:r w:rsidRPr="00EF401E">
        <w:t>Les Echos</w:t>
      </w:r>
      <w:r>
        <w:t xml:space="preserve"> - </w:t>
      </w:r>
      <w:r w:rsidRPr="00EF401E">
        <w:rPr>
          <w:b/>
        </w:rPr>
        <w:t>28/10/14</w:t>
      </w:r>
      <w:r>
        <w:t>)</w:t>
      </w:r>
    </w:p>
    <w:p w:rsidR="00472495" w:rsidRPr="001C2A8E" w:rsidRDefault="00472495" w:rsidP="00472495">
      <w:pPr>
        <w:pStyle w:val="NormalWeb"/>
        <w:jc w:val="both"/>
        <w:rPr>
          <w:color w:val="000000"/>
        </w:rPr>
      </w:pPr>
      <w:r w:rsidRPr="001C2A8E">
        <w:rPr>
          <w:color w:val="000000"/>
        </w:rPr>
        <w:t>Europa vuelve a dar un espectáculo económico lamentable. En los últimos cinco años la zona euro ha sufrido ya dos recesiones y, por increíble que parezca, nadie descarta una tercera. Los mayores temores llegan ante la ralentización de la economía alemana. Desde el mes de agosto</w:t>
      </w:r>
      <w:r w:rsidR="009064A7">
        <w:rPr>
          <w:color w:val="000000"/>
        </w:rPr>
        <w:t xml:space="preserve"> (2014)</w:t>
      </w:r>
      <w:r w:rsidRPr="001C2A8E">
        <w:rPr>
          <w:color w:val="000000"/>
        </w:rPr>
        <w:t>, casi todo son malas noticias desde Berlín: se ha reducido la pre</w:t>
      </w:r>
      <w:r w:rsidR="009064A7">
        <w:rPr>
          <w:color w:val="000000"/>
        </w:rPr>
        <w:t xml:space="preserve">visión de crecimiento para el </w:t>
      </w:r>
      <w:r w:rsidRPr="001C2A8E">
        <w:rPr>
          <w:color w:val="000000"/>
        </w:rPr>
        <w:t>año</w:t>
      </w:r>
      <w:r w:rsidR="009064A7">
        <w:rPr>
          <w:color w:val="000000"/>
        </w:rPr>
        <w:t xml:space="preserve"> (2014)</w:t>
      </w:r>
      <w:r w:rsidRPr="001C2A8E">
        <w:rPr>
          <w:color w:val="000000"/>
        </w:rPr>
        <w:t xml:space="preserve"> hasta el 1,2%; el índice de confianza de los inversores teutones está en su mínimo de dos años, y la de su empresariado, en niveles de plena recesión. Hasta la quintaesencia del milagro alemán da malas señales: las exportacion</w:t>
      </w:r>
      <w:r>
        <w:rPr>
          <w:color w:val="000000"/>
        </w:rPr>
        <w:t>es están en mínimos desde 2009.</w:t>
      </w:r>
    </w:p>
    <w:p w:rsidR="00472495" w:rsidRPr="001C2A8E" w:rsidRDefault="00472495" w:rsidP="00472495">
      <w:pPr>
        <w:pStyle w:val="NormalWeb"/>
        <w:jc w:val="both"/>
        <w:rPr>
          <w:color w:val="000000"/>
        </w:rPr>
      </w:pPr>
      <w:r w:rsidRPr="001C2A8E">
        <w:rPr>
          <w:color w:val="000000"/>
        </w:rPr>
        <w:t xml:space="preserve">Cinco años después, resulta obvio decir que el plan no ha funcionado. Lo que varían son las razones a las que se apunta para explicar el fallo. Para los estimuladores, </w:t>
      </w:r>
      <w:r w:rsidRPr="001C2A8E">
        <w:rPr>
          <w:color w:val="000000"/>
        </w:rPr>
        <w:lastRenderedPageBreak/>
        <w:t>simplemente se ha seguido el plan equivocado: al querer reducir el déficit demasiado rápido, precisamente han aumentado el déficit y el desempleo y se ha frenado la economía. Hay que estimular la economía hoy mejor que mañana, apuntan los</w:t>
      </w:r>
      <w:r w:rsidR="009064A7">
        <w:rPr>
          <w:color w:val="000000"/>
        </w:rPr>
        <w:t xml:space="preserve"> “prolaxitud”. El problema, es que los austeros han puesto </w:t>
      </w:r>
      <w:r w:rsidRPr="001C2A8E">
        <w:rPr>
          <w:color w:val="000000"/>
        </w:rPr>
        <w:t>condiciones</w:t>
      </w:r>
      <w:r w:rsidR="009064A7">
        <w:rPr>
          <w:color w:val="000000"/>
        </w:rPr>
        <w:t xml:space="preserve"> insostenibles</w:t>
      </w:r>
      <w:r w:rsidRPr="001C2A8E">
        <w:rPr>
          <w:color w:val="000000"/>
        </w:rPr>
        <w:t xml:space="preserve"> a cambio de los</w:t>
      </w:r>
      <w:r w:rsidR="009064A7">
        <w:rPr>
          <w:color w:val="000000"/>
        </w:rPr>
        <w:t xml:space="preserve"> préstamos concedidos </w:t>
      </w:r>
      <w:r w:rsidRPr="001C2A8E">
        <w:rPr>
          <w:color w:val="000000"/>
        </w:rPr>
        <w:t>y luego han querido olvidarse; pero todo vuelve, como está vien</w:t>
      </w:r>
      <w:r w:rsidR="009064A7">
        <w:rPr>
          <w:color w:val="000000"/>
        </w:rPr>
        <w:t>do Alemania en estos momentos</w:t>
      </w:r>
      <w:r>
        <w:rPr>
          <w:color w:val="000000"/>
        </w:rPr>
        <w:t>.</w:t>
      </w:r>
    </w:p>
    <w:p w:rsidR="00472495" w:rsidRPr="001C2A8E" w:rsidRDefault="00472495" w:rsidP="00472495">
      <w:pPr>
        <w:pStyle w:val="NormalWeb"/>
        <w:jc w:val="both"/>
        <w:rPr>
          <w:color w:val="000000"/>
        </w:rPr>
      </w:pPr>
      <w:r w:rsidRPr="001C2A8E">
        <w:rPr>
          <w:color w:val="000000"/>
        </w:rPr>
        <w:t>Para los acólitos de la austeridad, el problema viene de los países que no se han tomado en serio las reformas, como Francia o Italia. “Se tendría que haber actuado más rápidamente en otros aspectos también, no sólo en ap</w:t>
      </w:r>
      <w:r w:rsidR="009064A7">
        <w:rPr>
          <w:color w:val="000000"/>
        </w:rPr>
        <w:t xml:space="preserve">licar la austeridad”, señala </w:t>
      </w:r>
      <w:r w:rsidRPr="001C2A8E">
        <w:rPr>
          <w:color w:val="000000"/>
        </w:rPr>
        <w:t>el empresario alemán Richard Weissend, CEO de OneToOne, en Múnich. “Cierto, había inversiones y gastos sin sentido que suponían un lastre para la economía. Pero es verdad que sólo reduciéndolos no se puede animar una economía”</w:t>
      </w:r>
      <w:r w:rsidR="009064A7">
        <w:rPr>
          <w:color w:val="000000"/>
        </w:rPr>
        <w:t xml:space="preserve"> (El Confidencial - 28/10/14)</w:t>
      </w:r>
      <w:r w:rsidRPr="001C2A8E">
        <w:rPr>
          <w:color w:val="000000"/>
        </w:rPr>
        <w:t>.</w:t>
      </w:r>
    </w:p>
    <w:p w:rsidR="00472495" w:rsidRPr="001C2A8E" w:rsidRDefault="00472495" w:rsidP="00472495">
      <w:pPr>
        <w:pStyle w:val="NormalWeb"/>
        <w:jc w:val="both"/>
        <w:rPr>
          <w:color w:val="000000"/>
        </w:rPr>
      </w:pPr>
      <w:r w:rsidRPr="001C2A8E">
        <w:rPr>
          <w:color w:val="000000"/>
        </w:rPr>
        <w:t>Y luego hay quien dice que ni lo uno ni lo otro. “En realidad la única receta que funciona es la que no se ha empleado: reducir los impuestos para aumentar la renta disponible de personas y empresas para reactivar la demanda, el consumo y la contratación”, opina Daniel Lacalle,</w:t>
      </w:r>
      <w:r w:rsidR="009064A7">
        <w:rPr>
          <w:color w:val="000000"/>
        </w:rPr>
        <w:t xml:space="preserve"> economista y gestor de fondos (El Confidencial - 28/10/14)</w:t>
      </w:r>
      <w:r w:rsidR="009064A7" w:rsidRPr="001C2A8E">
        <w:rPr>
          <w:color w:val="000000"/>
        </w:rPr>
        <w:t>.</w:t>
      </w:r>
    </w:p>
    <w:p w:rsidR="006A1311" w:rsidRDefault="00472495" w:rsidP="00472495">
      <w:pPr>
        <w:pStyle w:val="NormalWeb"/>
        <w:jc w:val="both"/>
        <w:rPr>
          <w:color w:val="000000"/>
        </w:rPr>
      </w:pPr>
      <w:r w:rsidRPr="001C2A8E">
        <w:rPr>
          <w:color w:val="000000"/>
        </w:rPr>
        <w:t xml:space="preserve">Estados Unidos y Europa entraron en recesión en 2009. Desde entonces, una de las dos áreas ha levantado cabeza y la otra no. Mientras en la zona euro el desempleo ronda el 12%, en Estados Unidos y Reino Unido ya ha caído al 6%. En ambas zonas el paro partía de una cifra similar en 2008. Los americanos crecen a una tasa interanual del 2,6% (PIB), los británicos por encima del 3%... Europa está en un escuálido 0,7%. </w:t>
      </w:r>
    </w:p>
    <w:p w:rsidR="006A1311" w:rsidRDefault="00472495" w:rsidP="00374EBD">
      <w:pPr>
        <w:pStyle w:val="NormalWeb"/>
        <w:jc w:val="both"/>
        <w:rPr>
          <w:color w:val="000000"/>
        </w:rPr>
      </w:pPr>
      <w:r w:rsidRPr="001C2A8E">
        <w:rPr>
          <w:color w:val="000000"/>
        </w:rPr>
        <w:t>¿C</w:t>
      </w:r>
      <w:r>
        <w:rPr>
          <w:color w:val="000000"/>
        </w:rPr>
        <w:t>uáles han sido las diferencias?</w:t>
      </w:r>
      <w:r w:rsidR="006A1311">
        <w:rPr>
          <w:color w:val="000000"/>
        </w:rPr>
        <w:t xml:space="preserve"> </w:t>
      </w:r>
      <w:r w:rsidR="00374EBD" w:rsidRPr="001C2A8E">
        <w:rPr>
          <w:color w:val="000000"/>
        </w:rPr>
        <w:t>¿Que qui</w:t>
      </w:r>
      <w:r w:rsidR="00FE197A">
        <w:rPr>
          <w:color w:val="000000"/>
        </w:rPr>
        <w:t xml:space="preserve">én tiene razón en este debate? </w:t>
      </w:r>
    </w:p>
    <w:p w:rsidR="00374EBD" w:rsidRPr="001C2A8E" w:rsidRDefault="00FE197A" w:rsidP="00374EBD">
      <w:pPr>
        <w:pStyle w:val="NormalWeb"/>
        <w:jc w:val="both"/>
        <w:rPr>
          <w:color w:val="000000"/>
        </w:rPr>
      </w:pPr>
      <w:r>
        <w:rPr>
          <w:color w:val="000000"/>
        </w:rPr>
        <w:t xml:space="preserve">Probablemente ninguno de los dos. </w:t>
      </w:r>
      <w:r w:rsidR="00374EBD" w:rsidRPr="001C2A8E">
        <w:rPr>
          <w:color w:val="000000"/>
        </w:rPr>
        <w:t>“Todas las teorías económicas han fallado, y eso es lo que tendríamos que haber aprendido de esta crisis. Hemos aplicado las tesis keynesianas de la expansión fiscal (en la primera parte de la crisis), y sólo aumentaron los déficits porque se hicieron sin reformas; y lo mismo ha ocurrido con las políticas monetarias expansivas, se hicieron s</w:t>
      </w:r>
      <w:r>
        <w:rPr>
          <w:color w:val="000000"/>
        </w:rPr>
        <w:t xml:space="preserve">in crecimiento y sin reformas”, </w:t>
      </w:r>
      <w:r w:rsidRPr="001C2A8E">
        <w:rPr>
          <w:color w:val="000000"/>
        </w:rPr>
        <w:t xml:space="preserve">dice desde Dinamarca Steen Jakobsen, </w:t>
      </w:r>
      <w:r>
        <w:rPr>
          <w:color w:val="000000"/>
        </w:rPr>
        <w:t>el economista jefe de Saxobank (El Confidencial - 28/10/14)</w:t>
      </w:r>
      <w:r w:rsidRPr="001C2A8E">
        <w:rPr>
          <w:color w:val="000000"/>
        </w:rPr>
        <w:t>.</w:t>
      </w:r>
    </w:p>
    <w:p w:rsidR="00374EBD" w:rsidRPr="00C832AD" w:rsidRDefault="00C832AD" w:rsidP="00374EBD">
      <w:pPr>
        <w:pStyle w:val="NormalWeb"/>
        <w:jc w:val="both"/>
      </w:pPr>
      <w:r>
        <w:t>Daniel Lacalle sostiene</w:t>
      </w:r>
      <w:r w:rsidR="00374EBD" w:rsidRPr="00C832AD">
        <w:t>: “En Estados Unidos el estímulo fiscal no ha servido nada más que para comprar tiempo y, aunque se ha reducido el paro, la participación laboral se ha hundido a niveles de 1978”. La recuperación económica ha dependido más, dice, del “milagro del fracking” y del hecho de que Estados Unidos haya empezado a producir más petróleo que Arabia Saudí.</w:t>
      </w:r>
    </w:p>
    <w:p w:rsidR="00374EBD" w:rsidRPr="00C832AD" w:rsidRDefault="00374EBD" w:rsidP="00374EBD">
      <w:pPr>
        <w:pStyle w:val="NormalWeb"/>
        <w:jc w:val="both"/>
      </w:pPr>
      <w:r w:rsidRPr="00C832AD">
        <w:t>Otra de las críticas fundamentales al monetarismo es que, en el fondo, todas estas grandes compras de bonos públicos, de inyecciones de dinero en los mercados, sobre todo en los bancos, sólo sirven para “hormonar” a las bolsas y hacerlas adictas al dinero barato, que después se juega comprando y vendiendo acciones de grandes empresas, sin que a la economía real le llegue nada de esta fiesta.</w:t>
      </w:r>
    </w:p>
    <w:p w:rsidR="00374EBD" w:rsidRPr="00545EE4" w:rsidRDefault="00374EBD" w:rsidP="00374EBD">
      <w:pPr>
        <w:pStyle w:val="NormalWeb"/>
        <w:jc w:val="both"/>
      </w:pPr>
      <w:r w:rsidRPr="00545EE4">
        <w:t>El debate llega a las más altas esferas del Banco Central Europeo. En los últimos días</w:t>
      </w:r>
      <w:r w:rsidR="00C832AD" w:rsidRPr="00545EE4">
        <w:t xml:space="preserve"> de octubre (2014)</w:t>
      </w:r>
      <w:r w:rsidRPr="00545EE4">
        <w:t xml:space="preserve">, con las bolsas destrozadas y los datos económicos apuntando a una </w:t>
      </w:r>
      <w:r w:rsidRPr="00545EE4">
        <w:lastRenderedPageBreak/>
        <w:t>nueva recesión, ha habido una auténtica pelea de gallos del BCE. El halcón alemán Jens Weidmann dice que su país no necesita estímulo fiscal. El lugarteniente de Mario Draghi, Benoit Coeure, afirma que es necesaria una política fiscal para detener la lowflation, la baja inflación. Mien</w:t>
      </w:r>
      <w:r w:rsidR="00A73AE0">
        <w:t>tras, el austríaco Ewald Nowotn</w:t>
      </w:r>
      <w:r w:rsidRPr="00545EE4">
        <w:t>y sale al rescate del alemán: convertir el BCE en un banco malo es una “idiotez”.</w:t>
      </w:r>
    </w:p>
    <w:p w:rsidR="00374EBD" w:rsidRPr="001C2A8E" w:rsidRDefault="00374EBD" w:rsidP="00374EBD">
      <w:pPr>
        <w:pStyle w:val="NormalWeb"/>
        <w:jc w:val="both"/>
        <w:rPr>
          <w:color w:val="000000"/>
        </w:rPr>
      </w:pPr>
      <w:r w:rsidRPr="001C2A8E">
        <w:rPr>
          <w:color w:val="000000"/>
        </w:rPr>
        <w:t xml:space="preserve">En Europa hemos padecido dos crisis: una que ya terminó y otra que sigue vigente. La más acuciante, la de la deuda, la solucionó Mario Draghi con un poco de retórica y algo de dinero sobre la mesa. El diario </w:t>
      </w:r>
      <w:r w:rsidRPr="001106A9">
        <w:rPr>
          <w:i/>
          <w:color w:val="000000"/>
        </w:rPr>
        <w:t>The Economist</w:t>
      </w:r>
      <w:r w:rsidRPr="001C2A8E">
        <w:rPr>
          <w:color w:val="000000"/>
        </w:rPr>
        <w:t>, poco sospechoso de keynesiano, lo ha reflejado recientemente en una de sus viñetas, en la que el italiano presidente del Banco Central Europeo achicaba agua de un barco de papel hecho con un billete de euro, mientras en la proa los líderes europeos miraban altivos al frente, ignorando que el barco se hundía. La otra crisis paralela, la presente, es la del estancamiento económico (Alemania decreciendo, Francia estancada, Italia en re</w:t>
      </w:r>
      <w:r>
        <w:rPr>
          <w:color w:val="000000"/>
        </w:rPr>
        <w:t>cesión), y tiene peor solución.</w:t>
      </w:r>
    </w:p>
    <w:p w:rsidR="00374EBD" w:rsidRPr="001C2A8E" w:rsidRDefault="00374EBD" w:rsidP="00374EBD">
      <w:pPr>
        <w:pStyle w:val="NormalWeb"/>
        <w:jc w:val="both"/>
        <w:rPr>
          <w:color w:val="000000"/>
        </w:rPr>
      </w:pPr>
      <w:r w:rsidRPr="001C2A8E">
        <w:rPr>
          <w:color w:val="000000"/>
        </w:rPr>
        <w:t>“Va a dar igual la cantidad de dinero que le den a los bancos. La gente está tan endeudada que no hay gasto ni crédito”, explica Federico Steinberg, del Real Instituto Elcano. “Eso, sumado a una política fiscal demasiado contractiva, tiene como resultado que la inversión públ</w:t>
      </w:r>
      <w:r>
        <w:rPr>
          <w:color w:val="000000"/>
        </w:rPr>
        <w:t>ica no suple al gasto privado”.</w:t>
      </w:r>
    </w:p>
    <w:p w:rsidR="00374EBD" w:rsidRPr="001C2A8E" w:rsidRDefault="00374EBD" w:rsidP="00374EBD">
      <w:pPr>
        <w:pStyle w:val="NormalWeb"/>
        <w:jc w:val="both"/>
        <w:rPr>
          <w:color w:val="000000"/>
        </w:rPr>
      </w:pPr>
      <w:r w:rsidRPr="001C2A8E">
        <w:rPr>
          <w:color w:val="000000"/>
        </w:rPr>
        <w:t>Berl</w:t>
      </w:r>
      <w:r w:rsidR="001106A9">
        <w:rPr>
          <w:color w:val="000000"/>
        </w:rPr>
        <w:t>ín ha sido la gran tacaña</w:t>
      </w:r>
      <w:r w:rsidRPr="001C2A8E">
        <w:rPr>
          <w:color w:val="000000"/>
        </w:rPr>
        <w:t xml:space="preserve"> de esta crisis. Ha puesto parte del dinero para el rescate a Grecia, pero desde entonces ha preferido centrarse en su objetivo de déficit cero. Con ello, su ratio de inversión ha caído al 17%, por debajo de la media del 20% del grupo de los países avanzados OCDE. Y esto ha hec</w:t>
      </w:r>
      <w:r>
        <w:rPr>
          <w:color w:val="000000"/>
        </w:rPr>
        <w:t>ho daño al resto de los países.</w:t>
      </w:r>
    </w:p>
    <w:p w:rsidR="00374EBD" w:rsidRPr="001C2A8E" w:rsidRDefault="00374EBD" w:rsidP="00374EBD">
      <w:pPr>
        <w:pStyle w:val="NormalWeb"/>
        <w:jc w:val="both"/>
        <w:rPr>
          <w:color w:val="000000"/>
        </w:rPr>
      </w:pPr>
      <w:r w:rsidRPr="001C2A8E">
        <w:rPr>
          <w:color w:val="000000"/>
        </w:rPr>
        <w:t xml:space="preserve"> “Había que hacer las dos cosas: reducir burocracias y gastos, y estimular la economía”, nos dice Richard Weissend. “El problema que tenemos en Europa es la desconfianza entre los europeos y la reticencia a pagar las deudas de otros. En Estados Unidos eso no pasa. A un hombre de Florida no le importa tener que sacrific</w:t>
      </w:r>
      <w:r>
        <w:rPr>
          <w:color w:val="000000"/>
        </w:rPr>
        <w:t>ar algo por uno de California”.</w:t>
      </w:r>
    </w:p>
    <w:p w:rsidR="00374EBD" w:rsidRPr="001C2A8E" w:rsidRDefault="00374EBD" w:rsidP="00374EBD">
      <w:pPr>
        <w:pStyle w:val="NormalWeb"/>
        <w:jc w:val="both"/>
        <w:rPr>
          <w:color w:val="000000"/>
        </w:rPr>
      </w:pPr>
      <w:r w:rsidRPr="001C2A8E">
        <w:rPr>
          <w:color w:val="000000"/>
        </w:rPr>
        <w:t>Con eso se llega al problema político de todo este debate entre austeros y estimuladores. No hay una unión política, sólo estados que negocian entre ellos, y que se prestan dinero a regañadientes. “Los problemas son transnacionales y, sin embargo, en Europa las decisiones las han tomado una serie de Gobiernos fuertes o por la troika, algo que adolece de legitimidad democrática”</w:t>
      </w:r>
      <w:r w:rsidR="00545EE4">
        <w:rPr>
          <w:color w:val="000000"/>
        </w:rPr>
        <w:t xml:space="preserve">, argumentan algunos </w:t>
      </w:r>
      <w:r w:rsidR="00A73AE0">
        <w:rPr>
          <w:color w:val="000000"/>
        </w:rPr>
        <w:t>analistas</w:t>
      </w:r>
    </w:p>
    <w:p w:rsidR="00374EBD" w:rsidRPr="001C2A8E" w:rsidRDefault="00545EE4" w:rsidP="00374EBD">
      <w:pPr>
        <w:pStyle w:val="NormalWeb"/>
        <w:jc w:val="both"/>
        <w:rPr>
          <w:color w:val="000000"/>
        </w:rPr>
      </w:pPr>
      <w:r>
        <w:rPr>
          <w:color w:val="000000"/>
        </w:rPr>
        <w:t xml:space="preserve">Gane quien gane este </w:t>
      </w:r>
      <w:r w:rsidR="00374EBD" w:rsidRPr="001C2A8E">
        <w:rPr>
          <w:color w:val="000000"/>
        </w:rPr>
        <w:t>debate</w:t>
      </w:r>
      <w:r>
        <w:rPr>
          <w:color w:val="000000"/>
        </w:rPr>
        <w:t xml:space="preserve"> que se eterniza</w:t>
      </w:r>
      <w:r w:rsidR="00374EBD" w:rsidRPr="001C2A8E">
        <w:rPr>
          <w:color w:val="000000"/>
        </w:rPr>
        <w:t>, del que se cumplen ya cinco años, está claro que la victoria será pírrica. El desempleo cabalga a sus anchas en algunas de las principales economías de la Eurozona, el temor se apodera de unas bolsas que habían vivido de fiesta y que para algunos analistas consultados ya han “capitulado”, ya se han rendido a la realidad de que no pueden doblar su valor mientras las clases medias global</w:t>
      </w:r>
      <w:r>
        <w:rPr>
          <w:color w:val="000000"/>
        </w:rPr>
        <w:t xml:space="preserve">es siguen atemorizadas. Como </w:t>
      </w:r>
      <w:r w:rsidR="00374EBD" w:rsidRPr="001C2A8E">
        <w:rPr>
          <w:color w:val="000000"/>
        </w:rPr>
        <w:t>decía Jakobsen: ahora las malas noticias para la economía van a ser malas noticias para las bolsas. Y eso es bueno, porque significa que todo el mundo va a tener que centrarse en la economía real.</w:t>
      </w:r>
    </w:p>
    <w:p w:rsidR="00545EE4" w:rsidRPr="00545EE4" w:rsidRDefault="00545EE4" w:rsidP="00545EE4">
      <w:pPr>
        <w:spacing w:line="240" w:lineRule="auto"/>
        <w:jc w:val="both"/>
        <w:rPr>
          <w:rFonts w:ascii="Times New Roman" w:hAnsi="Times New Roman"/>
          <w:sz w:val="24"/>
          <w:szCs w:val="24"/>
          <w:u w:val="single"/>
        </w:rPr>
      </w:pPr>
      <w:r w:rsidRPr="00545EE4">
        <w:rPr>
          <w:rFonts w:ascii="Times New Roman" w:hAnsi="Times New Roman"/>
          <w:sz w:val="24"/>
          <w:szCs w:val="24"/>
          <w:u w:val="single"/>
        </w:rPr>
        <w:t>Unión Europea: 28 tiros y uno solo</w:t>
      </w:r>
      <w:r w:rsidR="001106A9">
        <w:rPr>
          <w:rFonts w:ascii="Times New Roman" w:hAnsi="Times New Roman"/>
          <w:sz w:val="24"/>
          <w:szCs w:val="24"/>
          <w:u w:val="single"/>
        </w:rPr>
        <w:t>,</w:t>
      </w:r>
      <w:r w:rsidRPr="00545EE4">
        <w:rPr>
          <w:rFonts w:ascii="Times New Roman" w:hAnsi="Times New Roman"/>
          <w:sz w:val="24"/>
          <w:szCs w:val="24"/>
          <w:u w:val="single"/>
        </w:rPr>
        <w:t xml:space="preserve"> la mató</w:t>
      </w:r>
    </w:p>
    <w:p w:rsidR="00590B7F" w:rsidRPr="00545EE4" w:rsidRDefault="00545EE4" w:rsidP="00545EE4">
      <w:pPr>
        <w:pStyle w:val="NormalWeb"/>
        <w:jc w:val="both"/>
      </w:pPr>
      <w:r>
        <w:rPr>
          <w:i/>
        </w:rPr>
        <w:t>“</w:t>
      </w:r>
      <w:r w:rsidR="00590B7F" w:rsidRPr="00545EE4">
        <w:rPr>
          <w:i/>
        </w:rPr>
        <w:t xml:space="preserve">Daimler es una de las compañías alemanas que han encontrado una forma de reducir costes </w:t>
      </w:r>
      <w:r w:rsidRPr="00545EE4">
        <w:rPr>
          <w:i/>
        </w:rPr>
        <w:t>en un país con salarios altos: “comprar”</w:t>
      </w:r>
      <w:r w:rsidR="00590B7F" w:rsidRPr="00545EE4">
        <w:rPr>
          <w:i/>
        </w:rPr>
        <w:t xml:space="preserve"> trabajo como si fueran clips para el </w:t>
      </w:r>
      <w:r w:rsidR="00590B7F" w:rsidRPr="00545EE4">
        <w:rPr>
          <w:i/>
        </w:rPr>
        <w:lastRenderedPageBreak/>
        <w:t>papel. Subcontratando determinadas tareas como los servicios logísticos, las empresas pueden evitar que sus empleados cobren lo que marcan los convenios</w:t>
      </w:r>
      <w:r>
        <w:rPr>
          <w:i/>
        </w:rPr>
        <w:t>”..</w:t>
      </w:r>
      <w:r w:rsidR="00590B7F" w:rsidRPr="00545EE4">
        <w:rPr>
          <w:i/>
        </w:rPr>
        <w:t>.</w:t>
      </w:r>
      <w:r>
        <w:rPr>
          <w:i/>
        </w:rPr>
        <w:t xml:space="preserve"> </w:t>
      </w:r>
      <w:r w:rsidRPr="00545EE4">
        <w:t>“</w:t>
      </w:r>
      <w:r w:rsidRPr="00320638">
        <w:rPr>
          <w:u w:val="single"/>
        </w:rPr>
        <w:t xml:space="preserve">No podemos pagarle a todos </w:t>
      </w:r>
      <w:r>
        <w:rPr>
          <w:u w:val="single"/>
        </w:rPr>
        <w:t>los altos salarios del convenio”</w:t>
      </w:r>
      <w:r w:rsidRPr="00320638">
        <w:rPr>
          <w:u w:val="single"/>
        </w:rPr>
        <w:t>: la dualidad laboral crece en Alemania para competir</w:t>
      </w:r>
      <w:r w:rsidRPr="00320638">
        <w:t xml:space="preserve"> (El Economista </w:t>
      </w:r>
      <w:r w:rsidR="00320B6F">
        <w:t>-</w:t>
      </w:r>
      <w:r>
        <w:t xml:space="preserve"> </w:t>
      </w:r>
      <w:r w:rsidRPr="00320638">
        <w:t>Bloomberg</w:t>
      </w:r>
      <w:r>
        <w:t xml:space="preserve"> -</w:t>
      </w:r>
      <w:r w:rsidRPr="00320638">
        <w:t xml:space="preserve"> </w:t>
      </w:r>
      <w:r w:rsidRPr="00320638">
        <w:rPr>
          <w:b/>
        </w:rPr>
        <w:t>24/10/14</w:t>
      </w:r>
      <w:r w:rsidRPr="00320638">
        <w:t>)</w:t>
      </w:r>
    </w:p>
    <w:p w:rsidR="00590B7F" w:rsidRPr="00545EE4" w:rsidRDefault="00590B7F" w:rsidP="00590B7F">
      <w:pPr>
        <w:pStyle w:val="NormalWeb"/>
        <w:shd w:val="clear" w:color="auto" w:fill="FFFFFF"/>
        <w:jc w:val="both"/>
      </w:pPr>
      <w:r w:rsidRPr="00545EE4">
        <w:t>El problema de esto es el abuso que provoca en el sistema, ya que deja a algunos trabajadores sin protección e incluso a veces sin ni siquiera cobrar. La situación ha llamado la atención de la ministra de Trabajo, Andrea Nahles, que ha prometido medidas severas y ha forzado a la Alemania empresarial a defenderse.</w:t>
      </w:r>
    </w:p>
    <w:p w:rsidR="00590B7F" w:rsidRPr="00545EE4" w:rsidRDefault="00545EE4" w:rsidP="00590B7F">
      <w:pPr>
        <w:pStyle w:val="NormalWeb"/>
        <w:shd w:val="clear" w:color="auto" w:fill="FFFFFF"/>
        <w:jc w:val="both"/>
      </w:pPr>
      <w:r>
        <w:t>“</w:t>
      </w:r>
      <w:r w:rsidR="00590B7F" w:rsidRPr="00545EE4">
        <w:t xml:space="preserve">No podemos pagar a todo el mundo </w:t>
      </w:r>
      <w:r>
        <w:t>los altos salarios del convenio”</w:t>
      </w:r>
      <w:r w:rsidR="00590B7F" w:rsidRPr="00545EE4">
        <w:t xml:space="preserve">, respondió a </w:t>
      </w:r>
      <w:r w:rsidR="00590B7F" w:rsidRPr="00545EE4">
        <w:rPr>
          <w:i/>
          <w:iCs/>
        </w:rPr>
        <w:t xml:space="preserve">Bloomberg </w:t>
      </w:r>
      <w:r w:rsidR="00590B7F" w:rsidRPr="00545EE4">
        <w:t>vía email el jefe de person</w:t>
      </w:r>
      <w:r>
        <w:t>al de Daimler, Wilfried Porth. “</w:t>
      </w:r>
      <w:r w:rsidR="00590B7F" w:rsidRPr="00545EE4">
        <w:t>Nuestra situación de costes se ha deteriorado en comparación con la compet</w:t>
      </w:r>
      <w:r>
        <w:t>encia. No podemos permitírnoslo”</w:t>
      </w:r>
      <w:r w:rsidR="00590B7F" w:rsidRPr="00545EE4">
        <w:t xml:space="preserve">. </w:t>
      </w:r>
    </w:p>
    <w:p w:rsidR="00590B7F" w:rsidRPr="00545EE4" w:rsidRDefault="00590B7F" w:rsidP="00545EE4">
      <w:pPr>
        <w:pStyle w:val="NormalWeb"/>
        <w:shd w:val="clear" w:color="auto" w:fill="FFFFFF"/>
        <w:jc w:val="both"/>
      </w:pPr>
      <w:r w:rsidRPr="00545EE4">
        <w:t>Los partidarios de estas medidas argumentan que subcontratar permite mantener la competitividad de Alemania, donde los costes laborales en la industria del automóvil son los más altos del mundo. Los contrarios responden que la generalización de estas prácticas a industrias como los astilleros, las ventas minoristas, la logística y la construcción mina el modelo de empleo alemán de asociación entre empresas y trabajadores.</w:t>
      </w:r>
    </w:p>
    <w:p w:rsidR="00590B7F" w:rsidRPr="00545EE4" w:rsidRDefault="00590B7F" w:rsidP="00590B7F">
      <w:pPr>
        <w:pStyle w:val="NormalWeb"/>
        <w:shd w:val="clear" w:color="auto" w:fill="FFFFFF"/>
        <w:jc w:val="both"/>
      </w:pPr>
      <w:r w:rsidRPr="00545EE4">
        <w:t xml:space="preserve">Según una encuesta del sindicato IG Metall, 1 de cada 3 empleados en la industria del automóvil alemana está o bien subcontratado o bien tiene un empleo temporal. De esta forma se han contenido los costes laborales, que de media son 48,4 euros, según la patronal automovilística VDA. En Rumanía, este coste es de 4,81 euros, mientras que en EEUU es de 25,63 euros. </w:t>
      </w:r>
    </w:p>
    <w:p w:rsidR="00590B7F" w:rsidRPr="00545EE4" w:rsidRDefault="00590B7F" w:rsidP="00590B7F">
      <w:pPr>
        <w:pStyle w:val="NormalWeb"/>
        <w:shd w:val="clear" w:color="auto" w:fill="FFFFFF"/>
        <w:jc w:val="both"/>
      </w:pPr>
      <w:r w:rsidRPr="00545EE4">
        <w:t xml:space="preserve">Esta situación ha provocado un intenso debate en Alemania sobre los trabajos que están siendo externalizados con salarios mucho más bajos y mucha menor </w:t>
      </w:r>
      <w:r w:rsidR="00545EE4">
        <w:t>protección para el trabajador. “</w:t>
      </w:r>
      <w:r w:rsidRPr="00545EE4">
        <w:t>Vemos una tendencia hacia u</w:t>
      </w:r>
      <w:r w:rsidR="00545EE4">
        <w:t>n mercado laboral de dos clases”</w:t>
      </w:r>
      <w:r w:rsidRPr="00545EE4">
        <w:t>, con una división entre los empleos indefinidos y los temporales, explica Karl Brenke, experto en temas laboral del i</w:t>
      </w:r>
      <w:r w:rsidR="00545EE4">
        <w:t>nstituto de investigación DIW. “</w:t>
      </w:r>
      <w:r w:rsidRPr="00545EE4">
        <w:t>El creciente número de empleos subcontratados difumina el modelo de participación de los trabajadores que aseguró la paz social y que es uno de los</w:t>
      </w:r>
      <w:r w:rsidR="00545EE4">
        <w:t xml:space="preserve"> pilares de la economía alemana”</w:t>
      </w:r>
      <w:r w:rsidRPr="00545EE4">
        <w:t xml:space="preserve">. </w:t>
      </w:r>
    </w:p>
    <w:p w:rsidR="00590B7F" w:rsidRPr="00545EE4" w:rsidRDefault="00590B7F" w:rsidP="00590B7F">
      <w:pPr>
        <w:pStyle w:val="NormalWeb"/>
        <w:shd w:val="clear" w:color="auto" w:fill="FFFFFF"/>
        <w:jc w:val="both"/>
      </w:pPr>
      <w:r w:rsidRPr="00545EE4">
        <w:t>Aunque la ministra ha prometido mano dura, el problema es cuantificarlo, ya que no hay números claros sobre este tipo de contratos, ya que las empresas los pagan como cualquier otra compra en sus balances, por lo que no aparecen en sus datos de personal. Los sindicatos aseguran que este tipo de empleo puede llegar a suponer el 20% de la plantilla en algunas compañías. Desde algunas patronales se considera que este tipo de empleo permite garantizar el empleo, y que la flexibilidad que ofrece no debe tirarse por la borda simplemente porque haya algunos casos de abuso.</w:t>
      </w:r>
    </w:p>
    <w:p w:rsidR="00320B6F" w:rsidRPr="00593624" w:rsidRDefault="002C2334" w:rsidP="00593624">
      <w:pPr>
        <w:spacing w:line="240" w:lineRule="auto"/>
        <w:jc w:val="both"/>
        <w:rPr>
          <w:rFonts w:ascii="Times New Roman" w:hAnsi="Times New Roman" w:cs="Times New Roman"/>
          <w:sz w:val="24"/>
          <w:szCs w:val="24"/>
        </w:rPr>
      </w:pPr>
      <w:r>
        <w:rPr>
          <w:rFonts w:ascii="Times New Roman" w:hAnsi="Times New Roman"/>
          <w:sz w:val="24"/>
          <w:szCs w:val="24"/>
        </w:rPr>
        <w:t>En las próximas páginas se presenta una abundante información sobre el “comercio exterior” de los países europeos y algunas comparaciones con países extracomunitarios.</w:t>
      </w:r>
      <w:r w:rsidR="00320B6F">
        <w:rPr>
          <w:rFonts w:ascii="Times New Roman" w:hAnsi="Times New Roman"/>
          <w:sz w:val="24"/>
          <w:szCs w:val="24"/>
        </w:rPr>
        <w:t xml:space="preserve"> </w:t>
      </w:r>
      <w:r w:rsidR="00545EE4" w:rsidRPr="00320B6F">
        <w:rPr>
          <w:rFonts w:ascii="Times New Roman" w:hAnsi="Times New Roman" w:cs="Times New Roman"/>
          <w:sz w:val="24"/>
          <w:szCs w:val="24"/>
        </w:rPr>
        <w:t xml:space="preserve">Antes de </w:t>
      </w:r>
      <w:r w:rsidR="001106A9" w:rsidRPr="00320B6F">
        <w:rPr>
          <w:rFonts w:ascii="Times New Roman" w:hAnsi="Times New Roman" w:cs="Times New Roman"/>
          <w:sz w:val="24"/>
          <w:szCs w:val="24"/>
        </w:rPr>
        <w:t>“</w:t>
      </w:r>
      <w:r w:rsidR="00545EE4" w:rsidRPr="00320B6F">
        <w:rPr>
          <w:rFonts w:ascii="Times New Roman" w:hAnsi="Times New Roman" w:cs="Times New Roman"/>
          <w:sz w:val="24"/>
          <w:szCs w:val="24"/>
        </w:rPr>
        <w:t>pasar a mayores</w:t>
      </w:r>
      <w:r w:rsidR="001106A9" w:rsidRPr="00320B6F">
        <w:rPr>
          <w:rFonts w:ascii="Times New Roman" w:hAnsi="Times New Roman" w:cs="Times New Roman"/>
          <w:sz w:val="24"/>
          <w:szCs w:val="24"/>
        </w:rPr>
        <w:t>”</w:t>
      </w:r>
      <w:r w:rsidR="00545EE4" w:rsidRPr="00320B6F">
        <w:rPr>
          <w:rFonts w:ascii="Times New Roman" w:hAnsi="Times New Roman" w:cs="Times New Roman"/>
          <w:sz w:val="24"/>
          <w:szCs w:val="24"/>
        </w:rPr>
        <w:t>, por favor, retengan estos números: costes laborales</w:t>
      </w:r>
      <w:r w:rsidR="001106A9" w:rsidRPr="00320B6F">
        <w:rPr>
          <w:rFonts w:ascii="Times New Roman" w:hAnsi="Times New Roman" w:cs="Times New Roman"/>
          <w:sz w:val="24"/>
          <w:szCs w:val="24"/>
        </w:rPr>
        <w:t xml:space="preserve"> de la industria automovilística (media por hora) Alemania 48,4 </w:t>
      </w:r>
      <w:r w:rsidR="00E16CC2" w:rsidRPr="00320B6F">
        <w:rPr>
          <w:rFonts w:ascii="Times New Roman" w:hAnsi="Times New Roman" w:cs="Times New Roman"/>
          <w:sz w:val="24"/>
          <w:szCs w:val="24"/>
        </w:rPr>
        <w:t xml:space="preserve">euros, </w:t>
      </w:r>
      <w:r w:rsidR="001106A9" w:rsidRPr="00320B6F">
        <w:rPr>
          <w:rFonts w:ascii="Times New Roman" w:hAnsi="Times New Roman" w:cs="Times New Roman"/>
          <w:sz w:val="24"/>
          <w:szCs w:val="24"/>
        </w:rPr>
        <w:t xml:space="preserve">EEUU </w:t>
      </w:r>
      <w:r w:rsidR="00545EE4" w:rsidRPr="00320B6F">
        <w:rPr>
          <w:rFonts w:ascii="Times New Roman" w:hAnsi="Times New Roman" w:cs="Times New Roman"/>
          <w:sz w:val="24"/>
          <w:szCs w:val="24"/>
        </w:rPr>
        <w:t>25,63 euros</w:t>
      </w:r>
      <w:r w:rsidR="001106A9" w:rsidRPr="00320B6F">
        <w:rPr>
          <w:rFonts w:ascii="Times New Roman" w:hAnsi="Times New Roman" w:cs="Times New Roman"/>
          <w:sz w:val="24"/>
          <w:szCs w:val="24"/>
        </w:rPr>
        <w:t>, Rumanía 4,81 euros</w:t>
      </w:r>
      <w:r w:rsidR="00E16CC2" w:rsidRPr="00320B6F">
        <w:rPr>
          <w:rFonts w:ascii="Times New Roman" w:hAnsi="Times New Roman" w:cs="Times New Roman"/>
          <w:sz w:val="24"/>
          <w:szCs w:val="24"/>
        </w:rPr>
        <w:t xml:space="preserve"> (IG Metall </w:t>
      </w:r>
      <w:r w:rsidR="00320B6F" w:rsidRPr="00320B6F">
        <w:rPr>
          <w:rFonts w:ascii="Times New Roman" w:hAnsi="Times New Roman" w:cs="Times New Roman"/>
          <w:sz w:val="24"/>
          <w:szCs w:val="24"/>
        </w:rPr>
        <w:t>-</w:t>
      </w:r>
      <w:r w:rsidR="00E16CC2" w:rsidRPr="00320B6F">
        <w:rPr>
          <w:rFonts w:ascii="Times New Roman" w:hAnsi="Times New Roman" w:cs="Times New Roman"/>
          <w:sz w:val="24"/>
          <w:szCs w:val="24"/>
        </w:rPr>
        <w:t xml:space="preserve"> Octubre 2014)</w:t>
      </w:r>
      <w:r w:rsidR="00545EE4" w:rsidRPr="00320B6F">
        <w:rPr>
          <w:rFonts w:ascii="Times New Roman" w:hAnsi="Times New Roman" w:cs="Times New Roman"/>
          <w:sz w:val="24"/>
          <w:szCs w:val="24"/>
        </w:rPr>
        <w:t xml:space="preserve">. </w:t>
      </w:r>
      <w:r w:rsidR="001106A9" w:rsidRPr="00320B6F">
        <w:rPr>
          <w:rFonts w:ascii="Times New Roman" w:hAnsi="Times New Roman" w:cs="Times New Roman"/>
          <w:sz w:val="24"/>
          <w:szCs w:val="24"/>
        </w:rPr>
        <w:t xml:space="preserve"> Participación de las exportaciones en el PIB: Alemania 51%, EEUU 14%, Rumanía 42%. (BM - Octubre 2014)</w:t>
      </w:r>
    </w:p>
    <w:p w:rsidR="00FC718A" w:rsidRDefault="00FC718A" w:rsidP="000A7ADD">
      <w:pPr>
        <w:spacing w:line="240" w:lineRule="auto"/>
        <w:jc w:val="both"/>
        <w:rPr>
          <w:rFonts w:ascii="Times New Roman" w:hAnsi="Times New Roman"/>
          <w:b/>
          <w:sz w:val="24"/>
          <w:szCs w:val="24"/>
        </w:rPr>
      </w:pPr>
      <w:r>
        <w:rPr>
          <w:rFonts w:ascii="Times New Roman" w:hAnsi="Times New Roman"/>
          <w:noProof/>
          <w:sz w:val="24"/>
          <w:szCs w:val="24"/>
          <w:lang w:eastAsia="es-ES"/>
        </w:rPr>
        <w:lastRenderedPageBreak/>
        <w:drawing>
          <wp:inline distT="0" distB="0" distL="0" distR="0" wp14:anchorId="4878E83B" wp14:editId="6171F719">
            <wp:extent cx="5397500" cy="342265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97500" cy="3422650"/>
                    </a:xfrm>
                    <a:prstGeom prst="rect">
                      <a:avLst/>
                    </a:prstGeom>
                    <a:noFill/>
                    <a:ln>
                      <a:noFill/>
                    </a:ln>
                  </pic:spPr>
                </pic:pic>
              </a:graphicData>
            </a:graphic>
          </wp:inline>
        </w:drawing>
      </w:r>
    </w:p>
    <w:p w:rsidR="00320B6F" w:rsidRDefault="00593624" w:rsidP="000A7ADD">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extent cx="6089650" cy="2584450"/>
            <wp:effectExtent l="0" t="0" r="635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089650" cy="2584450"/>
                    </a:xfrm>
                    <a:prstGeom prst="rect">
                      <a:avLst/>
                    </a:prstGeom>
                    <a:noFill/>
                    <a:ln>
                      <a:noFill/>
                    </a:ln>
                  </pic:spPr>
                </pic:pic>
              </a:graphicData>
            </a:graphic>
          </wp:inline>
        </w:drawing>
      </w:r>
    </w:p>
    <w:p w:rsidR="00593624" w:rsidRDefault="00593624" w:rsidP="000A7ADD">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extent cx="6121400" cy="257175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21400" cy="2571750"/>
                    </a:xfrm>
                    <a:prstGeom prst="rect">
                      <a:avLst/>
                    </a:prstGeom>
                    <a:noFill/>
                    <a:ln>
                      <a:noFill/>
                    </a:ln>
                  </pic:spPr>
                </pic:pic>
              </a:graphicData>
            </a:graphic>
          </wp:inline>
        </w:drawing>
      </w:r>
    </w:p>
    <w:p w:rsidR="00FC718A" w:rsidRDefault="00FC718A" w:rsidP="000A7ADD">
      <w:pPr>
        <w:spacing w:line="240" w:lineRule="auto"/>
        <w:jc w:val="both"/>
        <w:rPr>
          <w:rFonts w:ascii="Times New Roman" w:hAnsi="Times New Roman"/>
          <w:b/>
          <w:sz w:val="24"/>
          <w:szCs w:val="24"/>
        </w:rPr>
      </w:pPr>
      <w:r>
        <w:rPr>
          <w:rFonts w:ascii="Times New Roman" w:hAnsi="Times New Roman"/>
          <w:noProof/>
          <w:sz w:val="24"/>
          <w:szCs w:val="24"/>
          <w:lang w:eastAsia="es-ES"/>
        </w:rPr>
        <w:lastRenderedPageBreak/>
        <w:drawing>
          <wp:inline distT="0" distB="0" distL="0" distR="0" wp14:anchorId="6C2167D9" wp14:editId="5899F401">
            <wp:extent cx="5397500" cy="43878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97500" cy="4387850"/>
                    </a:xfrm>
                    <a:prstGeom prst="rect">
                      <a:avLst/>
                    </a:prstGeom>
                    <a:noFill/>
                    <a:ln>
                      <a:noFill/>
                    </a:ln>
                  </pic:spPr>
                </pic:pic>
              </a:graphicData>
            </a:graphic>
          </wp:inline>
        </w:drawing>
      </w:r>
    </w:p>
    <w:p w:rsidR="002C2334" w:rsidRDefault="00FC718A" w:rsidP="000A7ADD">
      <w:pPr>
        <w:spacing w:line="240" w:lineRule="auto"/>
        <w:jc w:val="both"/>
        <w:rPr>
          <w:rFonts w:ascii="Times New Roman" w:hAnsi="Times New Roman"/>
          <w:b/>
          <w:sz w:val="24"/>
          <w:szCs w:val="24"/>
        </w:rPr>
      </w:pPr>
      <w:r>
        <w:rPr>
          <w:rFonts w:ascii="Times New Roman" w:hAnsi="Times New Roman"/>
          <w:noProof/>
          <w:sz w:val="24"/>
          <w:szCs w:val="24"/>
          <w:lang w:eastAsia="es-ES"/>
        </w:rPr>
        <w:drawing>
          <wp:inline distT="0" distB="0" distL="0" distR="0" wp14:anchorId="2532B417" wp14:editId="25339526">
            <wp:extent cx="5397500" cy="4241800"/>
            <wp:effectExtent l="0" t="0" r="0"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97500" cy="4241800"/>
                    </a:xfrm>
                    <a:prstGeom prst="rect">
                      <a:avLst/>
                    </a:prstGeom>
                    <a:noFill/>
                    <a:ln>
                      <a:noFill/>
                    </a:ln>
                  </pic:spPr>
                </pic:pic>
              </a:graphicData>
            </a:graphic>
          </wp:inline>
        </w:drawing>
      </w:r>
    </w:p>
    <w:p w:rsidR="005E7CE7" w:rsidRPr="005E7CE7" w:rsidRDefault="005E7CE7" w:rsidP="000A7ADD">
      <w:pPr>
        <w:spacing w:line="240" w:lineRule="auto"/>
        <w:jc w:val="both"/>
        <w:rPr>
          <w:rFonts w:ascii="Times New Roman" w:hAnsi="Times New Roman"/>
          <w:b/>
          <w:color w:val="FF0000"/>
          <w:sz w:val="24"/>
          <w:szCs w:val="24"/>
        </w:rPr>
        <w:sectPr w:rsidR="005E7CE7" w:rsidRPr="005E7CE7" w:rsidSect="009A2926">
          <w:pgSz w:w="11906" w:h="16838"/>
          <w:pgMar w:top="1418" w:right="1701" w:bottom="1418" w:left="1701" w:header="709" w:footer="709" w:gutter="0"/>
          <w:cols w:space="708"/>
          <w:docGrid w:linePitch="360"/>
        </w:sectPr>
      </w:pPr>
    </w:p>
    <w:p w:rsidR="002C2334" w:rsidRDefault="002C2334" w:rsidP="000A7ADD">
      <w:pPr>
        <w:spacing w:line="240" w:lineRule="auto"/>
        <w:jc w:val="both"/>
        <w:rPr>
          <w:rFonts w:ascii="Times New Roman" w:hAnsi="Times New Roman"/>
          <w:b/>
          <w:sz w:val="24"/>
          <w:szCs w:val="24"/>
        </w:rPr>
      </w:pPr>
      <w:r>
        <w:rPr>
          <w:rFonts w:ascii="Times New Roman" w:hAnsi="Times New Roman"/>
          <w:noProof/>
          <w:sz w:val="24"/>
          <w:szCs w:val="24"/>
          <w:lang w:eastAsia="es-ES"/>
        </w:rPr>
        <w:lastRenderedPageBreak/>
        <w:drawing>
          <wp:inline distT="0" distB="0" distL="0" distR="0" wp14:anchorId="1831625F" wp14:editId="3997A111">
            <wp:extent cx="8267700" cy="53975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267700" cy="5397500"/>
                    </a:xfrm>
                    <a:prstGeom prst="rect">
                      <a:avLst/>
                    </a:prstGeom>
                    <a:noFill/>
                    <a:ln>
                      <a:noFill/>
                    </a:ln>
                  </pic:spPr>
                </pic:pic>
              </a:graphicData>
            </a:graphic>
          </wp:inline>
        </w:drawing>
      </w:r>
    </w:p>
    <w:p w:rsidR="002C2334" w:rsidRDefault="002C2334" w:rsidP="000A7ADD">
      <w:pPr>
        <w:spacing w:line="240" w:lineRule="auto"/>
        <w:jc w:val="both"/>
        <w:rPr>
          <w:rFonts w:ascii="Times New Roman" w:hAnsi="Times New Roman"/>
          <w:b/>
          <w:sz w:val="24"/>
          <w:szCs w:val="24"/>
        </w:rPr>
      </w:pPr>
    </w:p>
    <w:p w:rsidR="002C2334" w:rsidRDefault="002C2334" w:rsidP="000A7ADD">
      <w:pPr>
        <w:spacing w:line="240" w:lineRule="auto"/>
        <w:jc w:val="both"/>
        <w:rPr>
          <w:rFonts w:ascii="Times New Roman" w:hAnsi="Times New Roman"/>
          <w:b/>
          <w:sz w:val="24"/>
          <w:szCs w:val="24"/>
        </w:rPr>
      </w:pPr>
      <w:r>
        <w:rPr>
          <w:rFonts w:ascii="Times New Roman" w:hAnsi="Times New Roman"/>
          <w:noProof/>
          <w:sz w:val="24"/>
          <w:szCs w:val="24"/>
          <w:lang w:eastAsia="es-ES"/>
        </w:rPr>
        <w:drawing>
          <wp:inline distT="0" distB="0" distL="0" distR="0" wp14:anchorId="694813FE" wp14:editId="0D33DEE7">
            <wp:extent cx="8877300" cy="4241800"/>
            <wp:effectExtent l="0" t="0" r="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8877300" cy="4241800"/>
                    </a:xfrm>
                    <a:prstGeom prst="rect">
                      <a:avLst/>
                    </a:prstGeom>
                    <a:noFill/>
                    <a:ln>
                      <a:noFill/>
                    </a:ln>
                  </pic:spPr>
                </pic:pic>
              </a:graphicData>
            </a:graphic>
          </wp:inline>
        </w:drawing>
      </w:r>
    </w:p>
    <w:p w:rsidR="002C2334" w:rsidRDefault="002C2334" w:rsidP="000A7ADD">
      <w:pPr>
        <w:spacing w:line="240" w:lineRule="auto"/>
        <w:jc w:val="both"/>
        <w:rPr>
          <w:rFonts w:ascii="Times New Roman" w:hAnsi="Times New Roman"/>
          <w:b/>
          <w:sz w:val="24"/>
          <w:szCs w:val="24"/>
        </w:rPr>
      </w:pPr>
    </w:p>
    <w:p w:rsidR="002C2334" w:rsidRDefault="002C2334" w:rsidP="000A7ADD">
      <w:pPr>
        <w:spacing w:line="240" w:lineRule="auto"/>
        <w:jc w:val="both"/>
        <w:rPr>
          <w:rFonts w:ascii="Times New Roman" w:hAnsi="Times New Roman"/>
          <w:b/>
          <w:sz w:val="24"/>
          <w:szCs w:val="24"/>
        </w:rPr>
      </w:pPr>
    </w:p>
    <w:p w:rsidR="002C2334" w:rsidRDefault="002C2334" w:rsidP="000A7ADD">
      <w:pPr>
        <w:spacing w:line="240" w:lineRule="auto"/>
        <w:jc w:val="both"/>
        <w:rPr>
          <w:rFonts w:ascii="Times New Roman" w:hAnsi="Times New Roman"/>
          <w:b/>
          <w:sz w:val="24"/>
          <w:szCs w:val="24"/>
        </w:rPr>
      </w:pPr>
      <w:r>
        <w:rPr>
          <w:rFonts w:ascii="Times New Roman" w:hAnsi="Times New Roman"/>
          <w:noProof/>
          <w:sz w:val="24"/>
          <w:szCs w:val="24"/>
          <w:lang w:eastAsia="es-ES"/>
        </w:rPr>
        <w:lastRenderedPageBreak/>
        <w:drawing>
          <wp:inline distT="0" distB="0" distL="0" distR="0" wp14:anchorId="67BBA533" wp14:editId="24BD767D">
            <wp:extent cx="8890000" cy="4178300"/>
            <wp:effectExtent l="0" t="0" r="635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890000" cy="4178300"/>
                    </a:xfrm>
                    <a:prstGeom prst="rect">
                      <a:avLst/>
                    </a:prstGeom>
                    <a:noFill/>
                    <a:ln>
                      <a:noFill/>
                    </a:ln>
                  </pic:spPr>
                </pic:pic>
              </a:graphicData>
            </a:graphic>
          </wp:inline>
        </w:drawing>
      </w:r>
    </w:p>
    <w:p w:rsidR="002C2334" w:rsidRDefault="002C2334" w:rsidP="000A7ADD">
      <w:pPr>
        <w:spacing w:line="240" w:lineRule="auto"/>
        <w:jc w:val="both"/>
        <w:rPr>
          <w:rFonts w:ascii="Times New Roman" w:hAnsi="Times New Roman"/>
          <w:b/>
          <w:sz w:val="24"/>
          <w:szCs w:val="24"/>
        </w:rPr>
      </w:pPr>
      <w:r>
        <w:rPr>
          <w:rFonts w:ascii="Times New Roman" w:hAnsi="Times New Roman"/>
          <w:noProof/>
          <w:sz w:val="24"/>
          <w:szCs w:val="24"/>
          <w:lang w:eastAsia="es-ES"/>
        </w:rPr>
        <w:drawing>
          <wp:inline distT="0" distB="0" distL="0" distR="0" wp14:anchorId="6C5BEB4A" wp14:editId="1D5E56D8">
            <wp:extent cx="8883650" cy="74295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8883650" cy="742950"/>
                    </a:xfrm>
                    <a:prstGeom prst="rect">
                      <a:avLst/>
                    </a:prstGeom>
                    <a:noFill/>
                    <a:ln>
                      <a:noFill/>
                    </a:ln>
                  </pic:spPr>
                </pic:pic>
              </a:graphicData>
            </a:graphic>
          </wp:inline>
        </w:drawing>
      </w:r>
    </w:p>
    <w:p w:rsidR="002C2334" w:rsidRDefault="002C2334" w:rsidP="000A7ADD">
      <w:pPr>
        <w:spacing w:line="240" w:lineRule="auto"/>
        <w:jc w:val="both"/>
        <w:rPr>
          <w:rFonts w:ascii="Times New Roman" w:hAnsi="Times New Roman"/>
          <w:b/>
          <w:sz w:val="24"/>
          <w:szCs w:val="24"/>
        </w:rPr>
      </w:pPr>
    </w:p>
    <w:p w:rsidR="002C2334" w:rsidRDefault="002C2334" w:rsidP="000A7ADD">
      <w:pPr>
        <w:spacing w:line="240" w:lineRule="auto"/>
        <w:jc w:val="both"/>
        <w:rPr>
          <w:rFonts w:ascii="Times New Roman" w:hAnsi="Times New Roman"/>
          <w:b/>
          <w:sz w:val="24"/>
          <w:szCs w:val="24"/>
        </w:rPr>
      </w:pPr>
    </w:p>
    <w:p w:rsidR="002C2334" w:rsidRDefault="002C2334" w:rsidP="000A7ADD">
      <w:pPr>
        <w:spacing w:line="240" w:lineRule="auto"/>
        <w:jc w:val="both"/>
        <w:rPr>
          <w:rFonts w:ascii="Times New Roman" w:hAnsi="Times New Roman"/>
          <w:b/>
          <w:sz w:val="24"/>
          <w:szCs w:val="24"/>
        </w:rPr>
      </w:pPr>
    </w:p>
    <w:p w:rsidR="002C2334" w:rsidRDefault="002C2334" w:rsidP="000A7ADD">
      <w:pPr>
        <w:spacing w:line="240" w:lineRule="auto"/>
        <w:jc w:val="both"/>
        <w:rPr>
          <w:rFonts w:ascii="Times New Roman" w:hAnsi="Times New Roman"/>
          <w:b/>
          <w:sz w:val="24"/>
          <w:szCs w:val="24"/>
        </w:rPr>
      </w:pPr>
      <w:r>
        <w:rPr>
          <w:rFonts w:ascii="Times New Roman" w:hAnsi="Times New Roman"/>
          <w:noProof/>
          <w:sz w:val="24"/>
          <w:szCs w:val="24"/>
          <w:lang w:eastAsia="es-ES"/>
        </w:rPr>
        <w:drawing>
          <wp:inline distT="0" distB="0" distL="0" distR="0" wp14:anchorId="0EA6E943" wp14:editId="344F6032">
            <wp:extent cx="8883650" cy="42545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883650" cy="4254500"/>
                    </a:xfrm>
                    <a:prstGeom prst="rect">
                      <a:avLst/>
                    </a:prstGeom>
                    <a:noFill/>
                    <a:ln>
                      <a:noFill/>
                    </a:ln>
                  </pic:spPr>
                </pic:pic>
              </a:graphicData>
            </a:graphic>
          </wp:inline>
        </w:drawing>
      </w:r>
    </w:p>
    <w:p w:rsidR="002C2334" w:rsidRDefault="002C2334" w:rsidP="000A7ADD">
      <w:pPr>
        <w:spacing w:line="240" w:lineRule="auto"/>
        <w:jc w:val="both"/>
        <w:rPr>
          <w:rFonts w:ascii="Times New Roman" w:hAnsi="Times New Roman"/>
          <w:b/>
          <w:sz w:val="24"/>
          <w:szCs w:val="24"/>
        </w:rPr>
      </w:pPr>
    </w:p>
    <w:p w:rsidR="002C2334" w:rsidRDefault="002C2334" w:rsidP="000A7ADD">
      <w:pPr>
        <w:spacing w:line="240" w:lineRule="auto"/>
        <w:jc w:val="both"/>
        <w:rPr>
          <w:rFonts w:ascii="Times New Roman" w:hAnsi="Times New Roman"/>
          <w:b/>
          <w:sz w:val="24"/>
          <w:szCs w:val="24"/>
        </w:rPr>
      </w:pPr>
      <w:r>
        <w:rPr>
          <w:rFonts w:ascii="Times New Roman" w:hAnsi="Times New Roman"/>
          <w:noProof/>
          <w:sz w:val="24"/>
          <w:szCs w:val="24"/>
          <w:lang w:eastAsia="es-ES"/>
        </w:rPr>
        <w:lastRenderedPageBreak/>
        <w:drawing>
          <wp:inline distT="0" distB="0" distL="0" distR="0" wp14:anchorId="3888A06A" wp14:editId="6C7EC6C4">
            <wp:extent cx="8883650" cy="4127500"/>
            <wp:effectExtent l="0" t="0" r="0" b="635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883650" cy="4127500"/>
                    </a:xfrm>
                    <a:prstGeom prst="rect">
                      <a:avLst/>
                    </a:prstGeom>
                    <a:noFill/>
                    <a:ln>
                      <a:noFill/>
                    </a:ln>
                  </pic:spPr>
                </pic:pic>
              </a:graphicData>
            </a:graphic>
          </wp:inline>
        </w:drawing>
      </w:r>
    </w:p>
    <w:p w:rsidR="002C2334" w:rsidRDefault="002C2334" w:rsidP="000A7ADD">
      <w:pPr>
        <w:spacing w:line="240" w:lineRule="auto"/>
        <w:jc w:val="both"/>
        <w:rPr>
          <w:rFonts w:ascii="Times New Roman" w:hAnsi="Times New Roman"/>
          <w:b/>
          <w:sz w:val="24"/>
          <w:szCs w:val="24"/>
        </w:rPr>
      </w:pPr>
      <w:r>
        <w:rPr>
          <w:rFonts w:ascii="Times New Roman" w:hAnsi="Times New Roman"/>
          <w:noProof/>
          <w:sz w:val="24"/>
          <w:szCs w:val="24"/>
          <w:lang w:eastAsia="es-ES"/>
        </w:rPr>
        <w:drawing>
          <wp:inline distT="0" distB="0" distL="0" distR="0" wp14:anchorId="245396AF" wp14:editId="35C88BDF">
            <wp:extent cx="8890000" cy="768350"/>
            <wp:effectExtent l="0" t="0" r="635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890000" cy="768350"/>
                    </a:xfrm>
                    <a:prstGeom prst="rect">
                      <a:avLst/>
                    </a:prstGeom>
                    <a:noFill/>
                    <a:ln>
                      <a:noFill/>
                    </a:ln>
                  </pic:spPr>
                </pic:pic>
              </a:graphicData>
            </a:graphic>
          </wp:inline>
        </w:drawing>
      </w:r>
    </w:p>
    <w:p w:rsidR="002C2334" w:rsidRDefault="002C2334" w:rsidP="000A7ADD">
      <w:pPr>
        <w:spacing w:line="240" w:lineRule="auto"/>
        <w:jc w:val="both"/>
        <w:rPr>
          <w:rFonts w:ascii="Times New Roman" w:hAnsi="Times New Roman"/>
          <w:b/>
          <w:sz w:val="24"/>
          <w:szCs w:val="24"/>
        </w:rPr>
        <w:sectPr w:rsidR="002C2334" w:rsidSect="002C2334">
          <w:pgSz w:w="16838" w:h="11906" w:orient="landscape"/>
          <w:pgMar w:top="1701" w:right="1418" w:bottom="1701" w:left="1418" w:header="709" w:footer="709" w:gutter="0"/>
          <w:cols w:space="708"/>
          <w:docGrid w:linePitch="360"/>
        </w:sectPr>
      </w:pPr>
    </w:p>
    <w:p w:rsidR="00260B14" w:rsidRDefault="00260B14" w:rsidP="00260B14">
      <w:pPr>
        <w:spacing w:line="240" w:lineRule="auto"/>
        <w:jc w:val="both"/>
        <w:rPr>
          <w:rFonts w:ascii="Times New Roman" w:hAnsi="Times New Roman"/>
          <w:b/>
          <w:sz w:val="24"/>
          <w:szCs w:val="24"/>
        </w:rPr>
      </w:pPr>
      <w:r w:rsidRPr="004E262F">
        <w:rPr>
          <w:rFonts w:ascii="Times New Roman" w:hAnsi="Times New Roman"/>
          <w:b/>
          <w:sz w:val="24"/>
          <w:szCs w:val="24"/>
        </w:rPr>
        <w:lastRenderedPageBreak/>
        <w:t>OECD Economic Outloock</w:t>
      </w:r>
    </w:p>
    <w:p w:rsidR="00260B14" w:rsidRDefault="00260B14" w:rsidP="00260B14">
      <w:pPr>
        <w:spacing w:line="240" w:lineRule="auto"/>
        <w:jc w:val="both"/>
        <w:rPr>
          <w:rFonts w:ascii="Times New Roman" w:hAnsi="Times New Roman"/>
          <w:b/>
          <w:sz w:val="24"/>
          <w:szCs w:val="24"/>
        </w:rPr>
      </w:pPr>
    </w:p>
    <w:p w:rsidR="00260B14" w:rsidRPr="004E262F" w:rsidRDefault="00260B14" w:rsidP="00260B14">
      <w:pPr>
        <w:spacing w:line="240" w:lineRule="auto"/>
        <w:jc w:val="both"/>
        <w:rPr>
          <w:rFonts w:ascii="Times New Roman" w:hAnsi="Times New Roman"/>
          <w:b/>
          <w:sz w:val="24"/>
          <w:szCs w:val="24"/>
        </w:rPr>
      </w:pPr>
    </w:p>
    <w:p w:rsidR="00260B14" w:rsidRDefault="00260B14" w:rsidP="00260B14">
      <w:pPr>
        <w:jc w:val="both"/>
      </w:pPr>
      <w:r>
        <w:rPr>
          <w:noProof/>
          <w:lang w:eastAsia="es-ES"/>
        </w:rPr>
        <w:drawing>
          <wp:inline distT="0" distB="0" distL="0" distR="0" wp14:anchorId="58779451" wp14:editId="7E81BDD1">
            <wp:extent cx="5397500" cy="70358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97500" cy="7035800"/>
                    </a:xfrm>
                    <a:prstGeom prst="rect">
                      <a:avLst/>
                    </a:prstGeom>
                    <a:noFill/>
                    <a:ln>
                      <a:noFill/>
                    </a:ln>
                  </pic:spPr>
                </pic:pic>
              </a:graphicData>
            </a:graphic>
          </wp:inline>
        </w:drawing>
      </w:r>
    </w:p>
    <w:p w:rsidR="00260B14" w:rsidRDefault="00260B14" w:rsidP="00260B14">
      <w:pPr>
        <w:jc w:val="both"/>
      </w:pPr>
    </w:p>
    <w:p w:rsidR="00260B14" w:rsidRDefault="00260B14" w:rsidP="00260B14">
      <w:pPr>
        <w:jc w:val="both"/>
      </w:pPr>
    </w:p>
    <w:p w:rsidR="00260B14" w:rsidRDefault="00260B14" w:rsidP="00260B14">
      <w:pPr>
        <w:jc w:val="both"/>
      </w:pPr>
    </w:p>
    <w:p w:rsidR="00260B14" w:rsidRDefault="00260B14" w:rsidP="00260B14">
      <w:pPr>
        <w:jc w:val="both"/>
      </w:pPr>
    </w:p>
    <w:p w:rsidR="00260B14" w:rsidRDefault="00260B14" w:rsidP="00260B14">
      <w:pPr>
        <w:jc w:val="both"/>
      </w:pPr>
    </w:p>
    <w:p w:rsidR="00260B14" w:rsidRDefault="00260B14" w:rsidP="00260B14">
      <w:pPr>
        <w:jc w:val="both"/>
      </w:pPr>
      <w:r>
        <w:rPr>
          <w:rFonts w:ascii="Times New Roman" w:hAnsi="Times New Roman"/>
          <w:noProof/>
          <w:sz w:val="24"/>
          <w:szCs w:val="24"/>
          <w:lang w:eastAsia="es-ES"/>
        </w:rPr>
        <w:drawing>
          <wp:inline distT="0" distB="0" distL="0" distR="0" wp14:anchorId="525BE553" wp14:editId="2A79784C">
            <wp:extent cx="5892800" cy="64833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92800" cy="6483350"/>
                    </a:xfrm>
                    <a:prstGeom prst="rect">
                      <a:avLst/>
                    </a:prstGeom>
                    <a:noFill/>
                    <a:ln>
                      <a:noFill/>
                    </a:ln>
                  </pic:spPr>
                </pic:pic>
              </a:graphicData>
            </a:graphic>
          </wp:inline>
        </w:drawing>
      </w:r>
    </w:p>
    <w:p w:rsidR="00260B14" w:rsidRDefault="00260B14" w:rsidP="00260B14">
      <w:pPr>
        <w:jc w:val="both"/>
      </w:pPr>
    </w:p>
    <w:p w:rsidR="00260B14" w:rsidRDefault="00260B14" w:rsidP="00260B14">
      <w:pPr>
        <w:jc w:val="both"/>
      </w:pPr>
    </w:p>
    <w:p w:rsidR="00260B14" w:rsidRDefault="00260B14" w:rsidP="00260B14">
      <w:pPr>
        <w:jc w:val="both"/>
      </w:pPr>
    </w:p>
    <w:p w:rsidR="00260B14" w:rsidRDefault="00260B14" w:rsidP="00260B14">
      <w:pPr>
        <w:jc w:val="both"/>
      </w:pPr>
    </w:p>
    <w:p w:rsidR="00260B14" w:rsidRDefault="00260B14" w:rsidP="00260B14">
      <w:pPr>
        <w:jc w:val="both"/>
      </w:pPr>
    </w:p>
    <w:p w:rsidR="00260B14" w:rsidRDefault="00260B14" w:rsidP="00260B14">
      <w:pPr>
        <w:jc w:val="both"/>
      </w:pPr>
    </w:p>
    <w:p w:rsidR="00260B14" w:rsidRDefault="00260B14" w:rsidP="00260B14">
      <w:pPr>
        <w:jc w:val="both"/>
      </w:pPr>
      <w:r>
        <w:rPr>
          <w:noProof/>
          <w:lang w:eastAsia="es-ES"/>
        </w:rPr>
        <w:drawing>
          <wp:inline distT="0" distB="0" distL="0" distR="0" wp14:anchorId="1108B89B" wp14:editId="169EC03E">
            <wp:extent cx="5638800" cy="71501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638800" cy="7150100"/>
                    </a:xfrm>
                    <a:prstGeom prst="rect">
                      <a:avLst/>
                    </a:prstGeom>
                    <a:noFill/>
                    <a:ln>
                      <a:noFill/>
                    </a:ln>
                  </pic:spPr>
                </pic:pic>
              </a:graphicData>
            </a:graphic>
          </wp:inline>
        </w:drawing>
      </w:r>
    </w:p>
    <w:p w:rsidR="00260B14" w:rsidRDefault="00260B14" w:rsidP="00260B14">
      <w:pPr>
        <w:jc w:val="both"/>
      </w:pPr>
    </w:p>
    <w:p w:rsidR="00260B14" w:rsidRDefault="00260B14" w:rsidP="00260B14">
      <w:pPr>
        <w:jc w:val="both"/>
      </w:pPr>
    </w:p>
    <w:p w:rsidR="00260B14" w:rsidRDefault="00260B14" w:rsidP="00260B14">
      <w:pPr>
        <w:jc w:val="both"/>
      </w:pPr>
    </w:p>
    <w:p w:rsidR="00260B14" w:rsidRDefault="00260B14" w:rsidP="00260B14">
      <w:pPr>
        <w:jc w:val="both"/>
      </w:pPr>
    </w:p>
    <w:p w:rsidR="00260B14" w:rsidRDefault="00260B14" w:rsidP="00260B14">
      <w:pPr>
        <w:jc w:val="both"/>
      </w:pPr>
    </w:p>
    <w:p w:rsidR="00260B14" w:rsidRDefault="00260B14" w:rsidP="00260B14">
      <w:pPr>
        <w:jc w:val="both"/>
      </w:pPr>
      <w:r>
        <w:rPr>
          <w:noProof/>
          <w:lang w:eastAsia="es-ES"/>
        </w:rPr>
        <w:drawing>
          <wp:inline distT="0" distB="0" distL="0" distR="0" wp14:anchorId="6341CB42" wp14:editId="6E1FA0C7">
            <wp:extent cx="5626100" cy="678815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626100" cy="6788150"/>
                    </a:xfrm>
                    <a:prstGeom prst="rect">
                      <a:avLst/>
                    </a:prstGeom>
                    <a:noFill/>
                    <a:ln>
                      <a:noFill/>
                    </a:ln>
                  </pic:spPr>
                </pic:pic>
              </a:graphicData>
            </a:graphic>
          </wp:inline>
        </w:drawing>
      </w:r>
    </w:p>
    <w:p w:rsidR="00260B14" w:rsidRDefault="00260B14" w:rsidP="00260B14">
      <w:pPr>
        <w:jc w:val="both"/>
        <w:sectPr w:rsidR="00260B14" w:rsidSect="004C3AAD">
          <w:pgSz w:w="11906" w:h="16838"/>
          <w:pgMar w:top="1418" w:right="1701" w:bottom="1418" w:left="1701" w:header="709" w:footer="709" w:gutter="0"/>
          <w:cols w:space="708"/>
          <w:docGrid w:linePitch="360"/>
        </w:sectPr>
      </w:pPr>
    </w:p>
    <w:p w:rsidR="00260B14" w:rsidRDefault="00260B14" w:rsidP="00260B14">
      <w:pPr>
        <w:jc w:val="both"/>
      </w:pPr>
      <w:r>
        <w:rPr>
          <w:noProof/>
          <w:lang w:eastAsia="es-ES"/>
        </w:rPr>
        <w:lastRenderedPageBreak/>
        <w:drawing>
          <wp:inline distT="0" distB="0" distL="0" distR="0" wp14:anchorId="4E67F185" wp14:editId="04A965A5">
            <wp:extent cx="8883650" cy="50292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8883650" cy="5029200"/>
                    </a:xfrm>
                    <a:prstGeom prst="rect">
                      <a:avLst/>
                    </a:prstGeom>
                    <a:noFill/>
                    <a:ln>
                      <a:noFill/>
                    </a:ln>
                  </pic:spPr>
                </pic:pic>
              </a:graphicData>
            </a:graphic>
          </wp:inline>
        </w:drawing>
      </w:r>
    </w:p>
    <w:p w:rsidR="00260B14" w:rsidRDefault="00260B14" w:rsidP="00260B14">
      <w:pPr>
        <w:jc w:val="both"/>
      </w:pPr>
    </w:p>
    <w:p w:rsidR="00260B14" w:rsidRPr="00D209E9" w:rsidRDefault="00260B14" w:rsidP="00260B14">
      <w:pPr>
        <w:jc w:val="both"/>
        <w:rPr>
          <w:rFonts w:ascii="Times New Roman" w:hAnsi="Times New Roman"/>
          <w:b/>
          <w:sz w:val="24"/>
          <w:szCs w:val="24"/>
          <w:lang w:val="en-US"/>
        </w:rPr>
      </w:pPr>
      <w:r w:rsidRPr="00D209E9">
        <w:rPr>
          <w:rFonts w:ascii="Times New Roman" w:hAnsi="Times New Roman"/>
          <w:b/>
          <w:sz w:val="24"/>
          <w:szCs w:val="24"/>
          <w:lang w:val="en-US"/>
        </w:rPr>
        <w:lastRenderedPageBreak/>
        <w:t xml:space="preserve">Domestic value added in gross exports </w:t>
      </w:r>
    </w:p>
    <w:p w:rsidR="00260B14" w:rsidRDefault="00260B14" w:rsidP="00260B14">
      <w:pPr>
        <w:jc w:val="both"/>
      </w:pPr>
      <w:r>
        <w:rPr>
          <w:noProof/>
          <w:lang w:eastAsia="es-ES"/>
        </w:rPr>
        <w:drawing>
          <wp:inline distT="0" distB="0" distL="0" distR="0" wp14:anchorId="71AD14C0" wp14:editId="1801F13B">
            <wp:extent cx="8629650" cy="394335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8629650" cy="3943350"/>
                    </a:xfrm>
                    <a:prstGeom prst="rect">
                      <a:avLst/>
                    </a:prstGeom>
                    <a:noFill/>
                    <a:ln>
                      <a:noFill/>
                    </a:ln>
                  </pic:spPr>
                </pic:pic>
              </a:graphicData>
            </a:graphic>
          </wp:inline>
        </w:drawing>
      </w:r>
    </w:p>
    <w:p w:rsidR="00260B14" w:rsidRPr="00D209E9" w:rsidRDefault="00260B14" w:rsidP="00260B14">
      <w:pPr>
        <w:jc w:val="both"/>
        <w:rPr>
          <w:rFonts w:ascii="Times New Roman" w:hAnsi="Times New Roman"/>
          <w:sz w:val="20"/>
          <w:szCs w:val="20"/>
          <w:lang w:val="en-US"/>
        </w:rPr>
      </w:pPr>
      <w:r w:rsidRPr="00D209E9">
        <w:rPr>
          <w:rFonts w:ascii="Times New Roman" w:hAnsi="Times New Roman"/>
          <w:sz w:val="20"/>
          <w:szCs w:val="20"/>
          <w:lang w:val="en-US"/>
        </w:rPr>
        <w:t xml:space="preserve">Definition of Domestic value added in gross exports </w:t>
      </w:r>
    </w:p>
    <w:p w:rsidR="00260B14" w:rsidRDefault="00260B14" w:rsidP="00260B14">
      <w:pPr>
        <w:jc w:val="both"/>
        <w:rPr>
          <w:rFonts w:ascii="Times New Roman" w:hAnsi="Times New Roman"/>
          <w:sz w:val="20"/>
          <w:szCs w:val="20"/>
          <w:lang w:val="en-US"/>
        </w:rPr>
      </w:pPr>
      <w:r w:rsidRPr="00D209E9">
        <w:rPr>
          <w:rFonts w:ascii="Times New Roman" w:hAnsi="Times New Roman"/>
          <w:sz w:val="20"/>
          <w:szCs w:val="20"/>
          <w:lang w:val="en-US"/>
        </w:rPr>
        <w:t>Domestic value added in gross exports is an estimation of value added, by an economy, in producing goods and services for export, simply defined as the difference between gross output at basic prices and intermediate consumption at purchasers' prices. The measure is a percentage share of value. Value added can be decomposed into the following components: compensation of employees; gross operating surplus; mixed income; and other taxes on production less subsidies on production. It can also be derived as the difference between GDP (at market prices) and taxes on products less subsidies on products.</w:t>
      </w:r>
    </w:p>
    <w:p w:rsidR="00260B14" w:rsidRDefault="00260B14" w:rsidP="00260B14">
      <w:pPr>
        <w:jc w:val="both"/>
        <w:rPr>
          <w:rFonts w:ascii="Times New Roman" w:hAnsi="Times New Roman"/>
          <w:sz w:val="20"/>
          <w:szCs w:val="20"/>
          <w:lang w:val="en-US"/>
        </w:rPr>
        <w:sectPr w:rsidR="00260B14" w:rsidSect="004C3AAD">
          <w:pgSz w:w="16838" w:h="11906" w:orient="landscape"/>
          <w:pgMar w:top="1701" w:right="1418" w:bottom="1701" w:left="1418" w:header="709" w:footer="709" w:gutter="0"/>
          <w:cols w:space="708"/>
          <w:docGrid w:linePitch="360"/>
        </w:sectPr>
      </w:pPr>
    </w:p>
    <w:p w:rsidR="00260B14" w:rsidRDefault="00260B14" w:rsidP="00260B14">
      <w:pPr>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7183F261" wp14:editId="6DF65ED5">
            <wp:extent cx="5734050" cy="69977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34050" cy="6997700"/>
                    </a:xfrm>
                    <a:prstGeom prst="rect">
                      <a:avLst/>
                    </a:prstGeom>
                    <a:noFill/>
                    <a:ln>
                      <a:noFill/>
                    </a:ln>
                  </pic:spPr>
                </pic:pic>
              </a:graphicData>
            </a:graphic>
          </wp:inline>
        </w:drawing>
      </w:r>
    </w:p>
    <w:p w:rsidR="00260B14" w:rsidRDefault="00260B14" w:rsidP="00260B14">
      <w:pPr>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1FA10B4A" wp14:editId="003ADDBE">
            <wp:extent cx="5702300" cy="6565900"/>
            <wp:effectExtent l="0" t="0" r="0"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02300" cy="6565900"/>
                    </a:xfrm>
                    <a:prstGeom prst="rect">
                      <a:avLst/>
                    </a:prstGeom>
                    <a:noFill/>
                    <a:ln>
                      <a:noFill/>
                    </a:ln>
                  </pic:spPr>
                </pic:pic>
              </a:graphicData>
            </a:graphic>
          </wp:inline>
        </w:drawing>
      </w:r>
    </w:p>
    <w:p w:rsidR="00260B14" w:rsidRDefault="00260B14" w:rsidP="00260B14">
      <w:pPr>
        <w:jc w:val="both"/>
        <w:rPr>
          <w:rFonts w:ascii="Times New Roman" w:hAnsi="Times New Roman"/>
          <w:sz w:val="20"/>
          <w:szCs w:val="20"/>
          <w:lang w:val="en-US"/>
        </w:rPr>
      </w:pPr>
    </w:p>
    <w:p w:rsidR="00260B14" w:rsidRDefault="00260B14" w:rsidP="00260B14">
      <w:pPr>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6D597CEA" wp14:editId="1D1A145F">
            <wp:extent cx="5708650" cy="7950200"/>
            <wp:effectExtent l="0" t="0" r="635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08650" cy="7950200"/>
                    </a:xfrm>
                    <a:prstGeom prst="rect">
                      <a:avLst/>
                    </a:prstGeom>
                    <a:noFill/>
                    <a:ln>
                      <a:noFill/>
                    </a:ln>
                  </pic:spPr>
                </pic:pic>
              </a:graphicData>
            </a:graphic>
          </wp:inline>
        </w:drawing>
      </w:r>
    </w:p>
    <w:p w:rsidR="00260B14" w:rsidRDefault="00260B14" w:rsidP="00260B14">
      <w:pPr>
        <w:jc w:val="both"/>
        <w:rPr>
          <w:rFonts w:ascii="Times New Roman" w:hAnsi="Times New Roman"/>
          <w:sz w:val="20"/>
          <w:szCs w:val="20"/>
          <w:lang w:val="en-US"/>
        </w:rPr>
      </w:pPr>
    </w:p>
    <w:p w:rsidR="00260B14" w:rsidRDefault="00260B14" w:rsidP="00260B14">
      <w:pPr>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0C8C5004" wp14:editId="7DE65236">
            <wp:extent cx="5632450" cy="8382000"/>
            <wp:effectExtent l="0" t="0" r="635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632450" cy="8382000"/>
                    </a:xfrm>
                    <a:prstGeom prst="rect">
                      <a:avLst/>
                    </a:prstGeom>
                    <a:noFill/>
                    <a:ln>
                      <a:noFill/>
                    </a:ln>
                  </pic:spPr>
                </pic:pic>
              </a:graphicData>
            </a:graphic>
          </wp:inline>
        </w:drawing>
      </w:r>
    </w:p>
    <w:p w:rsidR="00260B14" w:rsidRDefault="00260B14" w:rsidP="00260B14">
      <w:pPr>
        <w:jc w:val="both"/>
        <w:rPr>
          <w:rFonts w:ascii="Times New Roman" w:hAnsi="Times New Roman"/>
          <w:sz w:val="20"/>
          <w:szCs w:val="20"/>
          <w:lang w:val="en-US"/>
        </w:rPr>
      </w:pPr>
    </w:p>
    <w:p w:rsidR="00260B14" w:rsidRDefault="00260B14" w:rsidP="00260B14">
      <w:pPr>
        <w:jc w:val="both"/>
        <w:rPr>
          <w:rFonts w:ascii="Times New Roman" w:hAnsi="Times New Roman"/>
          <w:b/>
          <w:sz w:val="24"/>
          <w:szCs w:val="24"/>
          <w:lang w:val="en-US"/>
        </w:rPr>
      </w:pPr>
      <w:r w:rsidRPr="00364AFE">
        <w:rPr>
          <w:rFonts w:ascii="Times New Roman" w:hAnsi="Times New Roman"/>
          <w:b/>
          <w:sz w:val="24"/>
          <w:szCs w:val="24"/>
          <w:lang w:val="en-US"/>
        </w:rPr>
        <w:lastRenderedPageBreak/>
        <w:t>International trade and foreign direct investment</w:t>
      </w:r>
      <w:r>
        <w:rPr>
          <w:rFonts w:ascii="Times New Roman" w:hAnsi="Times New Roman"/>
          <w:b/>
          <w:sz w:val="24"/>
          <w:szCs w:val="24"/>
          <w:lang w:val="en-US"/>
        </w:rPr>
        <w:t xml:space="preserve"> - Eurostat 2013</w:t>
      </w:r>
    </w:p>
    <w:p w:rsidR="00260B14" w:rsidRPr="00364AFE" w:rsidRDefault="00260B14" w:rsidP="00260B14">
      <w:pPr>
        <w:spacing w:line="240" w:lineRule="auto"/>
        <w:jc w:val="both"/>
        <w:rPr>
          <w:rFonts w:ascii="Times New Roman" w:hAnsi="Times New Roman"/>
          <w:b/>
          <w:sz w:val="24"/>
          <w:szCs w:val="24"/>
          <w:lang w:val="en-US"/>
        </w:rPr>
      </w:pPr>
      <w:r w:rsidRPr="00364AFE">
        <w:rPr>
          <w:rFonts w:ascii="Times New Roman" w:hAnsi="Times New Roman"/>
          <w:b/>
          <w:sz w:val="24"/>
          <w:szCs w:val="24"/>
          <w:lang w:val="en-US"/>
        </w:rPr>
        <w:t>Preface</w:t>
      </w:r>
    </w:p>
    <w:p w:rsidR="00260B14" w:rsidRPr="00364AFE" w:rsidRDefault="00260B14" w:rsidP="00260B14">
      <w:pPr>
        <w:spacing w:line="240" w:lineRule="auto"/>
        <w:jc w:val="both"/>
        <w:rPr>
          <w:rFonts w:ascii="Times New Roman" w:hAnsi="Times New Roman"/>
          <w:sz w:val="24"/>
          <w:szCs w:val="24"/>
          <w:lang w:val="en-US"/>
        </w:rPr>
      </w:pPr>
      <w:r w:rsidRPr="00364AFE">
        <w:rPr>
          <w:rFonts w:ascii="Times New Roman" w:hAnsi="Times New Roman"/>
          <w:sz w:val="24"/>
          <w:szCs w:val="24"/>
          <w:lang w:val="en-US"/>
        </w:rPr>
        <w:t>The EU’s trade policy aims to make the EU competitive in for</w:t>
      </w:r>
      <w:r>
        <w:rPr>
          <w:rFonts w:ascii="Times New Roman" w:hAnsi="Times New Roman"/>
          <w:sz w:val="24"/>
          <w:szCs w:val="24"/>
          <w:lang w:val="en-US"/>
        </w:rPr>
        <w:t xml:space="preserve">eign </w:t>
      </w:r>
      <w:r w:rsidRPr="00364AFE">
        <w:rPr>
          <w:rFonts w:ascii="Times New Roman" w:hAnsi="Times New Roman"/>
          <w:sz w:val="24"/>
          <w:szCs w:val="24"/>
          <w:lang w:val="en-US"/>
        </w:rPr>
        <w:t xml:space="preserve">markets. Being an open economy, </w:t>
      </w:r>
      <w:r>
        <w:rPr>
          <w:rFonts w:ascii="Times New Roman" w:hAnsi="Times New Roman"/>
          <w:sz w:val="24"/>
          <w:szCs w:val="24"/>
          <w:lang w:val="en-US"/>
        </w:rPr>
        <w:t xml:space="preserve">the EU seeks to secure improved </w:t>
      </w:r>
      <w:r w:rsidRPr="00364AFE">
        <w:rPr>
          <w:rFonts w:ascii="Times New Roman" w:hAnsi="Times New Roman"/>
          <w:sz w:val="24"/>
          <w:szCs w:val="24"/>
          <w:lang w:val="en-US"/>
        </w:rPr>
        <w:t>market access for its industries, s</w:t>
      </w:r>
      <w:r>
        <w:rPr>
          <w:rFonts w:ascii="Times New Roman" w:hAnsi="Times New Roman"/>
          <w:sz w:val="24"/>
          <w:szCs w:val="24"/>
          <w:lang w:val="en-US"/>
        </w:rPr>
        <w:t xml:space="preserve">ervices and investments, and to </w:t>
      </w:r>
      <w:r w:rsidRPr="00364AFE">
        <w:rPr>
          <w:rFonts w:ascii="Times New Roman" w:hAnsi="Times New Roman"/>
          <w:sz w:val="24"/>
          <w:szCs w:val="24"/>
          <w:lang w:val="en-US"/>
        </w:rPr>
        <w:t>enforce the rules of free and fair tr</w:t>
      </w:r>
      <w:r>
        <w:rPr>
          <w:rFonts w:ascii="Times New Roman" w:hAnsi="Times New Roman"/>
          <w:sz w:val="24"/>
          <w:szCs w:val="24"/>
          <w:lang w:val="en-US"/>
        </w:rPr>
        <w:t xml:space="preserve">ade. A coordinated trade policy </w:t>
      </w:r>
      <w:r w:rsidRPr="00364AFE">
        <w:rPr>
          <w:rFonts w:ascii="Times New Roman" w:hAnsi="Times New Roman"/>
          <w:sz w:val="24"/>
          <w:szCs w:val="24"/>
          <w:lang w:val="en-US"/>
        </w:rPr>
        <w:t>takes on even greater importance in</w:t>
      </w:r>
      <w:r>
        <w:rPr>
          <w:rFonts w:ascii="Times New Roman" w:hAnsi="Times New Roman"/>
          <w:sz w:val="24"/>
          <w:szCs w:val="24"/>
          <w:lang w:val="en-US"/>
        </w:rPr>
        <w:t xml:space="preserve"> an era of globalisation, where </w:t>
      </w:r>
      <w:r w:rsidRPr="00364AFE">
        <w:rPr>
          <w:rFonts w:ascii="Times New Roman" w:hAnsi="Times New Roman"/>
          <w:sz w:val="24"/>
          <w:szCs w:val="24"/>
          <w:lang w:val="en-US"/>
        </w:rPr>
        <w:t>economies and borders have op</w:t>
      </w:r>
      <w:r>
        <w:rPr>
          <w:rFonts w:ascii="Times New Roman" w:hAnsi="Times New Roman"/>
          <w:sz w:val="24"/>
          <w:szCs w:val="24"/>
          <w:lang w:val="en-US"/>
        </w:rPr>
        <w:t xml:space="preserve">ened up, leading to an increase </w:t>
      </w:r>
      <w:r w:rsidRPr="00364AFE">
        <w:rPr>
          <w:rFonts w:ascii="Times New Roman" w:hAnsi="Times New Roman"/>
          <w:sz w:val="24"/>
          <w:szCs w:val="24"/>
          <w:lang w:val="en-US"/>
        </w:rPr>
        <w:t>in trade and capital movements,</w:t>
      </w:r>
      <w:r>
        <w:rPr>
          <w:rFonts w:ascii="Times New Roman" w:hAnsi="Times New Roman"/>
          <w:sz w:val="24"/>
          <w:szCs w:val="24"/>
          <w:lang w:val="en-US"/>
        </w:rPr>
        <w:t xml:space="preserve"> and the spread of information, </w:t>
      </w:r>
      <w:r w:rsidRPr="00364AFE">
        <w:rPr>
          <w:rFonts w:ascii="Times New Roman" w:hAnsi="Times New Roman"/>
          <w:sz w:val="24"/>
          <w:szCs w:val="24"/>
          <w:lang w:val="en-US"/>
        </w:rPr>
        <w:t>knowledge and technology, often accompanied by deregulation.</w:t>
      </w:r>
    </w:p>
    <w:p w:rsidR="00260B14" w:rsidRPr="00364AFE" w:rsidRDefault="00260B14" w:rsidP="00260B14">
      <w:pPr>
        <w:spacing w:line="240" w:lineRule="auto"/>
        <w:jc w:val="both"/>
        <w:rPr>
          <w:rFonts w:ascii="Times New Roman" w:hAnsi="Times New Roman"/>
          <w:sz w:val="24"/>
          <w:szCs w:val="24"/>
          <w:lang w:val="en-US"/>
        </w:rPr>
      </w:pPr>
      <w:r w:rsidRPr="00364AFE">
        <w:rPr>
          <w:rFonts w:ascii="Times New Roman" w:hAnsi="Times New Roman"/>
          <w:sz w:val="24"/>
          <w:szCs w:val="24"/>
          <w:lang w:val="en-US"/>
        </w:rPr>
        <w:t>The economic impact of globalis</w:t>
      </w:r>
      <w:r>
        <w:rPr>
          <w:rFonts w:ascii="Times New Roman" w:hAnsi="Times New Roman"/>
          <w:sz w:val="24"/>
          <w:szCs w:val="24"/>
          <w:lang w:val="en-US"/>
        </w:rPr>
        <w:t xml:space="preserve">ation on the EU is felt through </w:t>
      </w:r>
      <w:r w:rsidRPr="00364AFE">
        <w:rPr>
          <w:rFonts w:ascii="Times New Roman" w:hAnsi="Times New Roman"/>
          <w:sz w:val="24"/>
          <w:szCs w:val="24"/>
          <w:lang w:val="en-US"/>
        </w:rPr>
        <w:t xml:space="preserve">trade in goods and services, as </w:t>
      </w:r>
      <w:r>
        <w:rPr>
          <w:rFonts w:ascii="Times New Roman" w:hAnsi="Times New Roman"/>
          <w:sz w:val="24"/>
          <w:szCs w:val="24"/>
          <w:lang w:val="en-US"/>
        </w:rPr>
        <w:t xml:space="preserve">well as through financial flows </w:t>
      </w:r>
      <w:r w:rsidRPr="00364AFE">
        <w:rPr>
          <w:rFonts w:ascii="Times New Roman" w:hAnsi="Times New Roman"/>
          <w:sz w:val="24"/>
          <w:szCs w:val="24"/>
          <w:lang w:val="en-US"/>
        </w:rPr>
        <w:t xml:space="preserve">and the movement of persons </w:t>
      </w:r>
      <w:r>
        <w:rPr>
          <w:rFonts w:ascii="Times New Roman" w:hAnsi="Times New Roman"/>
          <w:sz w:val="24"/>
          <w:szCs w:val="24"/>
          <w:lang w:val="en-US"/>
        </w:rPr>
        <w:t xml:space="preserve">linked to cross-border economic </w:t>
      </w:r>
      <w:r w:rsidRPr="00364AFE">
        <w:rPr>
          <w:rFonts w:ascii="Times New Roman" w:hAnsi="Times New Roman"/>
          <w:sz w:val="24"/>
          <w:szCs w:val="24"/>
          <w:lang w:val="en-US"/>
        </w:rPr>
        <w:t>activity.</w:t>
      </w:r>
    </w:p>
    <w:p w:rsidR="00260B14" w:rsidRPr="00364AFE" w:rsidRDefault="00260B14" w:rsidP="00260B14">
      <w:pPr>
        <w:spacing w:line="240" w:lineRule="auto"/>
        <w:jc w:val="both"/>
        <w:rPr>
          <w:rFonts w:ascii="Times New Roman" w:hAnsi="Times New Roman"/>
          <w:sz w:val="24"/>
          <w:szCs w:val="24"/>
          <w:lang w:val="en-US"/>
        </w:rPr>
      </w:pPr>
      <w:r w:rsidRPr="00364AFE">
        <w:rPr>
          <w:rFonts w:ascii="Times New Roman" w:hAnsi="Times New Roman"/>
          <w:sz w:val="24"/>
          <w:szCs w:val="24"/>
          <w:lang w:val="en-US"/>
        </w:rPr>
        <w:t>Globalisation acquires a higher</w:t>
      </w:r>
      <w:r>
        <w:rPr>
          <w:rFonts w:ascii="Times New Roman" w:hAnsi="Times New Roman"/>
          <w:sz w:val="24"/>
          <w:szCs w:val="24"/>
          <w:lang w:val="en-US"/>
        </w:rPr>
        <w:t xml:space="preserve"> profile when it is measured by </w:t>
      </w:r>
      <w:r w:rsidRPr="00364AFE">
        <w:rPr>
          <w:rFonts w:ascii="Times New Roman" w:hAnsi="Times New Roman"/>
          <w:sz w:val="24"/>
          <w:szCs w:val="24"/>
          <w:lang w:val="en-US"/>
        </w:rPr>
        <w:t>actual trade flows. There are two ma</w:t>
      </w:r>
      <w:r>
        <w:rPr>
          <w:rFonts w:ascii="Times New Roman" w:hAnsi="Times New Roman"/>
          <w:sz w:val="24"/>
          <w:szCs w:val="24"/>
          <w:lang w:val="en-US"/>
        </w:rPr>
        <w:t xml:space="preserve">in sources of trade statistics: </w:t>
      </w:r>
      <w:r w:rsidRPr="00364AFE">
        <w:rPr>
          <w:rFonts w:ascii="Times New Roman" w:hAnsi="Times New Roman"/>
          <w:sz w:val="24"/>
          <w:szCs w:val="24"/>
          <w:lang w:val="en-US"/>
        </w:rPr>
        <w:t>the first is international trade i</w:t>
      </w:r>
      <w:r>
        <w:rPr>
          <w:rFonts w:ascii="Times New Roman" w:hAnsi="Times New Roman"/>
          <w:sz w:val="24"/>
          <w:szCs w:val="24"/>
          <w:lang w:val="en-US"/>
        </w:rPr>
        <w:t xml:space="preserve">n goods statistics (ITGS) which </w:t>
      </w:r>
      <w:r w:rsidRPr="00364AFE">
        <w:rPr>
          <w:rFonts w:ascii="Times New Roman" w:hAnsi="Times New Roman"/>
          <w:sz w:val="24"/>
          <w:szCs w:val="24"/>
          <w:lang w:val="en-US"/>
        </w:rPr>
        <w:t>provides highly detailed informati</w:t>
      </w:r>
      <w:r>
        <w:rPr>
          <w:rFonts w:ascii="Times New Roman" w:hAnsi="Times New Roman"/>
          <w:sz w:val="24"/>
          <w:szCs w:val="24"/>
          <w:lang w:val="en-US"/>
        </w:rPr>
        <w:t xml:space="preserve">on on the value and quantity of </w:t>
      </w:r>
      <w:r w:rsidRPr="00364AFE">
        <w:rPr>
          <w:rFonts w:ascii="Times New Roman" w:hAnsi="Times New Roman"/>
          <w:sz w:val="24"/>
          <w:szCs w:val="24"/>
          <w:lang w:val="en-US"/>
        </w:rPr>
        <w:t>international trade; the second is balance of payments s</w:t>
      </w:r>
      <w:r>
        <w:rPr>
          <w:rFonts w:ascii="Times New Roman" w:hAnsi="Times New Roman"/>
          <w:sz w:val="24"/>
          <w:szCs w:val="24"/>
          <w:lang w:val="en-US"/>
        </w:rPr>
        <w:t xml:space="preserve">tatistics </w:t>
      </w:r>
      <w:r w:rsidRPr="00364AFE">
        <w:rPr>
          <w:rFonts w:ascii="Times New Roman" w:hAnsi="Times New Roman"/>
          <w:sz w:val="24"/>
          <w:szCs w:val="24"/>
          <w:lang w:val="en-US"/>
        </w:rPr>
        <w:t>(BoP) which register all the tran</w:t>
      </w:r>
      <w:r>
        <w:rPr>
          <w:rFonts w:ascii="Times New Roman" w:hAnsi="Times New Roman"/>
          <w:sz w:val="24"/>
          <w:szCs w:val="24"/>
          <w:lang w:val="en-US"/>
        </w:rPr>
        <w:t xml:space="preserve">sactions of an economy with the </w:t>
      </w:r>
      <w:r w:rsidRPr="00364AFE">
        <w:rPr>
          <w:rFonts w:ascii="Times New Roman" w:hAnsi="Times New Roman"/>
          <w:sz w:val="24"/>
          <w:szCs w:val="24"/>
          <w:lang w:val="en-US"/>
        </w:rPr>
        <w:t>rest of the world.</w:t>
      </w:r>
    </w:p>
    <w:p w:rsidR="00260B14" w:rsidRDefault="00260B14" w:rsidP="00260B14">
      <w:pPr>
        <w:spacing w:line="240" w:lineRule="auto"/>
        <w:jc w:val="both"/>
        <w:rPr>
          <w:rFonts w:ascii="Times New Roman" w:hAnsi="Times New Roman"/>
          <w:sz w:val="24"/>
          <w:szCs w:val="24"/>
          <w:lang w:val="en-US"/>
        </w:rPr>
      </w:pPr>
      <w:r w:rsidRPr="00364AFE">
        <w:rPr>
          <w:rFonts w:ascii="Times New Roman" w:hAnsi="Times New Roman"/>
          <w:sz w:val="24"/>
          <w:szCs w:val="24"/>
          <w:lang w:val="en-US"/>
        </w:rPr>
        <w:t xml:space="preserve">The purpose of this pocketbook is </w:t>
      </w:r>
      <w:r>
        <w:rPr>
          <w:rFonts w:ascii="Times New Roman" w:hAnsi="Times New Roman"/>
          <w:sz w:val="24"/>
          <w:szCs w:val="24"/>
          <w:lang w:val="en-US"/>
        </w:rPr>
        <w:t xml:space="preserve">to give an overview of the EU’s </w:t>
      </w:r>
      <w:r w:rsidRPr="00364AFE">
        <w:rPr>
          <w:rFonts w:ascii="Times New Roman" w:hAnsi="Times New Roman"/>
          <w:sz w:val="24"/>
          <w:szCs w:val="24"/>
          <w:lang w:val="en-US"/>
        </w:rPr>
        <w:t>trade in merchandise goods (with</w:t>
      </w:r>
      <w:r>
        <w:rPr>
          <w:rFonts w:ascii="Times New Roman" w:hAnsi="Times New Roman"/>
          <w:sz w:val="24"/>
          <w:szCs w:val="24"/>
          <w:lang w:val="en-US"/>
        </w:rPr>
        <w:t xml:space="preserve">in the ITGS framework), as well </w:t>
      </w:r>
      <w:r w:rsidRPr="00364AFE">
        <w:rPr>
          <w:rFonts w:ascii="Times New Roman" w:hAnsi="Times New Roman"/>
          <w:sz w:val="24"/>
          <w:szCs w:val="24"/>
          <w:lang w:val="en-US"/>
        </w:rPr>
        <w:t>as its trade in services, and foreign</w:t>
      </w:r>
      <w:r>
        <w:rPr>
          <w:rFonts w:ascii="Times New Roman" w:hAnsi="Times New Roman"/>
          <w:sz w:val="24"/>
          <w:szCs w:val="24"/>
          <w:lang w:val="en-US"/>
        </w:rPr>
        <w:t xml:space="preserve"> direct investments (within the </w:t>
      </w:r>
      <w:r w:rsidRPr="00364AFE">
        <w:rPr>
          <w:rFonts w:ascii="Times New Roman" w:hAnsi="Times New Roman"/>
          <w:sz w:val="24"/>
          <w:szCs w:val="24"/>
          <w:lang w:val="en-US"/>
        </w:rPr>
        <w:t>BoP framework).</w:t>
      </w:r>
    </w:p>
    <w:p w:rsidR="00260B14" w:rsidRPr="00364AFE" w:rsidRDefault="00260B14" w:rsidP="00260B14">
      <w:pPr>
        <w:spacing w:line="240" w:lineRule="auto"/>
        <w:jc w:val="both"/>
        <w:rPr>
          <w:rFonts w:ascii="Times New Roman" w:hAnsi="Times New Roman"/>
          <w:b/>
          <w:sz w:val="24"/>
          <w:szCs w:val="24"/>
          <w:lang w:val="en-US"/>
        </w:rPr>
      </w:pPr>
      <w:r w:rsidRPr="00364AFE">
        <w:rPr>
          <w:rFonts w:ascii="Times New Roman" w:hAnsi="Times New Roman"/>
          <w:b/>
          <w:sz w:val="24"/>
          <w:szCs w:val="24"/>
          <w:lang w:val="en-US"/>
        </w:rPr>
        <w:t>International trade in goods</w:t>
      </w:r>
    </w:p>
    <w:p w:rsidR="00260B14" w:rsidRPr="00364AFE" w:rsidRDefault="00260B14" w:rsidP="00260B14">
      <w:pPr>
        <w:spacing w:line="240" w:lineRule="auto"/>
        <w:jc w:val="both"/>
        <w:rPr>
          <w:rFonts w:ascii="Times New Roman" w:hAnsi="Times New Roman"/>
          <w:sz w:val="24"/>
          <w:szCs w:val="24"/>
          <w:lang w:val="en-US"/>
        </w:rPr>
      </w:pPr>
      <w:r w:rsidRPr="00364AFE">
        <w:rPr>
          <w:rFonts w:ascii="Times New Roman" w:hAnsi="Times New Roman"/>
          <w:sz w:val="24"/>
          <w:szCs w:val="24"/>
          <w:lang w:val="en-US"/>
        </w:rPr>
        <w:t>International trad</w:t>
      </w:r>
      <w:r>
        <w:rPr>
          <w:rFonts w:ascii="Times New Roman" w:hAnsi="Times New Roman"/>
          <w:sz w:val="24"/>
          <w:szCs w:val="24"/>
          <w:lang w:val="en-US"/>
        </w:rPr>
        <w:t xml:space="preserve">e and foreign direct investment </w:t>
      </w:r>
      <w:r w:rsidRPr="00364AFE">
        <w:rPr>
          <w:rFonts w:ascii="Times New Roman" w:hAnsi="Times New Roman"/>
          <w:sz w:val="24"/>
          <w:szCs w:val="24"/>
          <w:lang w:val="en-US"/>
        </w:rPr>
        <w:t>Statistics on the international trad</w:t>
      </w:r>
      <w:r>
        <w:rPr>
          <w:rFonts w:ascii="Times New Roman" w:hAnsi="Times New Roman"/>
          <w:sz w:val="24"/>
          <w:szCs w:val="24"/>
          <w:lang w:val="en-US"/>
        </w:rPr>
        <w:t xml:space="preserve">e of goods are used extensively </w:t>
      </w:r>
      <w:r w:rsidRPr="00364AFE">
        <w:rPr>
          <w:rFonts w:ascii="Times New Roman" w:hAnsi="Times New Roman"/>
          <w:sz w:val="24"/>
          <w:szCs w:val="24"/>
          <w:lang w:val="en-US"/>
        </w:rPr>
        <w:t>by decision makers at an international, EU and national level.</w:t>
      </w:r>
    </w:p>
    <w:p w:rsidR="00260B14" w:rsidRPr="00364AFE" w:rsidRDefault="00260B14" w:rsidP="00260B14">
      <w:pPr>
        <w:spacing w:line="240" w:lineRule="auto"/>
        <w:jc w:val="both"/>
        <w:rPr>
          <w:rFonts w:ascii="Times New Roman" w:hAnsi="Times New Roman"/>
          <w:sz w:val="24"/>
          <w:szCs w:val="24"/>
          <w:lang w:val="en-US"/>
        </w:rPr>
      </w:pPr>
      <w:r w:rsidRPr="00364AFE">
        <w:rPr>
          <w:rFonts w:ascii="Times New Roman" w:hAnsi="Times New Roman"/>
          <w:sz w:val="24"/>
          <w:szCs w:val="24"/>
          <w:lang w:val="en-US"/>
        </w:rPr>
        <w:t>Businesses may use international</w:t>
      </w:r>
      <w:r>
        <w:rPr>
          <w:rFonts w:ascii="Times New Roman" w:hAnsi="Times New Roman"/>
          <w:sz w:val="24"/>
          <w:szCs w:val="24"/>
          <w:lang w:val="en-US"/>
        </w:rPr>
        <w:t xml:space="preserve"> trade data to carry out market </w:t>
      </w:r>
      <w:r w:rsidRPr="00364AFE">
        <w:rPr>
          <w:rFonts w:ascii="Times New Roman" w:hAnsi="Times New Roman"/>
          <w:sz w:val="24"/>
          <w:szCs w:val="24"/>
          <w:lang w:val="en-US"/>
        </w:rPr>
        <w:t>research and define their commercia</w:t>
      </w:r>
      <w:r>
        <w:rPr>
          <w:rFonts w:ascii="Times New Roman" w:hAnsi="Times New Roman"/>
          <w:sz w:val="24"/>
          <w:szCs w:val="24"/>
          <w:lang w:val="en-US"/>
        </w:rPr>
        <w:t xml:space="preserve">l strategy. International trade </w:t>
      </w:r>
      <w:r w:rsidRPr="00364AFE">
        <w:rPr>
          <w:rFonts w:ascii="Times New Roman" w:hAnsi="Times New Roman"/>
          <w:sz w:val="24"/>
          <w:szCs w:val="24"/>
          <w:lang w:val="en-US"/>
        </w:rPr>
        <w:t>statistics are also used by EU in</w:t>
      </w:r>
      <w:r>
        <w:rPr>
          <w:rFonts w:ascii="Times New Roman" w:hAnsi="Times New Roman"/>
          <w:sz w:val="24"/>
          <w:szCs w:val="24"/>
          <w:lang w:val="en-US"/>
        </w:rPr>
        <w:t xml:space="preserve">stitutions in their preparation </w:t>
      </w:r>
      <w:r w:rsidRPr="00364AFE">
        <w:rPr>
          <w:rFonts w:ascii="Times New Roman" w:hAnsi="Times New Roman"/>
          <w:sz w:val="24"/>
          <w:szCs w:val="24"/>
          <w:lang w:val="en-US"/>
        </w:rPr>
        <w:t>of multilateral and bilateral trade negotiations, f</w:t>
      </w:r>
      <w:r>
        <w:rPr>
          <w:rFonts w:ascii="Times New Roman" w:hAnsi="Times New Roman"/>
          <w:sz w:val="24"/>
          <w:szCs w:val="24"/>
          <w:lang w:val="en-US"/>
        </w:rPr>
        <w:t xml:space="preserve">or defining and </w:t>
      </w:r>
      <w:r w:rsidRPr="00364AFE">
        <w:rPr>
          <w:rFonts w:ascii="Times New Roman" w:hAnsi="Times New Roman"/>
          <w:sz w:val="24"/>
          <w:szCs w:val="24"/>
          <w:lang w:val="en-US"/>
        </w:rPr>
        <w:t>implementing anti-dumping policies, fo</w:t>
      </w:r>
      <w:r>
        <w:rPr>
          <w:rFonts w:ascii="Times New Roman" w:hAnsi="Times New Roman"/>
          <w:sz w:val="24"/>
          <w:szCs w:val="24"/>
          <w:lang w:val="en-US"/>
        </w:rPr>
        <w:t xml:space="preserve">r the purposes of macroeconomic </w:t>
      </w:r>
      <w:r w:rsidRPr="00364AFE">
        <w:rPr>
          <w:rFonts w:ascii="Times New Roman" w:hAnsi="Times New Roman"/>
          <w:sz w:val="24"/>
          <w:szCs w:val="24"/>
          <w:lang w:val="en-US"/>
        </w:rPr>
        <w:t>and monetary policies,</w:t>
      </w:r>
      <w:r>
        <w:rPr>
          <w:rFonts w:ascii="Times New Roman" w:hAnsi="Times New Roman"/>
          <w:sz w:val="24"/>
          <w:szCs w:val="24"/>
          <w:lang w:val="en-US"/>
        </w:rPr>
        <w:t xml:space="preserve"> and in evaluating the progress </w:t>
      </w:r>
      <w:r w:rsidRPr="00364AFE">
        <w:rPr>
          <w:rFonts w:ascii="Times New Roman" w:hAnsi="Times New Roman"/>
          <w:sz w:val="24"/>
          <w:szCs w:val="24"/>
          <w:lang w:val="en-US"/>
        </w:rPr>
        <w:t>of the single market, or the integration of European economies.</w:t>
      </w:r>
    </w:p>
    <w:p w:rsidR="00260B14" w:rsidRPr="00364AFE" w:rsidRDefault="00260B14" w:rsidP="00260B14">
      <w:pPr>
        <w:spacing w:line="240" w:lineRule="auto"/>
        <w:jc w:val="both"/>
        <w:rPr>
          <w:rFonts w:ascii="Times New Roman" w:hAnsi="Times New Roman"/>
          <w:sz w:val="24"/>
          <w:szCs w:val="24"/>
          <w:lang w:val="en-US"/>
        </w:rPr>
      </w:pPr>
      <w:r w:rsidRPr="00364AFE">
        <w:rPr>
          <w:rFonts w:ascii="Times New Roman" w:hAnsi="Times New Roman"/>
          <w:sz w:val="24"/>
          <w:szCs w:val="24"/>
          <w:lang w:val="en-US"/>
        </w:rPr>
        <w:t>The development of trade can</w:t>
      </w:r>
      <w:r>
        <w:rPr>
          <w:rFonts w:ascii="Times New Roman" w:hAnsi="Times New Roman"/>
          <w:sz w:val="24"/>
          <w:szCs w:val="24"/>
          <w:lang w:val="en-US"/>
        </w:rPr>
        <w:t xml:space="preserve"> be an opportunity for economic </w:t>
      </w:r>
      <w:r w:rsidRPr="00364AFE">
        <w:rPr>
          <w:rFonts w:ascii="Times New Roman" w:hAnsi="Times New Roman"/>
          <w:sz w:val="24"/>
          <w:szCs w:val="24"/>
          <w:lang w:val="en-US"/>
        </w:rPr>
        <w:t>growth. The EU has a common tra</w:t>
      </w:r>
      <w:r>
        <w:rPr>
          <w:rFonts w:ascii="Times New Roman" w:hAnsi="Times New Roman"/>
          <w:sz w:val="24"/>
          <w:szCs w:val="24"/>
          <w:lang w:val="en-US"/>
        </w:rPr>
        <w:t xml:space="preserve">de policy, whereby the European </w:t>
      </w:r>
      <w:r w:rsidRPr="00364AFE">
        <w:rPr>
          <w:rFonts w:ascii="Times New Roman" w:hAnsi="Times New Roman"/>
          <w:sz w:val="24"/>
          <w:szCs w:val="24"/>
          <w:lang w:val="en-US"/>
        </w:rPr>
        <w:t>Commission negotiates trad</w:t>
      </w:r>
      <w:r>
        <w:rPr>
          <w:rFonts w:ascii="Times New Roman" w:hAnsi="Times New Roman"/>
          <w:sz w:val="24"/>
          <w:szCs w:val="24"/>
          <w:lang w:val="en-US"/>
        </w:rPr>
        <w:t xml:space="preserve">e agreements and represents the </w:t>
      </w:r>
      <w:r w:rsidRPr="00364AFE">
        <w:rPr>
          <w:rFonts w:ascii="Times New Roman" w:hAnsi="Times New Roman"/>
          <w:sz w:val="24"/>
          <w:szCs w:val="24"/>
          <w:lang w:val="en-US"/>
        </w:rPr>
        <w:t>EU’s interests on behalf of its</w:t>
      </w:r>
      <w:r>
        <w:rPr>
          <w:rFonts w:ascii="Times New Roman" w:hAnsi="Times New Roman"/>
          <w:sz w:val="24"/>
          <w:szCs w:val="24"/>
          <w:lang w:val="en-US"/>
        </w:rPr>
        <w:t xml:space="preserve"> 27 Member States. The European </w:t>
      </w:r>
      <w:r w:rsidRPr="00364AFE">
        <w:rPr>
          <w:rFonts w:ascii="Times New Roman" w:hAnsi="Times New Roman"/>
          <w:sz w:val="24"/>
          <w:szCs w:val="24"/>
          <w:lang w:val="en-US"/>
        </w:rPr>
        <w:t>Commission consults Member State</w:t>
      </w:r>
      <w:r>
        <w:rPr>
          <w:rFonts w:ascii="Times New Roman" w:hAnsi="Times New Roman"/>
          <w:sz w:val="24"/>
          <w:szCs w:val="24"/>
          <w:lang w:val="en-US"/>
        </w:rPr>
        <w:t xml:space="preserve">s through an advisory committee </w:t>
      </w:r>
      <w:r w:rsidRPr="00364AFE">
        <w:rPr>
          <w:rFonts w:ascii="Times New Roman" w:hAnsi="Times New Roman"/>
          <w:sz w:val="24"/>
          <w:szCs w:val="24"/>
          <w:lang w:val="en-US"/>
        </w:rPr>
        <w:t>which discusses the full range o</w:t>
      </w:r>
      <w:r>
        <w:rPr>
          <w:rFonts w:ascii="Times New Roman" w:hAnsi="Times New Roman"/>
          <w:sz w:val="24"/>
          <w:szCs w:val="24"/>
          <w:lang w:val="en-US"/>
        </w:rPr>
        <w:t xml:space="preserve">f trade policy issues affecting </w:t>
      </w:r>
      <w:r w:rsidRPr="00364AFE">
        <w:rPr>
          <w:rFonts w:ascii="Times New Roman" w:hAnsi="Times New Roman"/>
          <w:sz w:val="24"/>
          <w:szCs w:val="24"/>
          <w:lang w:val="en-US"/>
        </w:rPr>
        <w:t>the EU including multilateral, bilateral and unilateral instruments.</w:t>
      </w:r>
    </w:p>
    <w:p w:rsidR="00260B14" w:rsidRDefault="00260B14" w:rsidP="00260B14">
      <w:pPr>
        <w:spacing w:line="240" w:lineRule="auto"/>
        <w:jc w:val="both"/>
        <w:rPr>
          <w:rFonts w:ascii="Times New Roman" w:hAnsi="Times New Roman"/>
          <w:sz w:val="24"/>
          <w:szCs w:val="24"/>
          <w:lang w:val="en-US"/>
        </w:rPr>
      </w:pPr>
      <w:r w:rsidRPr="00364AFE">
        <w:rPr>
          <w:rFonts w:ascii="Times New Roman" w:hAnsi="Times New Roman"/>
          <w:sz w:val="24"/>
          <w:szCs w:val="24"/>
          <w:lang w:val="en-US"/>
        </w:rPr>
        <w:t>As such, trade policy is an</w:t>
      </w:r>
      <w:r>
        <w:rPr>
          <w:rFonts w:ascii="Times New Roman" w:hAnsi="Times New Roman"/>
          <w:sz w:val="24"/>
          <w:szCs w:val="24"/>
          <w:lang w:val="en-US"/>
        </w:rPr>
        <w:t xml:space="preserve"> exclusive power of the EU - so </w:t>
      </w:r>
      <w:r w:rsidRPr="00364AFE">
        <w:rPr>
          <w:rFonts w:ascii="Times New Roman" w:hAnsi="Times New Roman"/>
          <w:sz w:val="24"/>
          <w:szCs w:val="24"/>
          <w:lang w:val="en-US"/>
        </w:rPr>
        <w:t xml:space="preserve">only the EU, and not individual </w:t>
      </w:r>
      <w:r>
        <w:rPr>
          <w:rFonts w:ascii="Times New Roman" w:hAnsi="Times New Roman"/>
          <w:sz w:val="24"/>
          <w:szCs w:val="24"/>
          <w:lang w:val="en-US"/>
        </w:rPr>
        <w:t xml:space="preserve">Member States, can legislate on </w:t>
      </w:r>
      <w:r w:rsidRPr="00364AFE">
        <w:rPr>
          <w:rFonts w:ascii="Times New Roman" w:hAnsi="Times New Roman"/>
          <w:sz w:val="24"/>
          <w:szCs w:val="24"/>
          <w:lang w:val="en-US"/>
        </w:rPr>
        <w:t>trade matters and conclude inter</w:t>
      </w:r>
      <w:r>
        <w:rPr>
          <w:rFonts w:ascii="Times New Roman" w:hAnsi="Times New Roman"/>
          <w:sz w:val="24"/>
          <w:szCs w:val="24"/>
          <w:lang w:val="en-US"/>
        </w:rPr>
        <w:t xml:space="preserve">national trade agreements. This </w:t>
      </w:r>
      <w:r w:rsidRPr="00364AFE">
        <w:rPr>
          <w:rFonts w:ascii="Times New Roman" w:hAnsi="Times New Roman"/>
          <w:sz w:val="24"/>
          <w:szCs w:val="24"/>
          <w:lang w:val="en-US"/>
        </w:rPr>
        <w:t>scope extends beyond trade in goo</w:t>
      </w:r>
      <w:r>
        <w:rPr>
          <w:rFonts w:ascii="Times New Roman" w:hAnsi="Times New Roman"/>
          <w:sz w:val="24"/>
          <w:szCs w:val="24"/>
          <w:lang w:val="en-US"/>
        </w:rPr>
        <w:t xml:space="preserve">ds, to cover trade in services, </w:t>
      </w:r>
      <w:r w:rsidRPr="00364AFE">
        <w:rPr>
          <w:rFonts w:ascii="Times New Roman" w:hAnsi="Times New Roman"/>
          <w:sz w:val="24"/>
          <w:szCs w:val="24"/>
          <w:lang w:val="en-US"/>
        </w:rPr>
        <w:t>intellectual property and foreign direct investment.</w:t>
      </w:r>
    </w:p>
    <w:p w:rsidR="00260B14" w:rsidRDefault="00260B14" w:rsidP="00260B14">
      <w:pPr>
        <w:spacing w:line="240" w:lineRule="auto"/>
        <w:jc w:val="both"/>
        <w:rPr>
          <w:rFonts w:ascii="Times New Roman" w:hAnsi="Times New Roman"/>
          <w:sz w:val="24"/>
          <w:szCs w:val="24"/>
          <w:lang w:val="en-US"/>
        </w:rPr>
      </w:pPr>
    </w:p>
    <w:p w:rsidR="00260B14" w:rsidRDefault="00260B14" w:rsidP="00260B14">
      <w:pPr>
        <w:spacing w:line="240" w:lineRule="auto"/>
        <w:jc w:val="both"/>
        <w:rPr>
          <w:rFonts w:ascii="Times New Roman" w:hAnsi="Times New Roman"/>
          <w:sz w:val="24"/>
          <w:szCs w:val="24"/>
          <w:lang w:val="en-US"/>
        </w:rPr>
      </w:pPr>
    </w:p>
    <w:p w:rsidR="00260B14" w:rsidRDefault="00260B14" w:rsidP="00260B14">
      <w:pPr>
        <w:spacing w:line="240" w:lineRule="auto"/>
        <w:jc w:val="both"/>
        <w:rPr>
          <w:rFonts w:ascii="Times New Roman" w:hAnsi="Times New Roman"/>
          <w:sz w:val="24"/>
          <w:szCs w:val="24"/>
          <w:lang w:val="en-US"/>
        </w:rPr>
      </w:pPr>
    </w:p>
    <w:p w:rsidR="00260B14" w:rsidRDefault="00260B14" w:rsidP="00260B14">
      <w:pPr>
        <w:spacing w:line="240" w:lineRule="auto"/>
        <w:jc w:val="both"/>
        <w:rPr>
          <w:rFonts w:ascii="Times New Roman" w:hAnsi="Times New Roman"/>
          <w:sz w:val="24"/>
          <w:szCs w:val="24"/>
          <w:lang w:val="en-US"/>
        </w:rPr>
      </w:pPr>
      <w:r>
        <w:rPr>
          <w:rFonts w:ascii="Times New Roman" w:hAnsi="Times New Roman"/>
          <w:noProof/>
          <w:sz w:val="24"/>
          <w:szCs w:val="24"/>
          <w:lang w:eastAsia="es-ES"/>
        </w:rPr>
        <w:drawing>
          <wp:inline distT="0" distB="0" distL="0" distR="0" wp14:anchorId="07ECDAA1" wp14:editId="248C1374">
            <wp:extent cx="5397500" cy="7118350"/>
            <wp:effectExtent l="0" t="0" r="0"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397500" cy="71183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4"/>
          <w:szCs w:val="24"/>
          <w:lang w:val="en-US"/>
        </w:rPr>
      </w:pPr>
    </w:p>
    <w:p w:rsidR="00260B14" w:rsidRDefault="00260B14" w:rsidP="00260B14">
      <w:pPr>
        <w:spacing w:line="240" w:lineRule="auto"/>
        <w:jc w:val="both"/>
        <w:rPr>
          <w:rFonts w:ascii="Times New Roman" w:hAnsi="Times New Roman"/>
          <w:sz w:val="24"/>
          <w:szCs w:val="24"/>
          <w:lang w:val="en-US"/>
        </w:rPr>
      </w:pPr>
    </w:p>
    <w:p w:rsidR="00260B14" w:rsidRDefault="00260B14" w:rsidP="00260B14">
      <w:pPr>
        <w:spacing w:line="240" w:lineRule="auto"/>
        <w:jc w:val="both"/>
        <w:rPr>
          <w:rFonts w:ascii="Times New Roman" w:hAnsi="Times New Roman"/>
          <w:sz w:val="24"/>
          <w:szCs w:val="24"/>
          <w:lang w:val="en-US"/>
        </w:rPr>
      </w:pPr>
    </w:p>
    <w:p w:rsidR="00260B14" w:rsidRDefault="00260B14" w:rsidP="00260B14">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 xml:space="preserve">         </w:t>
      </w:r>
      <w:r>
        <w:rPr>
          <w:rFonts w:ascii="Times New Roman" w:hAnsi="Times New Roman"/>
          <w:noProof/>
          <w:sz w:val="24"/>
          <w:szCs w:val="24"/>
          <w:lang w:eastAsia="es-ES"/>
        </w:rPr>
        <w:drawing>
          <wp:inline distT="0" distB="0" distL="0" distR="0" wp14:anchorId="2CD30F20" wp14:editId="37F80B21">
            <wp:extent cx="4864100" cy="66294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64100" cy="6629400"/>
                    </a:xfrm>
                    <a:prstGeom prst="rect">
                      <a:avLst/>
                    </a:prstGeom>
                    <a:noFill/>
                    <a:ln>
                      <a:noFill/>
                    </a:ln>
                  </pic:spPr>
                </pic:pic>
              </a:graphicData>
            </a:graphic>
          </wp:inline>
        </w:drawing>
      </w:r>
    </w:p>
    <w:p w:rsidR="00260B14" w:rsidRPr="00C25CCE"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The value of world trade in goods, excluding intra-EU-27 trade, was about EUR 18 000 billion in 2010. The European Union is the leading trader, accounting for 16 % of total world trade. The United States was the second biggest trader with a share of 14 %, followed by China (12 %), Japan (6 %) and South Korea (4 %).</w:t>
      </w:r>
    </w:p>
    <w:p w:rsidR="00260B14" w:rsidRPr="00C25CCE"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The EU is the biggest exporter and importer in the world. In 2010, the value of extra-EU-27 exports was EUR 1 357 billion and value of imports EUR 1 531 billion.</w:t>
      </w:r>
    </w:p>
    <w:p w:rsidR="00260B14" w:rsidRPr="00C25CCE"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The United States is the second biggest importer in the world. It also records the biggest trade deficit, about EUR 520 billion in 2010.</w:t>
      </w:r>
    </w:p>
    <w:p w:rsidR="00260B14" w:rsidRPr="00C25CCE"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China has become a major global trader in recent years. In 2007</w:t>
      </w:r>
    </w:p>
    <w:p w:rsidR="00260B14"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China overtook the USA as the second biggest exporter in the world.</w:t>
      </w: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lastRenderedPageBreak/>
        <w:t xml:space="preserve">             </w:t>
      </w:r>
      <w:r>
        <w:rPr>
          <w:rFonts w:ascii="Times New Roman" w:hAnsi="Times New Roman"/>
          <w:noProof/>
          <w:sz w:val="20"/>
          <w:szCs w:val="20"/>
          <w:lang w:eastAsia="es-ES"/>
        </w:rPr>
        <w:drawing>
          <wp:inline distT="0" distB="0" distL="0" distR="0" wp14:anchorId="41CFB5EC" wp14:editId="5882FCC5">
            <wp:extent cx="4387850" cy="6915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387850" cy="69151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p>
    <w:p w:rsidR="00260B14" w:rsidRPr="00C25CCE"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The rapid decline in both impo</w:t>
      </w:r>
      <w:r>
        <w:rPr>
          <w:rFonts w:ascii="Times New Roman" w:hAnsi="Times New Roman"/>
          <w:sz w:val="20"/>
          <w:szCs w:val="20"/>
          <w:lang w:val="en-US"/>
        </w:rPr>
        <w:t xml:space="preserve">rts and exports recorded by the </w:t>
      </w:r>
      <w:r w:rsidRPr="00C25CCE">
        <w:rPr>
          <w:rFonts w:ascii="Times New Roman" w:hAnsi="Times New Roman"/>
          <w:sz w:val="20"/>
          <w:szCs w:val="20"/>
          <w:lang w:val="en-US"/>
        </w:rPr>
        <w:t xml:space="preserve">European Union in 2009, following the </w:t>
      </w:r>
      <w:r>
        <w:rPr>
          <w:rFonts w:ascii="Times New Roman" w:hAnsi="Times New Roman"/>
          <w:sz w:val="20"/>
          <w:szCs w:val="20"/>
          <w:lang w:val="en-US"/>
        </w:rPr>
        <w:t xml:space="preserve">financial turmoil at the end of </w:t>
      </w:r>
      <w:r w:rsidRPr="00C25CCE">
        <w:rPr>
          <w:rFonts w:ascii="Times New Roman" w:hAnsi="Times New Roman"/>
          <w:sz w:val="20"/>
          <w:szCs w:val="20"/>
          <w:lang w:val="en-US"/>
        </w:rPr>
        <w:t>2008, was completely reversed in 20</w:t>
      </w:r>
      <w:r>
        <w:rPr>
          <w:rFonts w:ascii="Times New Roman" w:hAnsi="Times New Roman"/>
          <w:sz w:val="20"/>
          <w:szCs w:val="20"/>
          <w:lang w:val="en-US"/>
        </w:rPr>
        <w:t xml:space="preserve">11. Both EU exports and imports </w:t>
      </w:r>
      <w:r w:rsidRPr="00C25CCE">
        <w:rPr>
          <w:rFonts w:ascii="Times New Roman" w:hAnsi="Times New Roman"/>
          <w:sz w:val="20"/>
          <w:szCs w:val="20"/>
          <w:lang w:val="en-US"/>
        </w:rPr>
        <w:t>reached a record level, summing up to more than EUR 3 000 billion.</w:t>
      </w:r>
    </w:p>
    <w:p w:rsidR="00260B14"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EU trade is characterised by a perman</w:t>
      </w:r>
      <w:r>
        <w:rPr>
          <w:rFonts w:ascii="Times New Roman" w:hAnsi="Times New Roman"/>
          <w:sz w:val="20"/>
          <w:szCs w:val="20"/>
          <w:lang w:val="en-US"/>
        </w:rPr>
        <w:t xml:space="preserve">ent but generally limited trade </w:t>
      </w:r>
      <w:r w:rsidRPr="00C25CCE">
        <w:rPr>
          <w:rFonts w:ascii="Times New Roman" w:hAnsi="Times New Roman"/>
          <w:sz w:val="20"/>
          <w:szCs w:val="20"/>
          <w:lang w:val="en-US"/>
        </w:rPr>
        <w:t>deficit. In 2011 the deficit was valued at EUR 160 billion</w:t>
      </w:r>
      <w:r>
        <w:rPr>
          <w:rFonts w:ascii="Times New Roman" w:hAnsi="Times New Roman"/>
          <w:sz w:val="20"/>
          <w:szCs w:val="20"/>
          <w:lang w:val="en-US"/>
        </w:rPr>
        <w:t xml:space="preserve">, which was </w:t>
      </w:r>
      <w:r w:rsidRPr="00C25CCE">
        <w:rPr>
          <w:rFonts w:ascii="Times New Roman" w:hAnsi="Times New Roman"/>
          <w:sz w:val="20"/>
          <w:szCs w:val="20"/>
          <w:lang w:val="en-US"/>
        </w:rPr>
        <w:t>a little less than the deficit registered in the previous year.</w:t>
      </w: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lastRenderedPageBreak/>
        <w:t xml:space="preserve">             </w:t>
      </w:r>
      <w:r>
        <w:rPr>
          <w:rFonts w:ascii="Times New Roman" w:hAnsi="Times New Roman"/>
          <w:noProof/>
          <w:sz w:val="20"/>
          <w:szCs w:val="20"/>
          <w:lang w:eastAsia="es-ES"/>
        </w:rPr>
        <w:drawing>
          <wp:inline distT="0" distB="0" distL="0" distR="0" wp14:anchorId="3427E9D5" wp14:editId="7A42692A">
            <wp:extent cx="4591050" cy="651510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591050" cy="651510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p>
    <w:p w:rsidR="00260B14" w:rsidRPr="00C25CCE"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 xml:space="preserve">In 2011 over 40 % of EU imports </w:t>
      </w:r>
      <w:r>
        <w:rPr>
          <w:rFonts w:ascii="Times New Roman" w:hAnsi="Times New Roman"/>
          <w:sz w:val="20"/>
          <w:szCs w:val="20"/>
          <w:lang w:val="en-US"/>
        </w:rPr>
        <w:t xml:space="preserve">came from Asian countries while </w:t>
      </w:r>
      <w:r w:rsidRPr="00C25CCE">
        <w:rPr>
          <w:rFonts w:ascii="Times New Roman" w:hAnsi="Times New Roman"/>
          <w:sz w:val="20"/>
          <w:szCs w:val="20"/>
          <w:lang w:val="en-US"/>
        </w:rPr>
        <w:t>the other European countries accounted for more than a quarter.</w:t>
      </w:r>
    </w:p>
    <w:p w:rsidR="00260B14" w:rsidRPr="00C25CCE"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The main destination for EU expo</w:t>
      </w:r>
      <w:r>
        <w:rPr>
          <w:rFonts w:ascii="Times New Roman" w:hAnsi="Times New Roman"/>
          <w:sz w:val="20"/>
          <w:szCs w:val="20"/>
          <w:lang w:val="en-US"/>
        </w:rPr>
        <w:t xml:space="preserve">rts in 2009 was Asia with about </w:t>
      </w:r>
      <w:r w:rsidRPr="00C25CCE">
        <w:rPr>
          <w:rFonts w:ascii="Times New Roman" w:hAnsi="Times New Roman"/>
          <w:sz w:val="20"/>
          <w:szCs w:val="20"/>
          <w:lang w:val="en-US"/>
        </w:rPr>
        <w:t xml:space="preserve">one third of the total, followed by </w:t>
      </w:r>
      <w:r>
        <w:rPr>
          <w:rFonts w:ascii="Times New Roman" w:hAnsi="Times New Roman"/>
          <w:sz w:val="20"/>
          <w:szCs w:val="20"/>
          <w:lang w:val="en-US"/>
        </w:rPr>
        <w:t xml:space="preserve">other European countries (28 %) </w:t>
      </w:r>
      <w:r w:rsidRPr="00C25CCE">
        <w:rPr>
          <w:rFonts w:ascii="Times New Roman" w:hAnsi="Times New Roman"/>
          <w:sz w:val="20"/>
          <w:szCs w:val="20"/>
          <w:lang w:val="en-US"/>
        </w:rPr>
        <w:t>and North America (19 %).</w:t>
      </w:r>
    </w:p>
    <w:p w:rsidR="00260B14"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The EU has a considerable deficit</w:t>
      </w:r>
      <w:r>
        <w:rPr>
          <w:rFonts w:ascii="Times New Roman" w:hAnsi="Times New Roman"/>
          <w:sz w:val="20"/>
          <w:szCs w:val="20"/>
          <w:lang w:val="en-US"/>
        </w:rPr>
        <w:t xml:space="preserve"> in trade with Asian countries, </w:t>
      </w:r>
      <w:r w:rsidRPr="00C25CCE">
        <w:rPr>
          <w:rFonts w:ascii="Times New Roman" w:hAnsi="Times New Roman"/>
          <w:sz w:val="20"/>
          <w:szCs w:val="20"/>
          <w:lang w:val="en-US"/>
        </w:rPr>
        <w:t>while the largest surplus is recorded in trade with North America.</w:t>
      </w: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t xml:space="preserve">         </w:t>
      </w:r>
      <w:r>
        <w:rPr>
          <w:rFonts w:ascii="Times New Roman" w:hAnsi="Times New Roman"/>
          <w:noProof/>
          <w:sz w:val="20"/>
          <w:szCs w:val="20"/>
          <w:lang w:eastAsia="es-ES"/>
        </w:rPr>
        <w:drawing>
          <wp:inline distT="0" distB="0" distL="0" distR="0" wp14:anchorId="60C979D3" wp14:editId="2C538060">
            <wp:extent cx="4654550" cy="706755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654550" cy="70675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p>
    <w:p w:rsidR="00260B14" w:rsidRPr="00C25CCE"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The USA has traditionally been the EU’</w:t>
      </w:r>
      <w:r>
        <w:rPr>
          <w:rFonts w:ascii="Times New Roman" w:hAnsi="Times New Roman"/>
          <w:sz w:val="20"/>
          <w:szCs w:val="20"/>
          <w:lang w:val="en-US"/>
        </w:rPr>
        <w:t xml:space="preserve">s major trading partner but its </w:t>
      </w:r>
      <w:r w:rsidRPr="00C25CCE">
        <w:rPr>
          <w:rFonts w:ascii="Times New Roman" w:hAnsi="Times New Roman"/>
          <w:sz w:val="20"/>
          <w:szCs w:val="20"/>
          <w:lang w:val="en-US"/>
        </w:rPr>
        <w:t>relative significance has declined in recent years, in particular in exports.</w:t>
      </w:r>
    </w:p>
    <w:p w:rsidR="00260B14"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Between 2006 and 2011 the US prop</w:t>
      </w:r>
      <w:r>
        <w:rPr>
          <w:rFonts w:ascii="Times New Roman" w:hAnsi="Times New Roman"/>
          <w:sz w:val="20"/>
          <w:szCs w:val="20"/>
          <w:lang w:val="en-US"/>
        </w:rPr>
        <w:t xml:space="preserve">ortion of total EU exports fell </w:t>
      </w:r>
      <w:r w:rsidRPr="00C25CCE">
        <w:rPr>
          <w:rFonts w:ascii="Times New Roman" w:hAnsi="Times New Roman"/>
          <w:sz w:val="20"/>
          <w:szCs w:val="20"/>
          <w:lang w:val="en-US"/>
        </w:rPr>
        <w:t>from 23 % to 17 %. Nevertheless, fro</w:t>
      </w:r>
      <w:r>
        <w:rPr>
          <w:rFonts w:ascii="Times New Roman" w:hAnsi="Times New Roman"/>
          <w:sz w:val="20"/>
          <w:szCs w:val="20"/>
          <w:lang w:val="en-US"/>
        </w:rPr>
        <w:t xml:space="preserve">m 2009 the surplus with the USA </w:t>
      </w:r>
      <w:r w:rsidRPr="00C25CCE">
        <w:rPr>
          <w:rFonts w:ascii="Times New Roman" w:hAnsi="Times New Roman"/>
          <w:sz w:val="20"/>
          <w:szCs w:val="20"/>
          <w:lang w:val="en-US"/>
        </w:rPr>
        <w:t>has been increasing, and in 2011 it reached a record level since 2008.</w:t>
      </w: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t xml:space="preserve">               </w:t>
      </w:r>
      <w:r>
        <w:rPr>
          <w:rFonts w:ascii="Times New Roman" w:hAnsi="Times New Roman"/>
          <w:noProof/>
          <w:sz w:val="20"/>
          <w:szCs w:val="20"/>
          <w:lang w:eastAsia="es-ES"/>
        </w:rPr>
        <w:drawing>
          <wp:inline distT="0" distB="0" distL="0" distR="0" wp14:anchorId="1A70ABDC" wp14:editId="6F7DC740">
            <wp:extent cx="4489450" cy="6559550"/>
            <wp:effectExtent l="0" t="0" r="635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489450" cy="65595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p>
    <w:p w:rsidR="00260B14" w:rsidRPr="00C25CCE"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China has become a main player in world trade in recent years.</w:t>
      </w:r>
    </w:p>
    <w:p w:rsidR="00260B14" w:rsidRPr="00C25CCE"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The EU trade with China has m</w:t>
      </w:r>
      <w:r>
        <w:rPr>
          <w:rFonts w:ascii="Times New Roman" w:hAnsi="Times New Roman"/>
          <w:sz w:val="20"/>
          <w:szCs w:val="20"/>
          <w:lang w:val="en-US"/>
        </w:rPr>
        <w:t xml:space="preserve">ore than quadrupled since 2000. </w:t>
      </w:r>
      <w:r w:rsidRPr="00C25CCE">
        <w:rPr>
          <w:rFonts w:ascii="Times New Roman" w:hAnsi="Times New Roman"/>
          <w:sz w:val="20"/>
          <w:szCs w:val="20"/>
          <w:lang w:val="en-US"/>
        </w:rPr>
        <w:t>China currently ranks first am</w:t>
      </w:r>
      <w:r>
        <w:rPr>
          <w:rFonts w:ascii="Times New Roman" w:hAnsi="Times New Roman"/>
          <w:sz w:val="20"/>
          <w:szCs w:val="20"/>
          <w:lang w:val="en-US"/>
        </w:rPr>
        <w:t xml:space="preserve">ong EU imports suppliers, after </w:t>
      </w:r>
      <w:r w:rsidRPr="00C25CCE">
        <w:rPr>
          <w:rFonts w:ascii="Times New Roman" w:hAnsi="Times New Roman"/>
          <w:sz w:val="20"/>
          <w:szCs w:val="20"/>
          <w:lang w:val="en-US"/>
        </w:rPr>
        <w:t xml:space="preserve">overtaking the USA in 2006, and </w:t>
      </w:r>
      <w:r>
        <w:rPr>
          <w:rFonts w:ascii="Times New Roman" w:hAnsi="Times New Roman"/>
          <w:sz w:val="20"/>
          <w:szCs w:val="20"/>
          <w:lang w:val="en-US"/>
        </w:rPr>
        <w:t xml:space="preserve">is the third destination for EU </w:t>
      </w:r>
      <w:r w:rsidRPr="00C25CCE">
        <w:rPr>
          <w:rFonts w:ascii="Times New Roman" w:hAnsi="Times New Roman"/>
          <w:sz w:val="20"/>
          <w:szCs w:val="20"/>
          <w:lang w:val="en-US"/>
        </w:rPr>
        <w:t>exports, just after Switzerland.</w:t>
      </w:r>
    </w:p>
    <w:p w:rsidR="00260B14" w:rsidRDefault="00260B14" w:rsidP="00260B14">
      <w:pPr>
        <w:spacing w:line="240" w:lineRule="auto"/>
        <w:jc w:val="both"/>
        <w:rPr>
          <w:rFonts w:ascii="Times New Roman" w:hAnsi="Times New Roman"/>
          <w:sz w:val="20"/>
          <w:szCs w:val="20"/>
          <w:lang w:val="en-US"/>
        </w:rPr>
      </w:pPr>
      <w:r w:rsidRPr="00C25CCE">
        <w:rPr>
          <w:rFonts w:ascii="Times New Roman" w:hAnsi="Times New Roman"/>
          <w:sz w:val="20"/>
          <w:szCs w:val="20"/>
          <w:lang w:val="en-US"/>
        </w:rPr>
        <w:t>Since 2000 the EU has recorded the largest bilateral def</w:t>
      </w:r>
      <w:r>
        <w:rPr>
          <w:rFonts w:ascii="Times New Roman" w:hAnsi="Times New Roman"/>
          <w:sz w:val="20"/>
          <w:szCs w:val="20"/>
          <w:lang w:val="en-US"/>
        </w:rPr>
        <w:t xml:space="preserve">icit in </w:t>
      </w:r>
      <w:r w:rsidRPr="00C25CCE">
        <w:rPr>
          <w:rFonts w:ascii="Times New Roman" w:hAnsi="Times New Roman"/>
          <w:sz w:val="20"/>
          <w:szCs w:val="20"/>
          <w:lang w:val="en-US"/>
        </w:rPr>
        <w:t>trade with China. Other large defic</w:t>
      </w:r>
      <w:r>
        <w:rPr>
          <w:rFonts w:ascii="Times New Roman" w:hAnsi="Times New Roman"/>
          <w:sz w:val="20"/>
          <w:szCs w:val="20"/>
          <w:lang w:val="en-US"/>
        </w:rPr>
        <w:t xml:space="preserve">its were measured in trade with </w:t>
      </w:r>
      <w:r w:rsidRPr="00C25CCE">
        <w:rPr>
          <w:rFonts w:ascii="Times New Roman" w:hAnsi="Times New Roman"/>
          <w:sz w:val="20"/>
          <w:szCs w:val="20"/>
          <w:lang w:val="en-US"/>
        </w:rPr>
        <w:t>Russia, Norway and Japan. The EU p</w:t>
      </w:r>
      <w:r>
        <w:rPr>
          <w:rFonts w:ascii="Times New Roman" w:hAnsi="Times New Roman"/>
          <w:sz w:val="20"/>
          <w:szCs w:val="20"/>
          <w:lang w:val="en-US"/>
        </w:rPr>
        <w:t xml:space="preserve">osts the only large-scale trade </w:t>
      </w:r>
      <w:r w:rsidRPr="00C25CCE">
        <w:rPr>
          <w:rFonts w:ascii="Times New Roman" w:hAnsi="Times New Roman"/>
          <w:sz w:val="20"/>
          <w:szCs w:val="20"/>
          <w:lang w:val="en-US"/>
        </w:rPr>
        <w:t>surplus in trade with the USA.</w:t>
      </w: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lastRenderedPageBreak/>
        <w:t xml:space="preserve">             </w:t>
      </w:r>
      <w:r>
        <w:rPr>
          <w:rFonts w:ascii="Times New Roman" w:hAnsi="Times New Roman"/>
          <w:noProof/>
          <w:sz w:val="20"/>
          <w:szCs w:val="20"/>
          <w:lang w:eastAsia="es-ES"/>
        </w:rPr>
        <w:drawing>
          <wp:inline distT="0" distB="0" distL="0" distR="0" wp14:anchorId="4751C228" wp14:editId="2692658E">
            <wp:extent cx="4508500" cy="7296150"/>
            <wp:effectExtent l="0" t="0" r="635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508500" cy="72961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p>
    <w:p w:rsidR="00260B14" w:rsidRPr="00AC0176" w:rsidRDefault="00260B14" w:rsidP="00260B14">
      <w:pPr>
        <w:spacing w:line="240" w:lineRule="auto"/>
        <w:jc w:val="both"/>
        <w:rPr>
          <w:rFonts w:ascii="Times New Roman" w:hAnsi="Times New Roman"/>
          <w:sz w:val="20"/>
          <w:szCs w:val="20"/>
          <w:lang w:val="en-US"/>
        </w:rPr>
      </w:pPr>
      <w:r w:rsidRPr="00AC0176">
        <w:rPr>
          <w:rFonts w:ascii="Times New Roman" w:hAnsi="Times New Roman"/>
          <w:sz w:val="20"/>
          <w:szCs w:val="20"/>
          <w:lang w:val="en-US"/>
        </w:rPr>
        <w:t>The EU exports mainly manufactured pro</w:t>
      </w:r>
      <w:r>
        <w:rPr>
          <w:rFonts w:ascii="Times New Roman" w:hAnsi="Times New Roman"/>
          <w:sz w:val="20"/>
          <w:szCs w:val="20"/>
          <w:lang w:val="en-US"/>
        </w:rPr>
        <w:t xml:space="preserve">ducts: their share has annually </w:t>
      </w:r>
      <w:r w:rsidRPr="00AC0176">
        <w:rPr>
          <w:rFonts w:ascii="Times New Roman" w:hAnsi="Times New Roman"/>
          <w:sz w:val="20"/>
          <w:szCs w:val="20"/>
          <w:lang w:val="en-US"/>
        </w:rPr>
        <w:t>been over 80 % of total EU</w:t>
      </w:r>
      <w:r>
        <w:rPr>
          <w:rFonts w:ascii="Times New Roman" w:hAnsi="Times New Roman"/>
          <w:sz w:val="20"/>
          <w:szCs w:val="20"/>
          <w:lang w:val="en-US"/>
        </w:rPr>
        <w:t xml:space="preserve"> exports. In 2011 machinery and </w:t>
      </w:r>
      <w:r w:rsidRPr="00AC0176">
        <w:rPr>
          <w:rFonts w:ascii="Times New Roman" w:hAnsi="Times New Roman"/>
          <w:sz w:val="20"/>
          <w:szCs w:val="20"/>
          <w:lang w:val="en-US"/>
        </w:rPr>
        <w:t>vehicles made up 42 % of the total e</w:t>
      </w:r>
      <w:r>
        <w:rPr>
          <w:rFonts w:ascii="Times New Roman" w:hAnsi="Times New Roman"/>
          <w:sz w:val="20"/>
          <w:szCs w:val="20"/>
          <w:lang w:val="en-US"/>
        </w:rPr>
        <w:t xml:space="preserve">xports while other manufactured </w:t>
      </w:r>
      <w:r w:rsidRPr="00AC0176">
        <w:rPr>
          <w:rFonts w:ascii="Times New Roman" w:hAnsi="Times New Roman"/>
          <w:sz w:val="20"/>
          <w:szCs w:val="20"/>
          <w:lang w:val="en-US"/>
        </w:rPr>
        <w:t>goods accounted for 23 % and chemical products for 16 %.</w:t>
      </w:r>
    </w:p>
    <w:p w:rsidR="00260B14" w:rsidRDefault="00260B14" w:rsidP="00260B14">
      <w:pPr>
        <w:spacing w:line="240" w:lineRule="auto"/>
        <w:jc w:val="both"/>
        <w:rPr>
          <w:rFonts w:ascii="Times New Roman" w:hAnsi="Times New Roman"/>
          <w:sz w:val="20"/>
          <w:szCs w:val="20"/>
          <w:lang w:val="en-US"/>
        </w:rPr>
      </w:pPr>
      <w:r w:rsidRPr="00AC0176">
        <w:rPr>
          <w:rFonts w:ascii="Times New Roman" w:hAnsi="Times New Roman"/>
          <w:sz w:val="20"/>
          <w:szCs w:val="20"/>
          <w:lang w:val="en-US"/>
        </w:rPr>
        <w:t>Primary products account for 15 % of t</w:t>
      </w:r>
      <w:r>
        <w:rPr>
          <w:rFonts w:ascii="Times New Roman" w:hAnsi="Times New Roman"/>
          <w:sz w:val="20"/>
          <w:szCs w:val="20"/>
          <w:lang w:val="en-US"/>
        </w:rPr>
        <w:t xml:space="preserve">otal exports; the most exported </w:t>
      </w:r>
      <w:r w:rsidRPr="00AC0176">
        <w:rPr>
          <w:rFonts w:ascii="Times New Roman" w:hAnsi="Times New Roman"/>
          <w:sz w:val="20"/>
          <w:szCs w:val="20"/>
          <w:lang w:val="en-US"/>
        </w:rPr>
        <w:t>products within this categ</w:t>
      </w:r>
      <w:r>
        <w:rPr>
          <w:rFonts w:ascii="Times New Roman" w:hAnsi="Times New Roman"/>
          <w:sz w:val="20"/>
          <w:szCs w:val="20"/>
          <w:lang w:val="en-US"/>
        </w:rPr>
        <w:t xml:space="preserve">ory are energy products (with a </w:t>
      </w:r>
      <w:r w:rsidRPr="00AC0176">
        <w:rPr>
          <w:rFonts w:ascii="Times New Roman" w:hAnsi="Times New Roman"/>
          <w:sz w:val="20"/>
          <w:szCs w:val="20"/>
          <w:lang w:val="en-US"/>
        </w:rPr>
        <w:t>share of 43 %) and food and drink (38 %).</w:t>
      </w:r>
    </w:p>
    <w:p w:rsidR="00260B14" w:rsidRDefault="00260B14" w:rsidP="00260B14">
      <w:pPr>
        <w:spacing w:line="240" w:lineRule="auto"/>
        <w:jc w:val="both"/>
        <w:rPr>
          <w:rFonts w:ascii="Times New Roman" w:hAnsi="Times New Roman"/>
          <w:sz w:val="20"/>
          <w:szCs w:val="20"/>
          <w:lang w:val="en-US"/>
        </w:rPr>
      </w:pPr>
    </w:p>
    <w:p w:rsidR="00260B14" w:rsidRPr="00126A0F"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lastRenderedPageBreak/>
        <w:t>Extra-EU trade in primary goods</w:t>
      </w: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t xml:space="preserve">                   </w:t>
      </w:r>
      <w:r>
        <w:rPr>
          <w:rFonts w:ascii="Times New Roman" w:hAnsi="Times New Roman"/>
          <w:noProof/>
          <w:sz w:val="20"/>
          <w:szCs w:val="20"/>
          <w:lang w:eastAsia="es-ES"/>
        </w:rPr>
        <w:drawing>
          <wp:inline distT="0" distB="0" distL="0" distR="0" wp14:anchorId="594EB713" wp14:editId="3BD24079">
            <wp:extent cx="4552950" cy="6604000"/>
            <wp:effectExtent l="0" t="0" r="0"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552950" cy="6604000"/>
                    </a:xfrm>
                    <a:prstGeom prst="rect">
                      <a:avLst/>
                    </a:prstGeom>
                    <a:noFill/>
                    <a:ln>
                      <a:noFill/>
                    </a:ln>
                  </pic:spPr>
                </pic:pic>
              </a:graphicData>
            </a:graphic>
          </wp:inline>
        </w:drawing>
      </w:r>
    </w:p>
    <w:p w:rsidR="00260B14" w:rsidRPr="00AC0176" w:rsidRDefault="00260B14" w:rsidP="00260B14">
      <w:pPr>
        <w:spacing w:line="240" w:lineRule="auto"/>
        <w:jc w:val="both"/>
        <w:rPr>
          <w:rFonts w:ascii="Times New Roman" w:hAnsi="Times New Roman"/>
          <w:sz w:val="20"/>
          <w:szCs w:val="20"/>
          <w:lang w:val="en-US"/>
        </w:rPr>
      </w:pPr>
      <w:r w:rsidRPr="00AC0176">
        <w:rPr>
          <w:rFonts w:ascii="Times New Roman" w:hAnsi="Times New Roman"/>
          <w:sz w:val="20"/>
          <w:szCs w:val="20"/>
          <w:lang w:val="en-US"/>
        </w:rPr>
        <w:t>Extra-EU trade in primary goods</w:t>
      </w:r>
    </w:p>
    <w:p w:rsidR="00260B14" w:rsidRPr="00AC0176" w:rsidRDefault="00260B14" w:rsidP="00260B14">
      <w:pPr>
        <w:spacing w:line="240" w:lineRule="auto"/>
        <w:jc w:val="both"/>
        <w:rPr>
          <w:rFonts w:ascii="Times New Roman" w:hAnsi="Times New Roman"/>
          <w:sz w:val="20"/>
          <w:szCs w:val="20"/>
          <w:lang w:val="en-US"/>
        </w:rPr>
      </w:pPr>
      <w:r w:rsidRPr="00AC0176">
        <w:rPr>
          <w:rFonts w:ascii="Times New Roman" w:hAnsi="Times New Roman"/>
          <w:sz w:val="20"/>
          <w:szCs w:val="20"/>
          <w:lang w:val="en-US"/>
        </w:rPr>
        <w:t>In 2011 primary goods accounted for 15 % of total EU exports.</w:t>
      </w:r>
    </w:p>
    <w:p w:rsidR="00260B14" w:rsidRPr="00AC0176" w:rsidRDefault="00260B14" w:rsidP="00260B14">
      <w:pPr>
        <w:spacing w:line="240" w:lineRule="auto"/>
        <w:jc w:val="both"/>
        <w:rPr>
          <w:rFonts w:ascii="Times New Roman" w:hAnsi="Times New Roman"/>
          <w:sz w:val="20"/>
          <w:szCs w:val="20"/>
          <w:lang w:val="en-US"/>
        </w:rPr>
      </w:pPr>
      <w:r w:rsidRPr="00AC0176">
        <w:rPr>
          <w:rFonts w:ascii="Times New Roman" w:hAnsi="Times New Roman"/>
          <w:sz w:val="20"/>
          <w:szCs w:val="20"/>
          <w:lang w:val="en-US"/>
        </w:rPr>
        <w:t>All groups showed a strong reco</w:t>
      </w:r>
      <w:r>
        <w:rPr>
          <w:rFonts w:ascii="Times New Roman" w:hAnsi="Times New Roman"/>
          <w:sz w:val="20"/>
          <w:szCs w:val="20"/>
          <w:lang w:val="en-US"/>
        </w:rPr>
        <w:t xml:space="preserve">vering in comparison with 2009, </w:t>
      </w:r>
      <w:r w:rsidRPr="00AC0176">
        <w:rPr>
          <w:rFonts w:ascii="Times New Roman" w:hAnsi="Times New Roman"/>
          <w:sz w:val="20"/>
          <w:szCs w:val="20"/>
          <w:lang w:val="en-US"/>
        </w:rPr>
        <w:t>the biggest increase (+ 76 %) was recorded for exports of energy</w:t>
      </w:r>
      <w:r>
        <w:rPr>
          <w:rFonts w:ascii="Times New Roman" w:hAnsi="Times New Roman"/>
          <w:sz w:val="20"/>
          <w:szCs w:val="20"/>
          <w:lang w:val="en-US"/>
        </w:rPr>
        <w:t xml:space="preserve"> </w:t>
      </w:r>
      <w:r w:rsidRPr="00AC0176">
        <w:rPr>
          <w:rFonts w:ascii="Times New Roman" w:hAnsi="Times New Roman"/>
          <w:sz w:val="20"/>
          <w:szCs w:val="20"/>
          <w:lang w:val="en-US"/>
        </w:rPr>
        <w:t>products. In 2011 primary goods</w:t>
      </w:r>
      <w:r>
        <w:rPr>
          <w:rFonts w:ascii="Times New Roman" w:hAnsi="Times New Roman"/>
          <w:sz w:val="20"/>
          <w:szCs w:val="20"/>
          <w:lang w:val="en-US"/>
        </w:rPr>
        <w:t xml:space="preserve"> represented about two fifth of </w:t>
      </w:r>
      <w:r w:rsidRPr="00AC0176">
        <w:rPr>
          <w:rFonts w:ascii="Times New Roman" w:hAnsi="Times New Roman"/>
          <w:sz w:val="20"/>
          <w:szCs w:val="20"/>
          <w:lang w:val="en-US"/>
        </w:rPr>
        <w:t>EU imports, with energy accounting for the biggest share (29 %).</w:t>
      </w:r>
    </w:p>
    <w:p w:rsidR="00260B14" w:rsidRDefault="00260B14" w:rsidP="00260B14">
      <w:pPr>
        <w:spacing w:line="240" w:lineRule="auto"/>
        <w:jc w:val="both"/>
        <w:rPr>
          <w:rFonts w:ascii="Times New Roman" w:hAnsi="Times New Roman"/>
          <w:sz w:val="20"/>
          <w:szCs w:val="20"/>
          <w:lang w:val="en-US"/>
        </w:rPr>
      </w:pPr>
      <w:r w:rsidRPr="00AC0176">
        <w:rPr>
          <w:rFonts w:ascii="Times New Roman" w:hAnsi="Times New Roman"/>
          <w:sz w:val="20"/>
          <w:szCs w:val="20"/>
          <w:lang w:val="en-US"/>
        </w:rPr>
        <w:t>Imports of raw materials and en</w:t>
      </w:r>
      <w:r>
        <w:rPr>
          <w:rFonts w:ascii="Times New Roman" w:hAnsi="Times New Roman"/>
          <w:sz w:val="20"/>
          <w:szCs w:val="20"/>
          <w:lang w:val="en-US"/>
        </w:rPr>
        <w:t xml:space="preserve">ergy products increased by over </w:t>
      </w:r>
      <w:r w:rsidRPr="00AC0176">
        <w:rPr>
          <w:rFonts w:ascii="Times New Roman" w:hAnsi="Times New Roman"/>
          <w:sz w:val="20"/>
          <w:szCs w:val="20"/>
          <w:lang w:val="en-US"/>
        </w:rPr>
        <w:t>one half between 2008 and 2011. Th</w:t>
      </w:r>
      <w:r>
        <w:rPr>
          <w:rFonts w:ascii="Times New Roman" w:hAnsi="Times New Roman"/>
          <w:sz w:val="20"/>
          <w:szCs w:val="20"/>
          <w:lang w:val="en-US"/>
        </w:rPr>
        <w:t xml:space="preserve">e EU shows a persistent deficit </w:t>
      </w:r>
      <w:r w:rsidRPr="00AC0176">
        <w:rPr>
          <w:rFonts w:ascii="Times New Roman" w:hAnsi="Times New Roman"/>
          <w:sz w:val="20"/>
          <w:szCs w:val="20"/>
          <w:lang w:val="en-US"/>
        </w:rPr>
        <w:t xml:space="preserve">in trade of primary goods, mainly </w:t>
      </w:r>
      <w:r>
        <w:rPr>
          <w:rFonts w:ascii="Times New Roman" w:hAnsi="Times New Roman"/>
          <w:sz w:val="20"/>
          <w:szCs w:val="20"/>
          <w:lang w:val="en-US"/>
        </w:rPr>
        <w:t xml:space="preserve">driven by the deficit in energy </w:t>
      </w:r>
      <w:r w:rsidRPr="00AC0176">
        <w:rPr>
          <w:rFonts w:ascii="Times New Roman" w:hAnsi="Times New Roman"/>
          <w:sz w:val="20"/>
          <w:szCs w:val="20"/>
          <w:lang w:val="en-US"/>
        </w:rPr>
        <w:t>products, which almost tripled between 2000 and 2011.</w:t>
      </w: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lastRenderedPageBreak/>
        <w:t xml:space="preserve">                </w:t>
      </w:r>
      <w:r>
        <w:rPr>
          <w:rFonts w:ascii="Times New Roman" w:hAnsi="Times New Roman"/>
          <w:noProof/>
          <w:sz w:val="20"/>
          <w:szCs w:val="20"/>
          <w:lang w:eastAsia="es-ES"/>
        </w:rPr>
        <w:drawing>
          <wp:inline distT="0" distB="0" distL="0" distR="0" wp14:anchorId="0C00435E" wp14:editId="012525B9">
            <wp:extent cx="4743450" cy="673100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43450" cy="673100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 xml:space="preserve">Raw materials (SITC Sections 2 </w:t>
      </w:r>
      <w:r>
        <w:rPr>
          <w:rFonts w:ascii="Times New Roman" w:hAnsi="Times New Roman"/>
          <w:sz w:val="20"/>
          <w:szCs w:val="20"/>
          <w:lang w:val="en-US"/>
        </w:rPr>
        <w:t xml:space="preserve">and 4) include non-manufactured </w:t>
      </w:r>
      <w:r w:rsidRPr="00004DEA">
        <w:rPr>
          <w:rFonts w:ascii="Times New Roman" w:hAnsi="Times New Roman"/>
          <w:sz w:val="20"/>
          <w:szCs w:val="20"/>
          <w:lang w:val="en-US"/>
        </w:rPr>
        <w:t xml:space="preserve">goods like oilseeds, cork, wood, pulp, textile </w:t>
      </w:r>
      <w:r w:rsidR="00A73AE0">
        <w:rPr>
          <w:rFonts w:ascii="Times New Roman" w:hAnsi="Times New Roman"/>
          <w:sz w:val="20"/>
          <w:szCs w:val="20"/>
          <w:lang w:val="en-US"/>
        </w:rPr>
        <w:t>fibers</w:t>
      </w:r>
      <w:r>
        <w:rPr>
          <w:rFonts w:ascii="Times New Roman" w:hAnsi="Times New Roman"/>
          <w:sz w:val="20"/>
          <w:szCs w:val="20"/>
          <w:lang w:val="en-US"/>
        </w:rPr>
        <w:t xml:space="preserve">, ores and other minerals </w:t>
      </w:r>
      <w:r w:rsidRPr="00004DEA">
        <w:rPr>
          <w:rFonts w:ascii="Times New Roman" w:hAnsi="Times New Roman"/>
          <w:sz w:val="20"/>
          <w:szCs w:val="20"/>
          <w:lang w:val="en-US"/>
        </w:rPr>
        <w:t>as well as animal and vegetable oi</w:t>
      </w:r>
      <w:r>
        <w:rPr>
          <w:rFonts w:ascii="Times New Roman" w:hAnsi="Times New Roman"/>
          <w:sz w:val="20"/>
          <w:szCs w:val="20"/>
          <w:lang w:val="en-US"/>
        </w:rPr>
        <w:t xml:space="preserve">ls. The EU has an ongoing trade </w:t>
      </w:r>
      <w:r w:rsidRPr="00004DEA">
        <w:rPr>
          <w:rFonts w:ascii="Times New Roman" w:hAnsi="Times New Roman"/>
          <w:sz w:val="20"/>
          <w:szCs w:val="20"/>
          <w:lang w:val="en-US"/>
        </w:rPr>
        <w:t>deficit; imports are about the double of th</w:t>
      </w:r>
      <w:r>
        <w:rPr>
          <w:rFonts w:ascii="Times New Roman" w:hAnsi="Times New Roman"/>
          <w:sz w:val="20"/>
          <w:szCs w:val="20"/>
          <w:lang w:val="en-US"/>
        </w:rPr>
        <w:t xml:space="preserve">e value of exports, and in 2011 </w:t>
      </w:r>
      <w:r w:rsidRPr="00004DEA">
        <w:rPr>
          <w:rFonts w:ascii="Times New Roman" w:hAnsi="Times New Roman"/>
          <w:sz w:val="20"/>
          <w:szCs w:val="20"/>
          <w:lang w:val="en-US"/>
        </w:rPr>
        <w:t>the deficit amounted to EUR 40.7 billion.</w:t>
      </w:r>
      <w:r>
        <w:rPr>
          <w:rFonts w:ascii="Times New Roman" w:hAnsi="Times New Roman"/>
          <w:sz w:val="20"/>
          <w:szCs w:val="20"/>
          <w:lang w:val="en-US"/>
        </w:rPr>
        <w:t xml:space="preserve"> In 2011, the great majority of </w:t>
      </w:r>
      <w:r w:rsidRPr="00004DEA">
        <w:rPr>
          <w:rFonts w:ascii="Times New Roman" w:hAnsi="Times New Roman"/>
          <w:sz w:val="20"/>
          <w:szCs w:val="20"/>
          <w:lang w:val="en-US"/>
        </w:rPr>
        <w:t>imports were metal ores, with a share of 44 %. Ot</w:t>
      </w:r>
      <w:r>
        <w:rPr>
          <w:rFonts w:ascii="Times New Roman" w:hAnsi="Times New Roman"/>
          <w:sz w:val="20"/>
          <w:szCs w:val="20"/>
          <w:lang w:val="en-US"/>
        </w:rPr>
        <w:t xml:space="preserve">her products to record </w:t>
      </w:r>
      <w:r w:rsidRPr="00004DEA">
        <w:rPr>
          <w:rFonts w:ascii="Times New Roman" w:hAnsi="Times New Roman"/>
          <w:sz w:val="20"/>
          <w:szCs w:val="20"/>
          <w:lang w:val="en-US"/>
        </w:rPr>
        <w:t>a large share of imports include vegetable fats and oils and oilseeds.</w:t>
      </w: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Pr="00126A0F" w:rsidRDefault="00260B14" w:rsidP="00260B14">
      <w:pPr>
        <w:spacing w:line="240" w:lineRule="auto"/>
        <w:jc w:val="both"/>
        <w:rPr>
          <w:rFonts w:ascii="Times New Roman" w:hAnsi="Times New Roman"/>
          <w:sz w:val="20"/>
          <w:szCs w:val="20"/>
        </w:rPr>
      </w:pPr>
      <w:r>
        <w:rPr>
          <w:rFonts w:ascii="Times New Roman" w:hAnsi="Times New Roman"/>
          <w:sz w:val="20"/>
          <w:szCs w:val="20"/>
          <w:lang w:val="en-US"/>
        </w:rPr>
        <w:lastRenderedPageBreak/>
        <w:t xml:space="preserve">               </w:t>
      </w:r>
      <w:r>
        <w:rPr>
          <w:rFonts w:ascii="Times New Roman" w:hAnsi="Times New Roman"/>
          <w:noProof/>
          <w:sz w:val="20"/>
          <w:szCs w:val="20"/>
          <w:lang w:eastAsia="es-ES"/>
        </w:rPr>
        <w:drawing>
          <wp:inline distT="0" distB="0" distL="0" distR="0" wp14:anchorId="0924E302" wp14:editId="67256B10">
            <wp:extent cx="4578350" cy="66929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578350" cy="6692900"/>
                    </a:xfrm>
                    <a:prstGeom prst="rect">
                      <a:avLst/>
                    </a:prstGeom>
                    <a:noFill/>
                    <a:ln>
                      <a:noFill/>
                    </a:ln>
                  </pic:spPr>
                </pic:pic>
              </a:graphicData>
            </a:graphic>
          </wp:inline>
        </w:drawing>
      </w:r>
    </w:p>
    <w:p w:rsidR="00260B14" w:rsidRPr="00004DEA"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The main goods of energy prod</w:t>
      </w:r>
      <w:r>
        <w:rPr>
          <w:rFonts w:ascii="Times New Roman" w:hAnsi="Times New Roman"/>
          <w:sz w:val="20"/>
          <w:szCs w:val="20"/>
          <w:lang w:val="en-US"/>
        </w:rPr>
        <w:t xml:space="preserve">ucts (SITC Section 3) are crude </w:t>
      </w:r>
      <w:r w:rsidRPr="00004DEA">
        <w:rPr>
          <w:rFonts w:ascii="Times New Roman" w:hAnsi="Times New Roman"/>
          <w:sz w:val="20"/>
          <w:szCs w:val="20"/>
          <w:lang w:val="en-US"/>
        </w:rPr>
        <w:t>oil, refined petroleum products, coal</w:t>
      </w:r>
      <w:r>
        <w:rPr>
          <w:rFonts w:ascii="Times New Roman" w:hAnsi="Times New Roman"/>
          <w:sz w:val="20"/>
          <w:szCs w:val="20"/>
          <w:lang w:val="en-US"/>
        </w:rPr>
        <w:t xml:space="preserve">, gas and electric current. The </w:t>
      </w:r>
      <w:r w:rsidRPr="00004DEA">
        <w:rPr>
          <w:rFonts w:ascii="Times New Roman" w:hAnsi="Times New Roman"/>
          <w:sz w:val="20"/>
          <w:szCs w:val="20"/>
          <w:lang w:val="en-US"/>
        </w:rPr>
        <w:t>EU is dependent on imports of ene</w:t>
      </w:r>
      <w:r>
        <w:rPr>
          <w:rFonts w:ascii="Times New Roman" w:hAnsi="Times New Roman"/>
          <w:sz w:val="20"/>
          <w:szCs w:val="20"/>
          <w:lang w:val="en-US"/>
        </w:rPr>
        <w:t xml:space="preserve">rgy products. This has led to a </w:t>
      </w:r>
      <w:r w:rsidRPr="00004DEA">
        <w:rPr>
          <w:rFonts w:ascii="Times New Roman" w:hAnsi="Times New Roman"/>
          <w:sz w:val="20"/>
          <w:szCs w:val="20"/>
          <w:lang w:val="en-US"/>
        </w:rPr>
        <w:t>structural trade deficit, which reac</w:t>
      </w:r>
      <w:r>
        <w:rPr>
          <w:rFonts w:ascii="Times New Roman" w:hAnsi="Times New Roman"/>
          <w:sz w:val="20"/>
          <w:szCs w:val="20"/>
          <w:lang w:val="en-US"/>
        </w:rPr>
        <w:t xml:space="preserve">hed a record level of EUR 388.6 </w:t>
      </w:r>
      <w:r w:rsidRPr="00004DEA">
        <w:rPr>
          <w:rFonts w:ascii="Times New Roman" w:hAnsi="Times New Roman"/>
          <w:sz w:val="20"/>
          <w:szCs w:val="20"/>
          <w:lang w:val="en-US"/>
        </w:rPr>
        <w:t xml:space="preserve">billion in 2008. The value of imports closely follows </w:t>
      </w:r>
      <w:r>
        <w:rPr>
          <w:rFonts w:ascii="Times New Roman" w:hAnsi="Times New Roman"/>
          <w:sz w:val="20"/>
          <w:szCs w:val="20"/>
          <w:lang w:val="en-US"/>
        </w:rPr>
        <w:t xml:space="preserve">the price of </w:t>
      </w:r>
      <w:r w:rsidRPr="00004DEA">
        <w:rPr>
          <w:rFonts w:ascii="Times New Roman" w:hAnsi="Times New Roman"/>
          <w:sz w:val="20"/>
          <w:szCs w:val="20"/>
          <w:lang w:val="en-US"/>
        </w:rPr>
        <w:t>crude oil. EU imports remained f</w:t>
      </w:r>
      <w:r>
        <w:rPr>
          <w:rFonts w:ascii="Times New Roman" w:hAnsi="Times New Roman"/>
          <w:sz w:val="20"/>
          <w:szCs w:val="20"/>
          <w:lang w:val="en-US"/>
        </w:rPr>
        <w:t xml:space="preserve">airly stable from 2000 to 2004, </w:t>
      </w:r>
      <w:r w:rsidRPr="00004DEA">
        <w:rPr>
          <w:rFonts w:ascii="Times New Roman" w:hAnsi="Times New Roman"/>
          <w:sz w:val="20"/>
          <w:szCs w:val="20"/>
          <w:lang w:val="en-US"/>
        </w:rPr>
        <w:t>then rose strongly from 2005 to 2008, and again from 2010 to 2011.</w:t>
      </w:r>
    </w:p>
    <w:p w:rsidR="00260B14" w:rsidRPr="00004DEA"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The most imported goods are pe</w:t>
      </w:r>
      <w:r>
        <w:rPr>
          <w:rFonts w:ascii="Times New Roman" w:hAnsi="Times New Roman"/>
          <w:sz w:val="20"/>
          <w:szCs w:val="20"/>
          <w:lang w:val="en-US"/>
        </w:rPr>
        <w:t xml:space="preserve">troleum and petroleum products, </w:t>
      </w:r>
      <w:r w:rsidRPr="00004DEA">
        <w:rPr>
          <w:rFonts w:ascii="Times New Roman" w:hAnsi="Times New Roman"/>
          <w:sz w:val="20"/>
          <w:szCs w:val="20"/>
          <w:lang w:val="en-US"/>
        </w:rPr>
        <w:t>mainly crude oil. Most of the remaining falls to gas and coal.</w:t>
      </w:r>
    </w:p>
    <w:p w:rsidR="00260B14"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The major energy providers for the EU are Russia and Norway, which</w:t>
      </w:r>
      <w:r>
        <w:rPr>
          <w:rFonts w:ascii="Times New Roman" w:hAnsi="Times New Roman"/>
          <w:sz w:val="20"/>
          <w:szCs w:val="20"/>
          <w:lang w:val="en-US"/>
        </w:rPr>
        <w:t xml:space="preserve"> </w:t>
      </w:r>
      <w:r w:rsidRPr="00004DEA">
        <w:rPr>
          <w:rFonts w:ascii="Times New Roman" w:hAnsi="Times New Roman"/>
          <w:sz w:val="20"/>
          <w:szCs w:val="20"/>
          <w:lang w:val="en-US"/>
        </w:rPr>
        <w:t xml:space="preserve">made up about 40 % of the imports in </w:t>
      </w:r>
      <w:r>
        <w:rPr>
          <w:rFonts w:ascii="Times New Roman" w:hAnsi="Times New Roman"/>
          <w:sz w:val="20"/>
          <w:szCs w:val="20"/>
          <w:lang w:val="en-US"/>
        </w:rPr>
        <w:t xml:space="preserve">2011. Algeria, Saudi Arabia and </w:t>
      </w:r>
      <w:r w:rsidRPr="00004DEA">
        <w:rPr>
          <w:rFonts w:ascii="Times New Roman" w:hAnsi="Times New Roman"/>
          <w:sz w:val="20"/>
          <w:szCs w:val="20"/>
          <w:lang w:val="en-US"/>
        </w:rPr>
        <w:t xml:space="preserve">Nigeria also have relevant shares of </w:t>
      </w:r>
      <w:r>
        <w:rPr>
          <w:rFonts w:ascii="Times New Roman" w:hAnsi="Times New Roman"/>
          <w:sz w:val="20"/>
          <w:szCs w:val="20"/>
          <w:lang w:val="en-US"/>
        </w:rPr>
        <w:t xml:space="preserve">EU energy imports. The majority </w:t>
      </w:r>
      <w:r w:rsidRPr="00004DEA">
        <w:rPr>
          <w:rFonts w:ascii="Times New Roman" w:hAnsi="Times New Roman"/>
          <w:sz w:val="20"/>
          <w:szCs w:val="20"/>
          <w:lang w:val="en-US"/>
        </w:rPr>
        <w:t>of EU exports are refined petroleum pr</w:t>
      </w:r>
      <w:r>
        <w:rPr>
          <w:rFonts w:ascii="Times New Roman" w:hAnsi="Times New Roman"/>
          <w:sz w:val="20"/>
          <w:szCs w:val="20"/>
          <w:lang w:val="en-US"/>
        </w:rPr>
        <w:t xml:space="preserve">oducts. The biggest destination </w:t>
      </w:r>
      <w:r w:rsidRPr="00004DEA">
        <w:rPr>
          <w:rFonts w:ascii="Times New Roman" w:hAnsi="Times New Roman"/>
          <w:sz w:val="20"/>
          <w:szCs w:val="20"/>
          <w:lang w:val="en-US"/>
        </w:rPr>
        <w:t>country is the USA, which accounts for about one fifth of total exports.</w:t>
      </w:r>
    </w:p>
    <w:p w:rsidR="00260B14" w:rsidRPr="00126A0F" w:rsidRDefault="00260B14" w:rsidP="00260B14">
      <w:pPr>
        <w:spacing w:line="240" w:lineRule="auto"/>
        <w:jc w:val="both"/>
        <w:rPr>
          <w:rFonts w:ascii="Times New Roman" w:hAnsi="Times New Roman"/>
          <w:b/>
          <w:sz w:val="24"/>
          <w:szCs w:val="24"/>
          <w:lang w:val="en-US"/>
        </w:rPr>
      </w:pPr>
      <w:r w:rsidRPr="00126A0F">
        <w:rPr>
          <w:rFonts w:ascii="Times New Roman" w:hAnsi="Times New Roman"/>
          <w:b/>
          <w:sz w:val="24"/>
          <w:szCs w:val="24"/>
          <w:lang w:val="en-US"/>
        </w:rPr>
        <w:lastRenderedPageBreak/>
        <w:t>Extra-EU trade in manufactured goods</w:t>
      </w: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t xml:space="preserve">                </w:t>
      </w:r>
      <w:r>
        <w:rPr>
          <w:rFonts w:ascii="Times New Roman" w:hAnsi="Times New Roman"/>
          <w:noProof/>
          <w:sz w:val="20"/>
          <w:szCs w:val="20"/>
          <w:lang w:eastAsia="es-ES"/>
        </w:rPr>
        <w:drawing>
          <wp:inline distT="0" distB="0" distL="0" distR="0" wp14:anchorId="21893804" wp14:editId="2836C287">
            <wp:extent cx="4419600" cy="6680200"/>
            <wp:effectExtent l="0" t="0" r="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419600" cy="6680200"/>
                    </a:xfrm>
                    <a:prstGeom prst="rect">
                      <a:avLst/>
                    </a:prstGeom>
                    <a:noFill/>
                    <a:ln>
                      <a:noFill/>
                    </a:ln>
                  </pic:spPr>
                </pic:pic>
              </a:graphicData>
            </a:graphic>
          </wp:inline>
        </w:drawing>
      </w:r>
    </w:p>
    <w:p w:rsidR="00260B14" w:rsidRPr="00004DEA"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Extra-EU trade in manufactured goods</w:t>
      </w:r>
    </w:p>
    <w:p w:rsidR="00260B14" w:rsidRPr="00004DEA"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 xml:space="preserve">The EU exports consist mainly </w:t>
      </w:r>
      <w:r>
        <w:rPr>
          <w:rFonts w:ascii="Times New Roman" w:hAnsi="Times New Roman"/>
          <w:sz w:val="20"/>
          <w:szCs w:val="20"/>
          <w:lang w:val="en-US"/>
        </w:rPr>
        <w:t xml:space="preserve">of manufactured products: their </w:t>
      </w:r>
      <w:r w:rsidRPr="00004DEA">
        <w:rPr>
          <w:rFonts w:ascii="Times New Roman" w:hAnsi="Times New Roman"/>
          <w:sz w:val="20"/>
          <w:szCs w:val="20"/>
          <w:lang w:val="en-US"/>
        </w:rPr>
        <w:t>share has annually been more th</w:t>
      </w:r>
      <w:r>
        <w:rPr>
          <w:rFonts w:ascii="Times New Roman" w:hAnsi="Times New Roman"/>
          <w:sz w:val="20"/>
          <w:szCs w:val="20"/>
          <w:lang w:val="en-US"/>
        </w:rPr>
        <w:t xml:space="preserve">an 80 % of total EU exports. In </w:t>
      </w:r>
      <w:r w:rsidRPr="00004DEA">
        <w:rPr>
          <w:rFonts w:ascii="Times New Roman" w:hAnsi="Times New Roman"/>
          <w:sz w:val="20"/>
          <w:szCs w:val="20"/>
          <w:lang w:val="en-US"/>
        </w:rPr>
        <w:t>2011, exports of ‘machinery and vehicles’ and ‘other manufactured</w:t>
      </w:r>
      <w:r>
        <w:rPr>
          <w:rFonts w:ascii="Times New Roman" w:hAnsi="Times New Roman"/>
          <w:sz w:val="20"/>
          <w:szCs w:val="20"/>
          <w:lang w:val="en-US"/>
        </w:rPr>
        <w:t xml:space="preserve"> </w:t>
      </w:r>
      <w:r w:rsidRPr="00004DEA">
        <w:rPr>
          <w:rFonts w:ascii="Times New Roman" w:hAnsi="Times New Roman"/>
          <w:sz w:val="20"/>
          <w:szCs w:val="20"/>
          <w:lang w:val="en-US"/>
        </w:rPr>
        <w:t>goods’ together reached EUR 1 0</w:t>
      </w:r>
      <w:r>
        <w:rPr>
          <w:rFonts w:ascii="Times New Roman" w:hAnsi="Times New Roman"/>
          <w:sz w:val="20"/>
          <w:szCs w:val="20"/>
          <w:lang w:val="en-US"/>
        </w:rPr>
        <w:t xml:space="preserve">00 billion, with an increase of </w:t>
      </w:r>
      <w:r w:rsidRPr="00004DEA">
        <w:rPr>
          <w:rFonts w:ascii="Times New Roman" w:hAnsi="Times New Roman"/>
          <w:sz w:val="20"/>
          <w:szCs w:val="20"/>
          <w:lang w:val="en-US"/>
        </w:rPr>
        <w:t>about 40 % in comparison with the lower level of 2009.</w:t>
      </w:r>
    </w:p>
    <w:p w:rsidR="00260B14"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About 60 % of EU imports are manufactured goods. The breakdown</w:t>
      </w:r>
      <w:r>
        <w:rPr>
          <w:rFonts w:ascii="Times New Roman" w:hAnsi="Times New Roman"/>
          <w:sz w:val="20"/>
          <w:szCs w:val="20"/>
          <w:lang w:val="en-US"/>
        </w:rPr>
        <w:t xml:space="preserve"> </w:t>
      </w:r>
      <w:r w:rsidRPr="00004DEA">
        <w:rPr>
          <w:rFonts w:ascii="Times New Roman" w:hAnsi="Times New Roman"/>
          <w:sz w:val="20"/>
          <w:szCs w:val="20"/>
          <w:lang w:val="en-US"/>
        </w:rPr>
        <w:t>diverges from export</w:t>
      </w:r>
      <w:r>
        <w:rPr>
          <w:rFonts w:ascii="Times New Roman" w:hAnsi="Times New Roman"/>
          <w:sz w:val="20"/>
          <w:szCs w:val="20"/>
          <w:lang w:val="en-US"/>
        </w:rPr>
        <w:t xml:space="preserve">s: ‘machinery and vehicles’ and </w:t>
      </w:r>
      <w:r w:rsidRPr="00004DEA">
        <w:rPr>
          <w:rFonts w:ascii="Times New Roman" w:hAnsi="Times New Roman"/>
          <w:sz w:val="20"/>
          <w:szCs w:val="20"/>
          <w:lang w:val="en-US"/>
        </w:rPr>
        <w:t xml:space="preserve">chemical products account for </w:t>
      </w:r>
      <w:r>
        <w:rPr>
          <w:rFonts w:ascii="Times New Roman" w:hAnsi="Times New Roman"/>
          <w:sz w:val="20"/>
          <w:szCs w:val="20"/>
          <w:lang w:val="en-US"/>
        </w:rPr>
        <w:t xml:space="preserve">a smaller share while the share </w:t>
      </w:r>
      <w:r w:rsidRPr="00004DEA">
        <w:rPr>
          <w:rFonts w:ascii="Times New Roman" w:hAnsi="Times New Roman"/>
          <w:sz w:val="20"/>
          <w:szCs w:val="20"/>
          <w:lang w:val="en-US"/>
        </w:rPr>
        <w:t>of ‘other manufactured goods’ is s</w:t>
      </w:r>
      <w:r>
        <w:rPr>
          <w:rFonts w:ascii="Times New Roman" w:hAnsi="Times New Roman"/>
          <w:sz w:val="20"/>
          <w:szCs w:val="20"/>
          <w:lang w:val="en-US"/>
        </w:rPr>
        <w:t xml:space="preserve">imilar to that for exports. The </w:t>
      </w:r>
      <w:r w:rsidRPr="00004DEA">
        <w:rPr>
          <w:rFonts w:ascii="Times New Roman" w:hAnsi="Times New Roman"/>
          <w:sz w:val="20"/>
          <w:szCs w:val="20"/>
          <w:lang w:val="en-US"/>
        </w:rPr>
        <w:t>surplus in trade of manufactu</w:t>
      </w:r>
      <w:r>
        <w:rPr>
          <w:rFonts w:ascii="Times New Roman" w:hAnsi="Times New Roman"/>
          <w:sz w:val="20"/>
          <w:szCs w:val="20"/>
          <w:lang w:val="en-US"/>
        </w:rPr>
        <w:t xml:space="preserve">red goods reached a peak of EUR </w:t>
      </w:r>
      <w:r w:rsidRPr="00004DEA">
        <w:rPr>
          <w:rFonts w:ascii="Times New Roman" w:hAnsi="Times New Roman"/>
          <w:sz w:val="20"/>
          <w:szCs w:val="20"/>
          <w:lang w:val="en-US"/>
        </w:rPr>
        <w:t>264 billion in 2011, more than d</w:t>
      </w:r>
      <w:r>
        <w:rPr>
          <w:rFonts w:ascii="Times New Roman" w:hAnsi="Times New Roman"/>
          <w:sz w:val="20"/>
          <w:szCs w:val="20"/>
          <w:lang w:val="en-US"/>
        </w:rPr>
        <w:t xml:space="preserve">ouble of the surplus registered </w:t>
      </w:r>
      <w:r w:rsidRPr="00004DEA">
        <w:rPr>
          <w:rFonts w:ascii="Times New Roman" w:hAnsi="Times New Roman"/>
          <w:sz w:val="20"/>
          <w:szCs w:val="20"/>
          <w:lang w:val="en-US"/>
        </w:rPr>
        <w:t>in 2006.</w:t>
      </w: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lastRenderedPageBreak/>
        <w:t xml:space="preserve">                 </w:t>
      </w:r>
      <w:r>
        <w:rPr>
          <w:rFonts w:ascii="Times New Roman" w:hAnsi="Times New Roman"/>
          <w:noProof/>
          <w:sz w:val="20"/>
          <w:szCs w:val="20"/>
          <w:lang w:eastAsia="es-ES"/>
        </w:rPr>
        <w:drawing>
          <wp:inline distT="0" distB="0" distL="0" distR="0" wp14:anchorId="57D17D0C" wp14:editId="1AB7248E">
            <wp:extent cx="4495800" cy="596265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495800" cy="5962650"/>
                    </a:xfrm>
                    <a:prstGeom prst="rect">
                      <a:avLst/>
                    </a:prstGeom>
                    <a:noFill/>
                    <a:ln>
                      <a:noFill/>
                    </a:ln>
                  </pic:spPr>
                </pic:pic>
              </a:graphicData>
            </a:graphic>
          </wp:inline>
        </w:drawing>
      </w:r>
    </w:p>
    <w:p w:rsidR="00260B14" w:rsidRPr="00004DEA"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‘Machinery and vehicles’ (SITC Section 7</w:t>
      </w:r>
      <w:r>
        <w:rPr>
          <w:rFonts w:ascii="Times New Roman" w:hAnsi="Times New Roman"/>
          <w:sz w:val="20"/>
          <w:szCs w:val="20"/>
          <w:lang w:val="en-US"/>
        </w:rPr>
        <w:t xml:space="preserve">) includes power generating and </w:t>
      </w:r>
      <w:r w:rsidRPr="00004DEA">
        <w:rPr>
          <w:rFonts w:ascii="Times New Roman" w:hAnsi="Times New Roman"/>
          <w:sz w:val="20"/>
          <w:szCs w:val="20"/>
          <w:lang w:val="en-US"/>
        </w:rPr>
        <w:t xml:space="preserve">industrial machinery, computers, electric and </w:t>
      </w:r>
      <w:r>
        <w:rPr>
          <w:rFonts w:ascii="Times New Roman" w:hAnsi="Times New Roman"/>
          <w:sz w:val="20"/>
          <w:szCs w:val="20"/>
          <w:lang w:val="en-US"/>
        </w:rPr>
        <w:t xml:space="preserve">electronic parts and equipment, </w:t>
      </w:r>
      <w:r w:rsidRPr="00004DEA">
        <w:rPr>
          <w:rFonts w:ascii="Times New Roman" w:hAnsi="Times New Roman"/>
          <w:sz w:val="20"/>
          <w:szCs w:val="20"/>
          <w:lang w:val="en-US"/>
        </w:rPr>
        <w:t>road vehicles and parts, ships, airplanes and railway equipment.</w:t>
      </w:r>
    </w:p>
    <w:p w:rsidR="00260B14"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‘Machinery and vehicles’ is the mo</w:t>
      </w:r>
      <w:r>
        <w:rPr>
          <w:rFonts w:ascii="Times New Roman" w:hAnsi="Times New Roman"/>
          <w:sz w:val="20"/>
          <w:szCs w:val="20"/>
          <w:lang w:val="en-US"/>
        </w:rPr>
        <w:t xml:space="preserve">st important individual product </w:t>
      </w:r>
      <w:r w:rsidRPr="00004DEA">
        <w:rPr>
          <w:rFonts w:ascii="Times New Roman" w:hAnsi="Times New Roman"/>
          <w:sz w:val="20"/>
          <w:szCs w:val="20"/>
          <w:lang w:val="en-US"/>
        </w:rPr>
        <w:t>group in the external trade of the EU, accounting for 42</w:t>
      </w:r>
      <w:r>
        <w:rPr>
          <w:rFonts w:ascii="Times New Roman" w:hAnsi="Times New Roman"/>
          <w:sz w:val="20"/>
          <w:szCs w:val="20"/>
          <w:lang w:val="en-US"/>
        </w:rPr>
        <w:t xml:space="preserve"> % of the </w:t>
      </w:r>
      <w:r w:rsidRPr="00004DEA">
        <w:rPr>
          <w:rFonts w:ascii="Times New Roman" w:hAnsi="Times New Roman"/>
          <w:sz w:val="20"/>
          <w:szCs w:val="20"/>
          <w:lang w:val="en-US"/>
        </w:rPr>
        <w:t>total EU exports and 26 % of imp</w:t>
      </w:r>
      <w:r>
        <w:rPr>
          <w:rFonts w:ascii="Times New Roman" w:hAnsi="Times New Roman"/>
          <w:sz w:val="20"/>
          <w:szCs w:val="20"/>
          <w:lang w:val="en-US"/>
        </w:rPr>
        <w:t xml:space="preserve">orts in 2011. The group records </w:t>
      </w:r>
      <w:r w:rsidRPr="00004DEA">
        <w:rPr>
          <w:rFonts w:ascii="Times New Roman" w:hAnsi="Times New Roman"/>
          <w:sz w:val="20"/>
          <w:szCs w:val="20"/>
          <w:lang w:val="en-US"/>
        </w:rPr>
        <w:t>also the largest surplus in EU trade: EUR 208.7 billion in 2011.</w:t>
      </w:r>
    </w:p>
    <w:p w:rsidR="00260B14" w:rsidRPr="00004DEA"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The main exported products with</w:t>
      </w:r>
      <w:r>
        <w:rPr>
          <w:rFonts w:ascii="Times New Roman" w:hAnsi="Times New Roman"/>
          <w:sz w:val="20"/>
          <w:szCs w:val="20"/>
          <w:lang w:val="en-US"/>
        </w:rPr>
        <w:t xml:space="preserve">in the group are road vehicles, </w:t>
      </w:r>
      <w:r w:rsidRPr="00004DEA">
        <w:rPr>
          <w:rFonts w:ascii="Times New Roman" w:hAnsi="Times New Roman"/>
          <w:sz w:val="20"/>
          <w:szCs w:val="20"/>
          <w:lang w:val="en-US"/>
        </w:rPr>
        <w:t>industrial machinery and electrical machinery, while th</w:t>
      </w:r>
      <w:r>
        <w:rPr>
          <w:rFonts w:ascii="Times New Roman" w:hAnsi="Times New Roman"/>
          <w:sz w:val="20"/>
          <w:szCs w:val="20"/>
          <w:lang w:val="en-US"/>
        </w:rPr>
        <w:t xml:space="preserve">e imports </w:t>
      </w:r>
      <w:r w:rsidRPr="00004DEA">
        <w:rPr>
          <w:rFonts w:ascii="Times New Roman" w:hAnsi="Times New Roman"/>
          <w:sz w:val="20"/>
          <w:szCs w:val="20"/>
          <w:lang w:val="en-US"/>
        </w:rPr>
        <w:t>are dominated by electrica</w:t>
      </w:r>
      <w:r>
        <w:rPr>
          <w:rFonts w:ascii="Times New Roman" w:hAnsi="Times New Roman"/>
          <w:sz w:val="20"/>
          <w:szCs w:val="20"/>
          <w:lang w:val="en-US"/>
        </w:rPr>
        <w:t xml:space="preserve">l machinery, telecommunications </w:t>
      </w:r>
      <w:r w:rsidRPr="00004DEA">
        <w:rPr>
          <w:rFonts w:ascii="Times New Roman" w:hAnsi="Times New Roman"/>
          <w:sz w:val="20"/>
          <w:szCs w:val="20"/>
          <w:lang w:val="en-US"/>
        </w:rPr>
        <w:t>equipment and IT products.</w:t>
      </w:r>
    </w:p>
    <w:p w:rsidR="00260B14" w:rsidRPr="00004DEA"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 xml:space="preserve">The USA is the biggest destination </w:t>
      </w:r>
      <w:r>
        <w:rPr>
          <w:rFonts w:ascii="Times New Roman" w:hAnsi="Times New Roman"/>
          <w:sz w:val="20"/>
          <w:szCs w:val="20"/>
          <w:lang w:val="en-US"/>
        </w:rPr>
        <w:t xml:space="preserve">country of EU exports, although </w:t>
      </w:r>
      <w:r w:rsidRPr="00004DEA">
        <w:rPr>
          <w:rFonts w:ascii="Times New Roman" w:hAnsi="Times New Roman"/>
          <w:sz w:val="20"/>
          <w:szCs w:val="20"/>
          <w:lang w:val="en-US"/>
        </w:rPr>
        <w:t>its proportion diminished from 22 % to 16 % between 2006</w:t>
      </w:r>
      <w:r>
        <w:rPr>
          <w:rFonts w:ascii="Times New Roman" w:hAnsi="Times New Roman"/>
          <w:sz w:val="20"/>
          <w:szCs w:val="20"/>
          <w:lang w:val="en-US"/>
        </w:rPr>
        <w:t xml:space="preserve"> </w:t>
      </w:r>
      <w:r w:rsidRPr="00004DEA">
        <w:rPr>
          <w:rFonts w:ascii="Times New Roman" w:hAnsi="Times New Roman"/>
          <w:sz w:val="20"/>
          <w:szCs w:val="20"/>
          <w:lang w:val="en-US"/>
        </w:rPr>
        <w:t>and 2011. Concerning the other main partner countries, exports</w:t>
      </w:r>
      <w:r>
        <w:rPr>
          <w:rFonts w:ascii="Times New Roman" w:hAnsi="Times New Roman"/>
          <w:sz w:val="20"/>
          <w:szCs w:val="20"/>
          <w:lang w:val="en-US"/>
        </w:rPr>
        <w:t xml:space="preserve"> </w:t>
      </w:r>
      <w:r w:rsidRPr="00004DEA">
        <w:rPr>
          <w:rFonts w:ascii="Times New Roman" w:hAnsi="Times New Roman"/>
          <w:sz w:val="20"/>
          <w:szCs w:val="20"/>
          <w:lang w:val="en-US"/>
        </w:rPr>
        <w:t>to China and Russia increased strongly during the same period.</w:t>
      </w:r>
    </w:p>
    <w:p w:rsidR="00260B14"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The USA and Japan are still two of</w:t>
      </w:r>
      <w:r>
        <w:rPr>
          <w:rFonts w:ascii="Times New Roman" w:hAnsi="Times New Roman"/>
          <w:sz w:val="20"/>
          <w:szCs w:val="20"/>
          <w:lang w:val="en-US"/>
        </w:rPr>
        <w:t xml:space="preserve"> the top three source countries </w:t>
      </w:r>
      <w:r w:rsidRPr="00004DEA">
        <w:rPr>
          <w:rFonts w:ascii="Times New Roman" w:hAnsi="Times New Roman"/>
          <w:sz w:val="20"/>
          <w:szCs w:val="20"/>
          <w:lang w:val="en-US"/>
        </w:rPr>
        <w:t>for imports although their importa</w:t>
      </w:r>
      <w:r>
        <w:rPr>
          <w:rFonts w:ascii="Times New Roman" w:hAnsi="Times New Roman"/>
          <w:sz w:val="20"/>
          <w:szCs w:val="20"/>
          <w:lang w:val="en-US"/>
        </w:rPr>
        <w:t xml:space="preserve">nce has decreased. In 2006 they </w:t>
      </w:r>
      <w:r w:rsidRPr="00004DEA">
        <w:rPr>
          <w:rFonts w:ascii="Times New Roman" w:hAnsi="Times New Roman"/>
          <w:sz w:val="20"/>
          <w:szCs w:val="20"/>
          <w:lang w:val="en-US"/>
        </w:rPr>
        <w:t>covered 33 % of EU imports but only</w:t>
      </w:r>
      <w:r>
        <w:rPr>
          <w:rFonts w:ascii="Times New Roman" w:hAnsi="Times New Roman"/>
          <w:sz w:val="20"/>
          <w:szCs w:val="20"/>
          <w:lang w:val="en-US"/>
        </w:rPr>
        <w:t xml:space="preserve"> 26 % in 2011. During the </w:t>
      </w:r>
      <w:r w:rsidRPr="00004DEA">
        <w:rPr>
          <w:rFonts w:ascii="Times New Roman" w:hAnsi="Times New Roman"/>
          <w:sz w:val="20"/>
          <w:szCs w:val="20"/>
          <w:lang w:val="en-US"/>
        </w:rPr>
        <w:t>same period China’s share increased from 23 % to 33 %.</w:t>
      </w: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lastRenderedPageBreak/>
        <w:t xml:space="preserve">            </w:t>
      </w:r>
      <w:r>
        <w:rPr>
          <w:rFonts w:ascii="Times New Roman" w:hAnsi="Times New Roman"/>
          <w:noProof/>
          <w:sz w:val="20"/>
          <w:szCs w:val="20"/>
          <w:lang w:eastAsia="es-ES"/>
        </w:rPr>
        <w:drawing>
          <wp:inline distT="0" distB="0" distL="0" distR="0" wp14:anchorId="7F022456" wp14:editId="103905C2">
            <wp:extent cx="4508500" cy="6337300"/>
            <wp:effectExtent l="0" t="0" r="635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08500" cy="6337300"/>
                    </a:xfrm>
                    <a:prstGeom prst="rect">
                      <a:avLst/>
                    </a:prstGeom>
                    <a:noFill/>
                    <a:ln>
                      <a:noFill/>
                    </a:ln>
                  </pic:spPr>
                </pic:pic>
              </a:graphicData>
            </a:graphic>
          </wp:inline>
        </w:drawing>
      </w:r>
    </w:p>
    <w:p w:rsidR="00260B14" w:rsidRPr="00004DEA"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‘Other manufactured goods’ (SITC Secti</w:t>
      </w:r>
      <w:r>
        <w:rPr>
          <w:rFonts w:ascii="Times New Roman" w:hAnsi="Times New Roman"/>
          <w:sz w:val="20"/>
          <w:szCs w:val="20"/>
          <w:lang w:val="en-US"/>
        </w:rPr>
        <w:t xml:space="preserve">ons 6 and 8) is a heterogeneous </w:t>
      </w:r>
      <w:r w:rsidRPr="00004DEA">
        <w:rPr>
          <w:rFonts w:ascii="Times New Roman" w:hAnsi="Times New Roman"/>
          <w:sz w:val="20"/>
          <w:szCs w:val="20"/>
          <w:lang w:val="en-US"/>
        </w:rPr>
        <w:t xml:space="preserve">group consisting of manufactured goods which range </w:t>
      </w:r>
      <w:r>
        <w:rPr>
          <w:rFonts w:ascii="Times New Roman" w:hAnsi="Times New Roman"/>
          <w:sz w:val="20"/>
          <w:szCs w:val="20"/>
          <w:lang w:val="en-US"/>
        </w:rPr>
        <w:t xml:space="preserve">from </w:t>
      </w:r>
      <w:r w:rsidRPr="00004DEA">
        <w:rPr>
          <w:rFonts w:ascii="Times New Roman" w:hAnsi="Times New Roman"/>
          <w:sz w:val="20"/>
          <w:szCs w:val="20"/>
          <w:lang w:val="en-US"/>
        </w:rPr>
        <w:t>basic semi-manufactured goods</w:t>
      </w:r>
      <w:r>
        <w:rPr>
          <w:rFonts w:ascii="Times New Roman" w:hAnsi="Times New Roman"/>
          <w:sz w:val="20"/>
          <w:szCs w:val="20"/>
          <w:lang w:val="en-US"/>
        </w:rPr>
        <w:t xml:space="preserve"> such as leather, rubber, wood, </w:t>
      </w:r>
      <w:r w:rsidRPr="00004DEA">
        <w:rPr>
          <w:rFonts w:ascii="Times New Roman" w:hAnsi="Times New Roman"/>
          <w:sz w:val="20"/>
          <w:szCs w:val="20"/>
          <w:lang w:val="en-US"/>
        </w:rPr>
        <w:t xml:space="preserve">paper, textiles, metals, building fixtures and </w:t>
      </w:r>
      <w:r>
        <w:rPr>
          <w:rFonts w:ascii="Times New Roman" w:hAnsi="Times New Roman"/>
          <w:sz w:val="20"/>
          <w:szCs w:val="20"/>
          <w:lang w:val="en-US"/>
        </w:rPr>
        <w:t xml:space="preserve">fittings to more laborintensive </w:t>
      </w:r>
      <w:r w:rsidRPr="00004DEA">
        <w:rPr>
          <w:rFonts w:ascii="Times New Roman" w:hAnsi="Times New Roman"/>
          <w:sz w:val="20"/>
          <w:szCs w:val="20"/>
          <w:lang w:val="en-US"/>
        </w:rPr>
        <w:t>products like clothes, sh</w:t>
      </w:r>
      <w:r>
        <w:rPr>
          <w:rFonts w:ascii="Times New Roman" w:hAnsi="Times New Roman"/>
          <w:sz w:val="20"/>
          <w:szCs w:val="20"/>
          <w:lang w:val="en-US"/>
        </w:rPr>
        <w:t xml:space="preserve">oes and accessories, scientific </w:t>
      </w:r>
      <w:r w:rsidRPr="00004DEA">
        <w:rPr>
          <w:rFonts w:ascii="Times New Roman" w:hAnsi="Times New Roman"/>
          <w:sz w:val="20"/>
          <w:szCs w:val="20"/>
          <w:lang w:val="en-US"/>
        </w:rPr>
        <w:t>instruments, clocks, watches and cameras.</w:t>
      </w:r>
    </w:p>
    <w:p w:rsidR="00260B14" w:rsidRPr="00004DEA"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The structure of exports and imports</w:t>
      </w:r>
      <w:r>
        <w:rPr>
          <w:rFonts w:ascii="Times New Roman" w:hAnsi="Times New Roman"/>
          <w:sz w:val="20"/>
          <w:szCs w:val="20"/>
          <w:lang w:val="en-US"/>
        </w:rPr>
        <w:t xml:space="preserve">, in terms of products, differs </w:t>
      </w:r>
      <w:r w:rsidRPr="00004DEA">
        <w:rPr>
          <w:rFonts w:ascii="Times New Roman" w:hAnsi="Times New Roman"/>
          <w:sz w:val="20"/>
          <w:szCs w:val="20"/>
          <w:lang w:val="en-US"/>
        </w:rPr>
        <w:t>to some extent. The EU exports more semi-manufactured goods</w:t>
      </w:r>
      <w:r>
        <w:rPr>
          <w:rFonts w:ascii="Times New Roman" w:hAnsi="Times New Roman"/>
          <w:sz w:val="20"/>
          <w:szCs w:val="20"/>
          <w:lang w:val="en-US"/>
        </w:rPr>
        <w:t xml:space="preserve"> </w:t>
      </w:r>
      <w:r w:rsidRPr="00004DEA">
        <w:rPr>
          <w:rFonts w:ascii="Times New Roman" w:hAnsi="Times New Roman"/>
          <w:sz w:val="20"/>
          <w:szCs w:val="20"/>
          <w:lang w:val="en-US"/>
        </w:rPr>
        <w:t>such as metals and metal products</w:t>
      </w:r>
      <w:r>
        <w:rPr>
          <w:rFonts w:ascii="Times New Roman" w:hAnsi="Times New Roman"/>
          <w:sz w:val="20"/>
          <w:szCs w:val="20"/>
          <w:lang w:val="en-US"/>
        </w:rPr>
        <w:t xml:space="preserve"> while for imports manufactured </w:t>
      </w:r>
      <w:r w:rsidRPr="00004DEA">
        <w:rPr>
          <w:rFonts w:ascii="Times New Roman" w:hAnsi="Times New Roman"/>
          <w:sz w:val="20"/>
          <w:szCs w:val="20"/>
          <w:lang w:val="en-US"/>
        </w:rPr>
        <w:t>goods are more relevant, in particular clothing.</w:t>
      </w:r>
    </w:p>
    <w:p w:rsidR="00260B14" w:rsidRPr="00004DEA"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After a fall in 2009, the value o</w:t>
      </w:r>
      <w:r>
        <w:rPr>
          <w:rFonts w:ascii="Times New Roman" w:hAnsi="Times New Roman"/>
          <w:sz w:val="20"/>
          <w:szCs w:val="20"/>
          <w:lang w:val="en-US"/>
        </w:rPr>
        <w:t xml:space="preserve">f both imports and exports rose </w:t>
      </w:r>
      <w:r w:rsidRPr="00004DEA">
        <w:rPr>
          <w:rFonts w:ascii="Times New Roman" w:hAnsi="Times New Roman"/>
          <w:sz w:val="20"/>
          <w:szCs w:val="20"/>
          <w:lang w:val="en-US"/>
        </w:rPr>
        <w:t>constantly in 2010 and 2011. The EU tr</w:t>
      </w:r>
      <w:r>
        <w:rPr>
          <w:rFonts w:ascii="Times New Roman" w:hAnsi="Times New Roman"/>
          <w:sz w:val="20"/>
          <w:szCs w:val="20"/>
          <w:lang w:val="en-US"/>
        </w:rPr>
        <w:t xml:space="preserve">ade deficit reached its maximum </w:t>
      </w:r>
      <w:r w:rsidRPr="00004DEA">
        <w:rPr>
          <w:rFonts w:ascii="Times New Roman" w:hAnsi="Times New Roman"/>
          <w:sz w:val="20"/>
          <w:szCs w:val="20"/>
          <w:lang w:val="en-US"/>
        </w:rPr>
        <w:t>in 2007, but then remained quite far from that record.</w:t>
      </w:r>
    </w:p>
    <w:p w:rsidR="00260B14" w:rsidRDefault="00260B14" w:rsidP="00260B14">
      <w:pPr>
        <w:spacing w:line="240" w:lineRule="auto"/>
        <w:jc w:val="both"/>
        <w:rPr>
          <w:rFonts w:ascii="Times New Roman" w:hAnsi="Times New Roman"/>
          <w:sz w:val="20"/>
          <w:szCs w:val="20"/>
          <w:lang w:val="en-US"/>
        </w:rPr>
      </w:pPr>
      <w:r w:rsidRPr="00004DEA">
        <w:rPr>
          <w:rFonts w:ascii="Times New Roman" w:hAnsi="Times New Roman"/>
          <w:sz w:val="20"/>
          <w:szCs w:val="20"/>
          <w:lang w:val="en-US"/>
        </w:rPr>
        <w:t>Since overtaking the USA in 2001, Chin</w:t>
      </w:r>
      <w:r>
        <w:rPr>
          <w:rFonts w:ascii="Times New Roman" w:hAnsi="Times New Roman"/>
          <w:sz w:val="20"/>
          <w:szCs w:val="20"/>
          <w:lang w:val="en-US"/>
        </w:rPr>
        <w:t xml:space="preserve">a has been the biggest supplier </w:t>
      </w:r>
      <w:r w:rsidRPr="00004DEA">
        <w:rPr>
          <w:rFonts w:ascii="Times New Roman" w:hAnsi="Times New Roman"/>
          <w:sz w:val="20"/>
          <w:szCs w:val="20"/>
          <w:lang w:val="en-US"/>
        </w:rPr>
        <w:t>to the EU in this product gro</w:t>
      </w:r>
      <w:r>
        <w:rPr>
          <w:rFonts w:ascii="Times New Roman" w:hAnsi="Times New Roman"/>
          <w:sz w:val="20"/>
          <w:szCs w:val="20"/>
          <w:lang w:val="en-US"/>
        </w:rPr>
        <w:t xml:space="preserve">up, representing a share of 31% </w:t>
      </w:r>
      <w:r w:rsidRPr="00004DEA">
        <w:rPr>
          <w:rFonts w:ascii="Times New Roman" w:hAnsi="Times New Roman"/>
          <w:sz w:val="20"/>
          <w:szCs w:val="20"/>
          <w:lang w:val="en-US"/>
        </w:rPr>
        <w:t>in 2011. Other important supplie</w:t>
      </w:r>
      <w:r>
        <w:rPr>
          <w:rFonts w:ascii="Times New Roman" w:hAnsi="Times New Roman"/>
          <w:sz w:val="20"/>
          <w:szCs w:val="20"/>
          <w:lang w:val="en-US"/>
        </w:rPr>
        <w:t xml:space="preserve">rs include the USA, Switzerland </w:t>
      </w:r>
      <w:r w:rsidRPr="00004DEA">
        <w:rPr>
          <w:rFonts w:ascii="Times New Roman" w:hAnsi="Times New Roman"/>
          <w:sz w:val="20"/>
          <w:szCs w:val="20"/>
          <w:lang w:val="en-US"/>
        </w:rPr>
        <w:t>and Turkey. The main destin</w:t>
      </w:r>
      <w:r>
        <w:rPr>
          <w:rFonts w:ascii="Times New Roman" w:hAnsi="Times New Roman"/>
          <w:sz w:val="20"/>
          <w:szCs w:val="20"/>
          <w:lang w:val="en-US"/>
        </w:rPr>
        <w:t xml:space="preserve">ations for exports are the USA, </w:t>
      </w:r>
      <w:r w:rsidRPr="00004DEA">
        <w:rPr>
          <w:rFonts w:ascii="Times New Roman" w:hAnsi="Times New Roman"/>
          <w:sz w:val="20"/>
          <w:szCs w:val="20"/>
          <w:lang w:val="en-US"/>
        </w:rPr>
        <w:t>Switzerland, Russia and China.</w:t>
      </w: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b/>
          <w:sz w:val="24"/>
          <w:szCs w:val="24"/>
          <w:lang w:val="en-US"/>
        </w:rPr>
      </w:pPr>
      <w:r w:rsidRPr="00126A0F">
        <w:rPr>
          <w:rFonts w:ascii="Times New Roman" w:hAnsi="Times New Roman"/>
          <w:b/>
          <w:sz w:val="24"/>
          <w:szCs w:val="24"/>
          <w:lang w:val="en-US"/>
        </w:rPr>
        <w:lastRenderedPageBreak/>
        <w:t>Euro area trade in goods</w:t>
      </w: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t xml:space="preserve">             </w:t>
      </w:r>
      <w:r>
        <w:rPr>
          <w:rFonts w:ascii="Times New Roman" w:hAnsi="Times New Roman"/>
          <w:b/>
          <w:noProof/>
          <w:sz w:val="24"/>
          <w:szCs w:val="24"/>
          <w:lang w:eastAsia="es-ES"/>
        </w:rPr>
        <w:drawing>
          <wp:inline distT="0" distB="0" distL="0" distR="0" wp14:anchorId="769EA988" wp14:editId="3FDAC03D">
            <wp:extent cx="4527550" cy="6769100"/>
            <wp:effectExtent l="0" t="0" r="635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27550" cy="676910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r w:rsidRPr="00126A0F">
        <w:rPr>
          <w:rFonts w:ascii="Times New Roman" w:hAnsi="Times New Roman"/>
          <w:sz w:val="20"/>
          <w:szCs w:val="20"/>
          <w:lang w:val="en-US"/>
        </w:rPr>
        <w:t>Euro area trade has followed the sam</w:t>
      </w:r>
      <w:r>
        <w:rPr>
          <w:rFonts w:ascii="Times New Roman" w:hAnsi="Times New Roman"/>
          <w:sz w:val="20"/>
          <w:szCs w:val="20"/>
          <w:lang w:val="en-US"/>
        </w:rPr>
        <w:t xml:space="preserve">e pattern as EU trade in recent </w:t>
      </w:r>
      <w:r w:rsidRPr="00126A0F">
        <w:rPr>
          <w:rFonts w:ascii="Times New Roman" w:hAnsi="Times New Roman"/>
          <w:sz w:val="20"/>
          <w:szCs w:val="20"/>
          <w:lang w:val="en-US"/>
        </w:rPr>
        <w:t>years: the value of trade increa</w:t>
      </w:r>
      <w:r>
        <w:rPr>
          <w:rFonts w:ascii="Times New Roman" w:hAnsi="Times New Roman"/>
          <w:sz w:val="20"/>
          <w:szCs w:val="20"/>
          <w:lang w:val="en-US"/>
        </w:rPr>
        <w:t xml:space="preserve">sed strongly from 2003 to 2008, </w:t>
      </w:r>
      <w:r w:rsidRPr="00126A0F">
        <w:rPr>
          <w:rFonts w:ascii="Times New Roman" w:hAnsi="Times New Roman"/>
          <w:sz w:val="20"/>
          <w:szCs w:val="20"/>
          <w:lang w:val="en-US"/>
        </w:rPr>
        <w:t xml:space="preserve">with an average annual growth rate </w:t>
      </w:r>
      <w:r>
        <w:rPr>
          <w:rFonts w:ascii="Times New Roman" w:hAnsi="Times New Roman"/>
          <w:sz w:val="20"/>
          <w:szCs w:val="20"/>
          <w:lang w:val="en-US"/>
        </w:rPr>
        <w:t xml:space="preserve">of about 9 %. In 2009 the value </w:t>
      </w:r>
      <w:r w:rsidRPr="00126A0F">
        <w:rPr>
          <w:rFonts w:ascii="Times New Roman" w:hAnsi="Times New Roman"/>
          <w:sz w:val="20"/>
          <w:szCs w:val="20"/>
          <w:lang w:val="en-US"/>
        </w:rPr>
        <w:t>of both imports and exports fell</w:t>
      </w:r>
      <w:r>
        <w:rPr>
          <w:rFonts w:ascii="Times New Roman" w:hAnsi="Times New Roman"/>
          <w:sz w:val="20"/>
          <w:szCs w:val="20"/>
          <w:lang w:val="en-US"/>
        </w:rPr>
        <w:t xml:space="preserve"> by about one fifth, and then trade </w:t>
      </w:r>
      <w:r w:rsidRPr="00126A0F">
        <w:rPr>
          <w:rFonts w:ascii="Times New Roman" w:hAnsi="Times New Roman"/>
          <w:sz w:val="20"/>
          <w:szCs w:val="20"/>
          <w:lang w:val="en-US"/>
        </w:rPr>
        <w:t>flows recovered to reach a record level in 2011.</w:t>
      </w: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lastRenderedPageBreak/>
        <w:t xml:space="preserve">                  </w:t>
      </w:r>
      <w:r>
        <w:rPr>
          <w:rFonts w:ascii="Times New Roman" w:hAnsi="Times New Roman"/>
          <w:noProof/>
          <w:sz w:val="20"/>
          <w:szCs w:val="20"/>
          <w:lang w:eastAsia="es-ES"/>
        </w:rPr>
        <w:drawing>
          <wp:inline distT="0" distB="0" distL="0" distR="0" wp14:anchorId="460DCB7C" wp14:editId="1A444065">
            <wp:extent cx="4565650" cy="6216650"/>
            <wp:effectExtent l="0" t="0" r="635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65650" cy="62166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p>
    <w:p w:rsidR="00260B14" w:rsidRPr="00AF46E9" w:rsidRDefault="00260B14" w:rsidP="00260B14">
      <w:pPr>
        <w:spacing w:line="240" w:lineRule="auto"/>
        <w:jc w:val="both"/>
        <w:rPr>
          <w:rFonts w:ascii="Times New Roman" w:hAnsi="Times New Roman"/>
          <w:sz w:val="20"/>
          <w:szCs w:val="20"/>
          <w:lang w:val="en-US"/>
        </w:rPr>
      </w:pPr>
      <w:r w:rsidRPr="00AF46E9">
        <w:rPr>
          <w:rFonts w:ascii="Times New Roman" w:hAnsi="Times New Roman"/>
          <w:sz w:val="20"/>
          <w:szCs w:val="20"/>
          <w:lang w:val="en-US"/>
        </w:rPr>
        <w:t>About half of euro area trade is carried out with other E</w:t>
      </w:r>
      <w:r>
        <w:rPr>
          <w:rFonts w:ascii="Times New Roman" w:hAnsi="Times New Roman"/>
          <w:sz w:val="20"/>
          <w:szCs w:val="20"/>
          <w:lang w:val="en-US"/>
        </w:rPr>
        <w:t xml:space="preserve">uropean </w:t>
      </w:r>
      <w:r w:rsidRPr="00AF46E9">
        <w:rPr>
          <w:rFonts w:ascii="Times New Roman" w:hAnsi="Times New Roman"/>
          <w:sz w:val="20"/>
          <w:szCs w:val="20"/>
          <w:lang w:val="en-US"/>
        </w:rPr>
        <w:t>countries. In 2011 they account</w:t>
      </w:r>
      <w:r>
        <w:rPr>
          <w:rFonts w:ascii="Times New Roman" w:hAnsi="Times New Roman"/>
          <w:sz w:val="20"/>
          <w:szCs w:val="20"/>
          <w:lang w:val="en-US"/>
        </w:rPr>
        <w:t xml:space="preserve">ed for 50 % of exports and 46 % </w:t>
      </w:r>
      <w:r w:rsidRPr="00AF46E9">
        <w:rPr>
          <w:rFonts w:ascii="Times New Roman" w:hAnsi="Times New Roman"/>
          <w:sz w:val="20"/>
          <w:szCs w:val="20"/>
          <w:lang w:val="en-US"/>
        </w:rPr>
        <w:t>of imports. The respective shar</w:t>
      </w:r>
      <w:r>
        <w:rPr>
          <w:rFonts w:ascii="Times New Roman" w:hAnsi="Times New Roman"/>
          <w:sz w:val="20"/>
          <w:szCs w:val="20"/>
          <w:lang w:val="en-US"/>
        </w:rPr>
        <w:t xml:space="preserve">es of Asian countries were 23 % </w:t>
      </w:r>
      <w:r w:rsidRPr="00AF46E9">
        <w:rPr>
          <w:rFonts w:ascii="Times New Roman" w:hAnsi="Times New Roman"/>
          <w:sz w:val="20"/>
          <w:szCs w:val="20"/>
          <w:lang w:val="en-US"/>
        </w:rPr>
        <w:t>and 31 %.</w:t>
      </w:r>
    </w:p>
    <w:p w:rsidR="00260B14" w:rsidRDefault="00260B14" w:rsidP="00260B14">
      <w:pPr>
        <w:spacing w:line="240" w:lineRule="auto"/>
        <w:jc w:val="both"/>
        <w:rPr>
          <w:rFonts w:ascii="Times New Roman" w:hAnsi="Times New Roman"/>
          <w:sz w:val="20"/>
          <w:szCs w:val="20"/>
          <w:lang w:val="en-US"/>
        </w:rPr>
      </w:pPr>
      <w:r w:rsidRPr="00AF46E9">
        <w:rPr>
          <w:rFonts w:ascii="Times New Roman" w:hAnsi="Times New Roman"/>
          <w:sz w:val="20"/>
          <w:szCs w:val="20"/>
          <w:lang w:val="en-US"/>
        </w:rPr>
        <w:t>Unlike the EU as a whole, the eur</w:t>
      </w:r>
      <w:r>
        <w:rPr>
          <w:rFonts w:ascii="Times New Roman" w:hAnsi="Times New Roman"/>
          <w:sz w:val="20"/>
          <w:szCs w:val="20"/>
          <w:lang w:val="en-US"/>
        </w:rPr>
        <w:t xml:space="preserve">o area trade balance fluctuates </w:t>
      </w:r>
      <w:r w:rsidRPr="00AF46E9">
        <w:rPr>
          <w:rFonts w:ascii="Times New Roman" w:hAnsi="Times New Roman"/>
          <w:sz w:val="20"/>
          <w:szCs w:val="20"/>
          <w:lang w:val="en-US"/>
        </w:rPr>
        <w:t xml:space="preserve">between small surpluses and deficits. The euro </w:t>
      </w:r>
      <w:r>
        <w:rPr>
          <w:rFonts w:ascii="Times New Roman" w:hAnsi="Times New Roman"/>
          <w:sz w:val="20"/>
          <w:szCs w:val="20"/>
          <w:lang w:val="en-US"/>
        </w:rPr>
        <w:t xml:space="preserve">area runs a surplus </w:t>
      </w:r>
      <w:r w:rsidRPr="00AF46E9">
        <w:rPr>
          <w:rFonts w:ascii="Times New Roman" w:hAnsi="Times New Roman"/>
          <w:sz w:val="20"/>
          <w:szCs w:val="20"/>
          <w:lang w:val="en-US"/>
        </w:rPr>
        <w:t>in trade with other European co</w:t>
      </w:r>
      <w:r>
        <w:rPr>
          <w:rFonts w:ascii="Times New Roman" w:hAnsi="Times New Roman"/>
          <w:sz w:val="20"/>
          <w:szCs w:val="20"/>
          <w:lang w:val="en-US"/>
        </w:rPr>
        <w:t xml:space="preserve">untries and North America while </w:t>
      </w:r>
      <w:r w:rsidRPr="00AF46E9">
        <w:rPr>
          <w:rFonts w:ascii="Times New Roman" w:hAnsi="Times New Roman"/>
          <w:sz w:val="20"/>
          <w:szCs w:val="20"/>
          <w:lang w:val="en-US"/>
        </w:rPr>
        <w:t>a deficit is recorded in trade with Asian countries.</w:t>
      </w: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t xml:space="preserve">            </w:t>
      </w:r>
      <w:r>
        <w:rPr>
          <w:rFonts w:ascii="Times New Roman" w:hAnsi="Times New Roman"/>
          <w:noProof/>
          <w:sz w:val="20"/>
          <w:szCs w:val="20"/>
          <w:lang w:eastAsia="es-ES"/>
        </w:rPr>
        <w:drawing>
          <wp:inline distT="0" distB="0" distL="0" distR="0" wp14:anchorId="47672F31" wp14:editId="5C8A5619">
            <wp:extent cx="4533900" cy="621030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533900" cy="6210300"/>
                    </a:xfrm>
                    <a:prstGeom prst="rect">
                      <a:avLst/>
                    </a:prstGeom>
                    <a:noFill/>
                    <a:ln>
                      <a:noFill/>
                    </a:ln>
                  </pic:spPr>
                </pic:pic>
              </a:graphicData>
            </a:graphic>
          </wp:inline>
        </w:drawing>
      </w:r>
    </w:p>
    <w:p w:rsidR="00260B14" w:rsidRPr="00AF46E9" w:rsidRDefault="00260B14" w:rsidP="00260B14">
      <w:pPr>
        <w:spacing w:line="240" w:lineRule="auto"/>
        <w:jc w:val="both"/>
        <w:rPr>
          <w:rFonts w:ascii="Times New Roman" w:hAnsi="Times New Roman"/>
          <w:sz w:val="20"/>
          <w:szCs w:val="20"/>
          <w:lang w:val="en-US"/>
        </w:rPr>
      </w:pPr>
      <w:r w:rsidRPr="00AF46E9">
        <w:rPr>
          <w:rFonts w:ascii="Times New Roman" w:hAnsi="Times New Roman"/>
          <w:sz w:val="20"/>
          <w:szCs w:val="20"/>
          <w:lang w:val="en-US"/>
        </w:rPr>
        <w:t>The major trading partner of the e</w:t>
      </w:r>
      <w:r>
        <w:rPr>
          <w:rFonts w:ascii="Times New Roman" w:hAnsi="Times New Roman"/>
          <w:sz w:val="20"/>
          <w:szCs w:val="20"/>
          <w:lang w:val="en-US"/>
        </w:rPr>
        <w:t xml:space="preserve">uro area is the United Kingdom, </w:t>
      </w:r>
      <w:r w:rsidRPr="00AF46E9">
        <w:rPr>
          <w:rFonts w:ascii="Times New Roman" w:hAnsi="Times New Roman"/>
          <w:sz w:val="20"/>
          <w:szCs w:val="20"/>
          <w:lang w:val="en-US"/>
        </w:rPr>
        <w:t>followed by the USA. In 2011, t</w:t>
      </w:r>
      <w:r>
        <w:rPr>
          <w:rFonts w:ascii="Times New Roman" w:hAnsi="Times New Roman"/>
          <w:sz w:val="20"/>
          <w:szCs w:val="20"/>
          <w:lang w:val="en-US"/>
        </w:rPr>
        <w:t xml:space="preserve">he United Kingdom accounted for </w:t>
      </w:r>
      <w:r w:rsidRPr="00AF46E9">
        <w:rPr>
          <w:rFonts w:ascii="Times New Roman" w:hAnsi="Times New Roman"/>
          <w:sz w:val="20"/>
          <w:szCs w:val="20"/>
          <w:lang w:val="en-US"/>
        </w:rPr>
        <w:t>12 % of exports and 10 % of impor</w:t>
      </w:r>
      <w:r>
        <w:rPr>
          <w:rFonts w:ascii="Times New Roman" w:hAnsi="Times New Roman"/>
          <w:sz w:val="20"/>
          <w:szCs w:val="20"/>
          <w:lang w:val="en-US"/>
        </w:rPr>
        <w:t xml:space="preserve">ts, while the USA recorded 11 % </w:t>
      </w:r>
      <w:r w:rsidRPr="00AF46E9">
        <w:rPr>
          <w:rFonts w:ascii="Times New Roman" w:hAnsi="Times New Roman"/>
          <w:sz w:val="20"/>
          <w:szCs w:val="20"/>
          <w:lang w:val="en-US"/>
        </w:rPr>
        <w:t>and 8 % respectively.</w:t>
      </w:r>
    </w:p>
    <w:p w:rsidR="00260B14" w:rsidRDefault="00260B14" w:rsidP="00260B14">
      <w:pPr>
        <w:spacing w:line="240" w:lineRule="auto"/>
        <w:jc w:val="both"/>
        <w:rPr>
          <w:rFonts w:ascii="Times New Roman" w:hAnsi="Times New Roman"/>
          <w:sz w:val="20"/>
          <w:szCs w:val="20"/>
          <w:lang w:val="en-US"/>
        </w:rPr>
      </w:pPr>
      <w:r w:rsidRPr="00AF46E9">
        <w:rPr>
          <w:rFonts w:ascii="Times New Roman" w:hAnsi="Times New Roman"/>
          <w:sz w:val="20"/>
          <w:szCs w:val="20"/>
          <w:lang w:val="en-US"/>
        </w:rPr>
        <w:t>The euro area is running a stable s</w:t>
      </w:r>
      <w:r>
        <w:rPr>
          <w:rFonts w:ascii="Times New Roman" w:hAnsi="Times New Roman"/>
          <w:sz w:val="20"/>
          <w:szCs w:val="20"/>
          <w:lang w:val="en-US"/>
        </w:rPr>
        <w:t xml:space="preserve">urplus in trade with the United </w:t>
      </w:r>
      <w:r w:rsidRPr="00AF46E9">
        <w:rPr>
          <w:rFonts w:ascii="Times New Roman" w:hAnsi="Times New Roman"/>
          <w:sz w:val="20"/>
          <w:szCs w:val="20"/>
          <w:lang w:val="en-US"/>
        </w:rPr>
        <w:t xml:space="preserve">Kingdom and the USA. In 2011, the </w:t>
      </w:r>
      <w:r>
        <w:rPr>
          <w:rFonts w:ascii="Times New Roman" w:hAnsi="Times New Roman"/>
          <w:sz w:val="20"/>
          <w:szCs w:val="20"/>
          <w:lang w:val="en-US"/>
        </w:rPr>
        <w:t xml:space="preserve">surplus with the United Kingdom </w:t>
      </w:r>
      <w:r w:rsidRPr="00AF46E9">
        <w:rPr>
          <w:rFonts w:ascii="Times New Roman" w:hAnsi="Times New Roman"/>
          <w:sz w:val="20"/>
          <w:szCs w:val="20"/>
          <w:lang w:val="en-US"/>
        </w:rPr>
        <w:t xml:space="preserve">was about EUR 47 billion, reducing </w:t>
      </w:r>
      <w:r>
        <w:rPr>
          <w:rFonts w:ascii="Times New Roman" w:hAnsi="Times New Roman"/>
          <w:sz w:val="20"/>
          <w:szCs w:val="20"/>
          <w:lang w:val="en-US"/>
        </w:rPr>
        <w:t xml:space="preserve">from the peak of EUR 61 billion </w:t>
      </w:r>
      <w:r w:rsidRPr="00AF46E9">
        <w:rPr>
          <w:rFonts w:ascii="Times New Roman" w:hAnsi="Times New Roman"/>
          <w:sz w:val="20"/>
          <w:szCs w:val="20"/>
          <w:lang w:val="en-US"/>
        </w:rPr>
        <w:t>in 2007. The surplus with the USA i</w:t>
      </w:r>
      <w:r>
        <w:rPr>
          <w:rFonts w:ascii="Times New Roman" w:hAnsi="Times New Roman"/>
          <w:sz w:val="20"/>
          <w:szCs w:val="20"/>
          <w:lang w:val="en-US"/>
        </w:rPr>
        <w:t xml:space="preserve">s increasing from 2009, when it </w:t>
      </w:r>
      <w:r w:rsidRPr="00AF46E9">
        <w:rPr>
          <w:rFonts w:ascii="Times New Roman" w:hAnsi="Times New Roman"/>
          <w:sz w:val="20"/>
          <w:szCs w:val="20"/>
          <w:lang w:val="en-US"/>
        </w:rPr>
        <w:t>reached a value of about EUR 37 billion, the lowest since 2000.</w:t>
      </w:r>
    </w:p>
    <w:p w:rsidR="00260B14" w:rsidRDefault="00260B14" w:rsidP="00260B14">
      <w:pPr>
        <w:spacing w:line="240" w:lineRule="auto"/>
        <w:jc w:val="both"/>
        <w:rPr>
          <w:rFonts w:ascii="Times New Roman" w:hAnsi="Times New Roman"/>
          <w:sz w:val="20"/>
          <w:szCs w:val="20"/>
          <w:lang w:val="en-US"/>
        </w:rPr>
      </w:pPr>
      <w:r w:rsidRPr="00AF46E9">
        <w:rPr>
          <w:rFonts w:ascii="Times New Roman" w:hAnsi="Times New Roman"/>
          <w:sz w:val="20"/>
          <w:szCs w:val="20"/>
          <w:lang w:val="en-US"/>
        </w:rPr>
        <w:t>Trade with China has grown str</w:t>
      </w:r>
      <w:r>
        <w:rPr>
          <w:rFonts w:ascii="Times New Roman" w:hAnsi="Times New Roman"/>
          <w:sz w:val="20"/>
          <w:szCs w:val="20"/>
          <w:lang w:val="en-US"/>
        </w:rPr>
        <w:t xml:space="preserve">ongly in recent years. In 2007, </w:t>
      </w:r>
      <w:r w:rsidRPr="00AF46E9">
        <w:rPr>
          <w:rFonts w:ascii="Times New Roman" w:hAnsi="Times New Roman"/>
          <w:sz w:val="20"/>
          <w:szCs w:val="20"/>
          <w:lang w:val="en-US"/>
        </w:rPr>
        <w:t>China became the largest suppli</w:t>
      </w:r>
      <w:r>
        <w:rPr>
          <w:rFonts w:ascii="Times New Roman" w:hAnsi="Times New Roman"/>
          <w:sz w:val="20"/>
          <w:szCs w:val="20"/>
          <w:lang w:val="en-US"/>
        </w:rPr>
        <w:t xml:space="preserve">er to the euro area. As imports </w:t>
      </w:r>
      <w:r w:rsidRPr="00AF46E9">
        <w:rPr>
          <w:rFonts w:ascii="Times New Roman" w:hAnsi="Times New Roman"/>
          <w:sz w:val="20"/>
          <w:szCs w:val="20"/>
          <w:lang w:val="en-US"/>
        </w:rPr>
        <w:t xml:space="preserve">from China grew at a faster pace </w:t>
      </w:r>
      <w:r>
        <w:rPr>
          <w:rFonts w:ascii="Times New Roman" w:hAnsi="Times New Roman"/>
          <w:sz w:val="20"/>
          <w:szCs w:val="20"/>
          <w:lang w:val="en-US"/>
        </w:rPr>
        <w:t xml:space="preserve">than exports, the trade deficit </w:t>
      </w:r>
      <w:r w:rsidRPr="00AF46E9">
        <w:rPr>
          <w:rFonts w:ascii="Times New Roman" w:hAnsi="Times New Roman"/>
          <w:sz w:val="20"/>
          <w:szCs w:val="20"/>
          <w:lang w:val="en-US"/>
        </w:rPr>
        <w:t>deepened to EUR 120 billion in 2008, but then reduced to EU</w:t>
      </w:r>
      <w:r>
        <w:rPr>
          <w:rFonts w:ascii="Times New Roman" w:hAnsi="Times New Roman"/>
          <w:sz w:val="20"/>
          <w:szCs w:val="20"/>
          <w:lang w:val="en-US"/>
        </w:rPr>
        <w:t xml:space="preserve">R 101 </w:t>
      </w:r>
      <w:r w:rsidRPr="00AF46E9">
        <w:rPr>
          <w:rFonts w:ascii="Times New Roman" w:hAnsi="Times New Roman"/>
          <w:sz w:val="20"/>
          <w:szCs w:val="20"/>
          <w:lang w:val="en-US"/>
        </w:rPr>
        <w:t>billion in 2011. Besides China, larg</w:t>
      </w:r>
      <w:r>
        <w:rPr>
          <w:rFonts w:ascii="Times New Roman" w:hAnsi="Times New Roman"/>
          <w:sz w:val="20"/>
          <w:szCs w:val="20"/>
          <w:lang w:val="en-US"/>
        </w:rPr>
        <w:t xml:space="preserve">e deficits are also recorded in </w:t>
      </w:r>
      <w:r w:rsidRPr="00AF46E9">
        <w:rPr>
          <w:rFonts w:ascii="Times New Roman" w:hAnsi="Times New Roman"/>
          <w:sz w:val="20"/>
          <w:szCs w:val="20"/>
          <w:lang w:val="en-US"/>
        </w:rPr>
        <w:t>trade with Russia and Japan.</w:t>
      </w: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lastRenderedPageBreak/>
        <w:t xml:space="preserve">                 </w:t>
      </w:r>
      <w:r>
        <w:rPr>
          <w:rFonts w:ascii="Times New Roman" w:hAnsi="Times New Roman"/>
          <w:noProof/>
          <w:sz w:val="20"/>
          <w:szCs w:val="20"/>
          <w:lang w:eastAsia="es-ES"/>
        </w:rPr>
        <w:drawing>
          <wp:inline distT="0" distB="0" distL="0" distR="0" wp14:anchorId="4215DB1E" wp14:editId="5B83E62A">
            <wp:extent cx="4495800" cy="638810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495800" cy="6388100"/>
                    </a:xfrm>
                    <a:prstGeom prst="rect">
                      <a:avLst/>
                    </a:prstGeom>
                    <a:noFill/>
                    <a:ln>
                      <a:noFill/>
                    </a:ln>
                  </pic:spPr>
                </pic:pic>
              </a:graphicData>
            </a:graphic>
          </wp:inline>
        </w:drawing>
      </w:r>
    </w:p>
    <w:p w:rsidR="00260B14" w:rsidRPr="00AF46E9" w:rsidRDefault="00260B14" w:rsidP="00260B14">
      <w:pPr>
        <w:spacing w:line="240" w:lineRule="auto"/>
        <w:jc w:val="both"/>
        <w:rPr>
          <w:rFonts w:ascii="Times New Roman" w:hAnsi="Times New Roman"/>
          <w:sz w:val="20"/>
          <w:szCs w:val="20"/>
          <w:lang w:val="en-US"/>
        </w:rPr>
      </w:pPr>
      <w:r w:rsidRPr="00AF46E9">
        <w:rPr>
          <w:rFonts w:ascii="Times New Roman" w:hAnsi="Times New Roman"/>
          <w:sz w:val="20"/>
          <w:szCs w:val="20"/>
          <w:lang w:val="en-US"/>
        </w:rPr>
        <w:t>The structure of euro area trade, in ter</w:t>
      </w:r>
      <w:r>
        <w:rPr>
          <w:rFonts w:ascii="Times New Roman" w:hAnsi="Times New Roman"/>
          <w:sz w:val="20"/>
          <w:szCs w:val="20"/>
          <w:lang w:val="en-US"/>
        </w:rPr>
        <w:t xml:space="preserve">ms of products, is very similar </w:t>
      </w:r>
      <w:r w:rsidRPr="00AF46E9">
        <w:rPr>
          <w:rFonts w:ascii="Times New Roman" w:hAnsi="Times New Roman"/>
          <w:sz w:val="20"/>
          <w:szCs w:val="20"/>
          <w:lang w:val="en-US"/>
        </w:rPr>
        <w:t>to that of the EU. Exports a</w:t>
      </w:r>
      <w:r>
        <w:rPr>
          <w:rFonts w:ascii="Times New Roman" w:hAnsi="Times New Roman"/>
          <w:sz w:val="20"/>
          <w:szCs w:val="20"/>
          <w:lang w:val="en-US"/>
        </w:rPr>
        <w:t xml:space="preserve">re concentrated on manufactured </w:t>
      </w:r>
      <w:r w:rsidRPr="00AF46E9">
        <w:rPr>
          <w:rFonts w:ascii="Times New Roman" w:hAnsi="Times New Roman"/>
          <w:sz w:val="20"/>
          <w:szCs w:val="20"/>
          <w:lang w:val="en-US"/>
        </w:rPr>
        <w:t>products. In 2011, machinery an</w:t>
      </w:r>
      <w:r>
        <w:rPr>
          <w:rFonts w:ascii="Times New Roman" w:hAnsi="Times New Roman"/>
          <w:sz w:val="20"/>
          <w:szCs w:val="20"/>
          <w:lang w:val="en-US"/>
        </w:rPr>
        <w:t xml:space="preserve">d vehicles represented 41 % and </w:t>
      </w:r>
      <w:r w:rsidRPr="00AF46E9">
        <w:rPr>
          <w:rFonts w:ascii="Times New Roman" w:hAnsi="Times New Roman"/>
          <w:sz w:val="20"/>
          <w:szCs w:val="20"/>
          <w:lang w:val="en-US"/>
        </w:rPr>
        <w:t>other manufactured goods 24 % of total exports.</w:t>
      </w:r>
    </w:p>
    <w:p w:rsidR="00260B14" w:rsidRDefault="00260B14" w:rsidP="00260B14">
      <w:pPr>
        <w:spacing w:line="240" w:lineRule="auto"/>
        <w:jc w:val="both"/>
        <w:rPr>
          <w:rFonts w:ascii="Times New Roman" w:hAnsi="Times New Roman"/>
          <w:sz w:val="20"/>
          <w:szCs w:val="20"/>
          <w:lang w:val="en-US"/>
        </w:rPr>
      </w:pPr>
      <w:r w:rsidRPr="00AF46E9">
        <w:rPr>
          <w:rFonts w:ascii="Times New Roman" w:hAnsi="Times New Roman"/>
          <w:sz w:val="20"/>
          <w:szCs w:val="20"/>
          <w:lang w:val="en-US"/>
        </w:rPr>
        <w:t>For imports, the primary products acco</w:t>
      </w:r>
      <w:r>
        <w:rPr>
          <w:rFonts w:ascii="Times New Roman" w:hAnsi="Times New Roman"/>
          <w:sz w:val="20"/>
          <w:szCs w:val="20"/>
          <w:lang w:val="en-US"/>
        </w:rPr>
        <w:t xml:space="preserve">unted for 35 % of total imports </w:t>
      </w:r>
      <w:r w:rsidRPr="00AF46E9">
        <w:rPr>
          <w:rFonts w:ascii="Times New Roman" w:hAnsi="Times New Roman"/>
          <w:sz w:val="20"/>
          <w:szCs w:val="20"/>
          <w:lang w:val="en-US"/>
        </w:rPr>
        <w:t>in 2011. A major share of this was made up by energy products.</w:t>
      </w:r>
    </w:p>
    <w:p w:rsidR="00260B14" w:rsidRPr="00AF46E9" w:rsidRDefault="00260B14" w:rsidP="00260B14">
      <w:pPr>
        <w:spacing w:line="240" w:lineRule="auto"/>
        <w:jc w:val="both"/>
        <w:rPr>
          <w:rFonts w:ascii="Times New Roman" w:hAnsi="Times New Roman"/>
          <w:sz w:val="20"/>
          <w:szCs w:val="20"/>
          <w:lang w:val="en-US"/>
        </w:rPr>
      </w:pPr>
      <w:r w:rsidRPr="00AF46E9">
        <w:rPr>
          <w:rFonts w:ascii="Times New Roman" w:hAnsi="Times New Roman"/>
          <w:sz w:val="20"/>
          <w:szCs w:val="20"/>
          <w:lang w:val="en-US"/>
        </w:rPr>
        <w:t>The euro area is running a subs</w:t>
      </w:r>
      <w:r>
        <w:rPr>
          <w:rFonts w:ascii="Times New Roman" w:hAnsi="Times New Roman"/>
          <w:sz w:val="20"/>
          <w:szCs w:val="20"/>
          <w:lang w:val="en-US"/>
        </w:rPr>
        <w:t xml:space="preserve">tantial surplus in manufactured </w:t>
      </w:r>
      <w:r w:rsidRPr="00AF46E9">
        <w:rPr>
          <w:rFonts w:ascii="Times New Roman" w:hAnsi="Times New Roman"/>
          <w:sz w:val="20"/>
          <w:szCs w:val="20"/>
          <w:lang w:val="en-US"/>
        </w:rPr>
        <w:t>products. In 2011, the surplus wa</w:t>
      </w:r>
      <w:r>
        <w:rPr>
          <w:rFonts w:ascii="Times New Roman" w:hAnsi="Times New Roman"/>
          <w:sz w:val="20"/>
          <w:szCs w:val="20"/>
          <w:lang w:val="en-US"/>
        </w:rPr>
        <w:t xml:space="preserve">s EUR 326 billion. The majority </w:t>
      </w:r>
      <w:r w:rsidRPr="00AF46E9">
        <w:rPr>
          <w:rFonts w:ascii="Times New Roman" w:hAnsi="Times New Roman"/>
          <w:sz w:val="20"/>
          <w:szCs w:val="20"/>
          <w:lang w:val="en-US"/>
        </w:rPr>
        <w:t>of this was generated by machine</w:t>
      </w:r>
      <w:r>
        <w:rPr>
          <w:rFonts w:ascii="Times New Roman" w:hAnsi="Times New Roman"/>
          <w:sz w:val="20"/>
          <w:szCs w:val="20"/>
          <w:lang w:val="en-US"/>
        </w:rPr>
        <w:t xml:space="preserve">ry and vehicles and by chemical </w:t>
      </w:r>
      <w:r w:rsidRPr="00AF46E9">
        <w:rPr>
          <w:rFonts w:ascii="Times New Roman" w:hAnsi="Times New Roman"/>
          <w:sz w:val="20"/>
          <w:szCs w:val="20"/>
          <w:lang w:val="en-US"/>
        </w:rPr>
        <w:t>products.</w:t>
      </w:r>
    </w:p>
    <w:p w:rsidR="00260B14" w:rsidRDefault="00260B14" w:rsidP="00260B14">
      <w:pPr>
        <w:spacing w:line="240" w:lineRule="auto"/>
        <w:jc w:val="both"/>
        <w:rPr>
          <w:rFonts w:ascii="Times New Roman" w:hAnsi="Times New Roman"/>
          <w:sz w:val="20"/>
          <w:szCs w:val="20"/>
          <w:lang w:val="en-US"/>
        </w:rPr>
      </w:pPr>
      <w:r w:rsidRPr="00AF46E9">
        <w:rPr>
          <w:rFonts w:ascii="Times New Roman" w:hAnsi="Times New Roman"/>
          <w:sz w:val="20"/>
          <w:szCs w:val="20"/>
          <w:lang w:val="en-US"/>
        </w:rPr>
        <w:t>Trade of primary products is runni</w:t>
      </w:r>
      <w:r>
        <w:rPr>
          <w:rFonts w:ascii="Times New Roman" w:hAnsi="Times New Roman"/>
          <w:sz w:val="20"/>
          <w:szCs w:val="20"/>
          <w:lang w:val="en-US"/>
        </w:rPr>
        <w:t xml:space="preserve">ng a sizeable deficit. While </w:t>
      </w:r>
      <w:r w:rsidRPr="00AF46E9">
        <w:rPr>
          <w:rFonts w:ascii="Times New Roman" w:hAnsi="Times New Roman"/>
          <w:sz w:val="20"/>
          <w:szCs w:val="20"/>
          <w:lang w:val="en-US"/>
        </w:rPr>
        <w:t>trade in food and drink posts a smal</w:t>
      </w:r>
      <w:r>
        <w:rPr>
          <w:rFonts w:ascii="Times New Roman" w:hAnsi="Times New Roman"/>
          <w:sz w:val="20"/>
          <w:szCs w:val="20"/>
          <w:lang w:val="en-US"/>
        </w:rPr>
        <w:t xml:space="preserve">l surplus, there is a permanent </w:t>
      </w:r>
      <w:r w:rsidRPr="00AF46E9">
        <w:rPr>
          <w:rFonts w:ascii="Times New Roman" w:hAnsi="Times New Roman"/>
          <w:sz w:val="20"/>
          <w:szCs w:val="20"/>
          <w:lang w:val="en-US"/>
        </w:rPr>
        <w:t>deficit in energy products and raw materials.</w:t>
      </w:r>
    </w:p>
    <w:p w:rsidR="00260B14" w:rsidRDefault="00260B14" w:rsidP="00260B14">
      <w:pPr>
        <w:spacing w:line="240" w:lineRule="auto"/>
        <w:jc w:val="both"/>
        <w:rPr>
          <w:rFonts w:ascii="Times New Roman" w:hAnsi="Times New Roman"/>
          <w:sz w:val="20"/>
          <w:szCs w:val="20"/>
          <w:lang w:val="en-US"/>
        </w:rPr>
      </w:pPr>
      <w:r>
        <w:rPr>
          <w:rFonts w:ascii="Times New Roman" w:hAnsi="Times New Roman"/>
          <w:sz w:val="20"/>
          <w:szCs w:val="20"/>
          <w:lang w:val="en-US"/>
        </w:rPr>
        <w:lastRenderedPageBreak/>
        <w:t xml:space="preserve">                                                                                                                    </w:t>
      </w:r>
      <w:r>
        <w:rPr>
          <w:rFonts w:ascii="Times New Roman" w:hAnsi="Times New Roman"/>
          <w:noProof/>
          <w:sz w:val="20"/>
          <w:szCs w:val="20"/>
          <w:lang w:eastAsia="es-ES"/>
        </w:rPr>
        <w:drawing>
          <wp:inline distT="0" distB="0" distL="0" distR="0" wp14:anchorId="6E21B20C" wp14:editId="1DB85991">
            <wp:extent cx="3422650" cy="5073650"/>
            <wp:effectExtent l="0" t="0" r="635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422650" cy="50736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4450D609" wp14:editId="6C2FE03F">
            <wp:extent cx="2876550" cy="347345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76550" cy="34734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p>
    <w:p w:rsidR="00260B14" w:rsidRPr="00260B14" w:rsidRDefault="00260B14" w:rsidP="00260B14">
      <w:pPr>
        <w:spacing w:line="240" w:lineRule="auto"/>
        <w:jc w:val="both"/>
        <w:rPr>
          <w:rFonts w:ascii="Times New Roman" w:hAnsi="Times New Roman"/>
          <w:b/>
          <w:sz w:val="24"/>
          <w:szCs w:val="24"/>
          <w:lang w:val="en-US"/>
        </w:rPr>
      </w:pPr>
      <w:r w:rsidRPr="00260B14">
        <w:rPr>
          <w:rFonts w:ascii="Times New Roman" w:hAnsi="Times New Roman"/>
          <w:b/>
          <w:sz w:val="24"/>
          <w:szCs w:val="24"/>
          <w:lang w:val="en-US"/>
        </w:rPr>
        <w:t>International trade in services</w:t>
      </w:r>
    </w:p>
    <w:p w:rsidR="00260B14" w:rsidRPr="00260B14" w:rsidRDefault="00260B14" w:rsidP="00260B14">
      <w:pPr>
        <w:spacing w:line="240" w:lineRule="auto"/>
        <w:jc w:val="both"/>
        <w:rPr>
          <w:rFonts w:ascii="Times New Roman" w:hAnsi="Times New Roman"/>
          <w:b/>
          <w:noProof/>
          <w:sz w:val="24"/>
          <w:szCs w:val="24"/>
          <w:lang w:val="en-US"/>
        </w:rPr>
      </w:pPr>
      <w:r w:rsidRPr="00260B14">
        <w:rPr>
          <w:rFonts w:ascii="Times New Roman" w:hAnsi="Times New Roman"/>
          <w:b/>
          <w:noProof/>
          <w:sz w:val="24"/>
          <w:szCs w:val="24"/>
          <w:lang w:val="en-US"/>
        </w:rPr>
        <w:t xml:space="preserve">                    </w:t>
      </w:r>
      <w:r>
        <w:rPr>
          <w:rFonts w:ascii="Times New Roman" w:hAnsi="Times New Roman"/>
          <w:b/>
          <w:noProof/>
          <w:sz w:val="24"/>
          <w:szCs w:val="24"/>
          <w:lang w:eastAsia="es-ES"/>
        </w:rPr>
        <w:drawing>
          <wp:inline distT="0" distB="0" distL="0" distR="0" wp14:anchorId="03BACDF2" wp14:editId="307B7689">
            <wp:extent cx="4337050" cy="7080250"/>
            <wp:effectExtent l="0" t="0" r="6350" b="635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337050" cy="7080250"/>
                    </a:xfrm>
                    <a:prstGeom prst="rect">
                      <a:avLst/>
                    </a:prstGeom>
                    <a:noFill/>
                    <a:ln>
                      <a:noFill/>
                    </a:ln>
                  </pic:spPr>
                </pic:pic>
              </a:graphicData>
            </a:graphic>
          </wp:inline>
        </w:drawing>
      </w:r>
    </w:p>
    <w:p w:rsidR="00260B14" w:rsidRPr="00260B14" w:rsidRDefault="00260B14" w:rsidP="00260B14">
      <w:pPr>
        <w:spacing w:line="240" w:lineRule="auto"/>
        <w:jc w:val="both"/>
        <w:rPr>
          <w:rFonts w:ascii="Times New Roman" w:hAnsi="Times New Roman"/>
          <w:b/>
          <w:noProof/>
          <w:sz w:val="24"/>
          <w:szCs w:val="24"/>
          <w:lang w:val="en-US"/>
        </w:rPr>
      </w:pPr>
    </w:p>
    <w:p w:rsidR="00260B14" w:rsidRPr="00260B14" w:rsidRDefault="00260B14" w:rsidP="00260B14">
      <w:pPr>
        <w:spacing w:line="240" w:lineRule="auto"/>
        <w:jc w:val="both"/>
        <w:rPr>
          <w:rFonts w:ascii="Times New Roman" w:hAnsi="Times New Roman"/>
          <w:b/>
          <w:noProof/>
          <w:sz w:val="24"/>
          <w:szCs w:val="24"/>
          <w:lang w:val="en-US"/>
        </w:rPr>
      </w:pPr>
    </w:p>
    <w:p w:rsidR="00260B14" w:rsidRPr="00260B14" w:rsidRDefault="00260B14" w:rsidP="00260B14">
      <w:pPr>
        <w:spacing w:line="240" w:lineRule="auto"/>
        <w:jc w:val="both"/>
        <w:rPr>
          <w:rFonts w:ascii="Times New Roman" w:hAnsi="Times New Roman"/>
          <w:b/>
          <w:noProof/>
          <w:sz w:val="24"/>
          <w:szCs w:val="24"/>
          <w:lang w:val="en-US"/>
        </w:rPr>
      </w:pPr>
    </w:p>
    <w:p w:rsidR="00260B14" w:rsidRPr="00260B14" w:rsidRDefault="00260B14" w:rsidP="00260B14">
      <w:pPr>
        <w:spacing w:line="240" w:lineRule="auto"/>
        <w:jc w:val="both"/>
        <w:rPr>
          <w:rFonts w:ascii="Times New Roman" w:hAnsi="Times New Roman"/>
          <w:b/>
          <w:noProof/>
          <w:sz w:val="24"/>
          <w:szCs w:val="24"/>
          <w:lang w:val="en-US"/>
        </w:rPr>
      </w:pPr>
    </w:p>
    <w:p w:rsidR="00260B14" w:rsidRPr="00260B14" w:rsidRDefault="00260B14" w:rsidP="00260B14">
      <w:pPr>
        <w:spacing w:line="240" w:lineRule="auto"/>
        <w:jc w:val="both"/>
        <w:rPr>
          <w:rFonts w:ascii="Times New Roman" w:hAnsi="Times New Roman"/>
          <w:b/>
          <w:noProof/>
          <w:sz w:val="24"/>
          <w:szCs w:val="24"/>
          <w:lang w:val="en-US"/>
        </w:rPr>
      </w:pP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t xml:space="preserve">                     </w:t>
      </w:r>
      <w:r>
        <w:rPr>
          <w:rFonts w:ascii="Times New Roman" w:hAnsi="Times New Roman"/>
          <w:b/>
          <w:noProof/>
          <w:sz w:val="24"/>
          <w:szCs w:val="24"/>
          <w:lang w:eastAsia="es-ES"/>
        </w:rPr>
        <w:drawing>
          <wp:inline distT="0" distB="0" distL="0" distR="0" wp14:anchorId="0B7F3366" wp14:editId="29E38A6D">
            <wp:extent cx="3740150" cy="7296150"/>
            <wp:effectExtent l="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740150" cy="72961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lastRenderedPageBreak/>
        <w:t xml:space="preserve">                       </w:t>
      </w:r>
      <w:r>
        <w:rPr>
          <w:rFonts w:ascii="Times New Roman" w:hAnsi="Times New Roman"/>
          <w:b/>
          <w:noProof/>
          <w:sz w:val="24"/>
          <w:szCs w:val="24"/>
          <w:lang w:eastAsia="es-ES"/>
        </w:rPr>
        <w:drawing>
          <wp:inline distT="0" distB="0" distL="0" distR="0" wp14:anchorId="19423E2F" wp14:editId="1D584899">
            <wp:extent cx="3683000" cy="743585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683000" cy="74358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lastRenderedPageBreak/>
        <w:t xml:space="preserve">                   </w:t>
      </w:r>
      <w:r>
        <w:rPr>
          <w:rFonts w:ascii="Times New Roman" w:hAnsi="Times New Roman"/>
          <w:b/>
          <w:noProof/>
          <w:sz w:val="24"/>
          <w:szCs w:val="24"/>
          <w:lang w:eastAsia="es-ES"/>
        </w:rPr>
        <w:drawing>
          <wp:inline distT="0" distB="0" distL="0" distR="0" wp14:anchorId="5EE5DFE9" wp14:editId="33CBCEAE">
            <wp:extent cx="4267200" cy="715010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267200" cy="715010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lastRenderedPageBreak/>
        <w:t xml:space="preserve">                    </w:t>
      </w:r>
      <w:r>
        <w:rPr>
          <w:rFonts w:ascii="Times New Roman" w:hAnsi="Times New Roman"/>
          <w:b/>
          <w:noProof/>
          <w:sz w:val="24"/>
          <w:szCs w:val="24"/>
          <w:lang w:eastAsia="es-ES"/>
        </w:rPr>
        <w:drawing>
          <wp:inline distT="0" distB="0" distL="0" distR="0" wp14:anchorId="2CC4A54E" wp14:editId="0F066EBD">
            <wp:extent cx="4089400" cy="6896100"/>
            <wp:effectExtent l="0" t="0" r="635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089400" cy="689610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lastRenderedPageBreak/>
        <w:t xml:space="preserve">                       </w:t>
      </w:r>
      <w:r>
        <w:rPr>
          <w:rFonts w:ascii="Times New Roman" w:hAnsi="Times New Roman"/>
          <w:b/>
          <w:noProof/>
          <w:sz w:val="24"/>
          <w:szCs w:val="24"/>
          <w:lang w:eastAsia="es-ES"/>
        </w:rPr>
        <w:drawing>
          <wp:inline distT="0" distB="0" distL="0" distR="0" wp14:anchorId="04D3147E" wp14:editId="30C5D25B">
            <wp:extent cx="3981450" cy="718185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981450" cy="71818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lastRenderedPageBreak/>
        <w:t xml:space="preserve">           </w:t>
      </w:r>
      <w:r>
        <w:rPr>
          <w:rFonts w:ascii="Times New Roman" w:hAnsi="Times New Roman"/>
          <w:b/>
          <w:noProof/>
          <w:sz w:val="24"/>
          <w:szCs w:val="24"/>
          <w:lang w:eastAsia="es-ES"/>
        </w:rPr>
        <w:drawing>
          <wp:inline distT="0" distB="0" distL="0" distR="0" wp14:anchorId="3023C9D2" wp14:editId="6802522E">
            <wp:extent cx="4527550" cy="7327900"/>
            <wp:effectExtent l="0" t="0" r="6350" b="635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527550" cy="7327900"/>
                    </a:xfrm>
                    <a:prstGeom prst="rect">
                      <a:avLst/>
                    </a:prstGeom>
                    <a:noFill/>
                    <a:ln>
                      <a:noFill/>
                    </a:ln>
                  </pic:spPr>
                </pic:pic>
              </a:graphicData>
            </a:graphic>
          </wp:inline>
        </w:drawing>
      </w:r>
    </w:p>
    <w:p w:rsidR="00260B14" w:rsidRPr="00E4377E" w:rsidRDefault="00260B14" w:rsidP="00260B14">
      <w:pPr>
        <w:spacing w:line="240" w:lineRule="auto"/>
        <w:jc w:val="both"/>
        <w:rPr>
          <w:rFonts w:ascii="Times New Roman" w:hAnsi="Times New Roman"/>
          <w:sz w:val="24"/>
          <w:szCs w:val="24"/>
          <w:lang w:val="en-US"/>
        </w:rPr>
      </w:pPr>
      <w:r w:rsidRPr="00E4377E">
        <w:rPr>
          <w:rFonts w:ascii="Times New Roman" w:hAnsi="Times New Roman"/>
          <w:sz w:val="24"/>
          <w:szCs w:val="24"/>
          <w:lang w:val="en-US"/>
        </w:rPr>
        <w:t>Services play a major role in all</w:t>
      </w:r>
      <w:r>
        <w:rPr>
          <w:rFonts w:ascii="Times New Roman" w:hAnsi="Times New Roman"/>
          <w:sz w:val="24"/>
          <w:szCs w:val="24"/>
          <w:lang w:val="en-US"/>
        </w:rPr>
        <w:t xml:space="preserve"> modern economies. An efficient </w:t>
      </w:r>
      <w:r w:rsidRPr="00E4377E">
        <w:rPr>
          <w:rFonts w:ascii="Times New Roman" w:hAnsi="Times New Roman"/>
          <w:sz w:val="24"/>
          <w:szCs w:val="24"/>
          <w:lang w:val="en-US"/>
        </w:rPr>
        <w:t>services sector is considered to be</w:t>
      </w:r>
      <w:r>
        <w:rPr>
          <w:rFonts w:ascii="Times New Roman" w:hAnsi="Times New Roman"/>
          <w:sz w:val="24"/>
          <w:szCs w:val="24"/>
          <w:lang w:val="en-US"/>
        </w:rPr>
        <w:t xml:space="preserve"> crucial for trade and economic </w:t>
      </w:r>
      <w:r w:rsidRPr="00E4377E">
        <w:rPr>
          <w:rFonts w:ascii="Times New Roman" w:hAnsi="Times New Roman"/>
          <w:sz w:val="24"/>
          <w:szCs w:val="24"/>
          <w:lang w:val="en-US"/>
        </w:rPr>
        <w:t>growth and for vibrant and resili</w:t>
      </w:r>
      <w:r>
        <w:rPr>
          <w:rFonts w:ascii="Times New Roman" w:hAnsi="Times New Roman"/>
          <w:sz w:val="24"/>
          <w:szCs w:val="24"/>
          <w:lang w:val="en-US"/>
        </w:rPr>
        <w:t xml:space="preserve">ent economies. Services provide </w:t>
      </w:r>
      <w:r w:rsidRPr="00E4377E">
        <w:rPr>
          <w:rFonts w:ascii="Times New Roman" w:hAnsi="Times New Roman"/>
          <w:sz w:val="24"/>
          <w:szCs w:val="24"/>
          <w:lang w:val="en-US"/>
        </w:rPr>
        <w:t>vital support to the economy and industry as a w</w:t>
      </w:r>
      <w:r>
        <w:rPr>
          <w:rFonts w:ascii="Times New Roman" w:hAnsi="Times New Roman"/>
          <w:sz w:val="24"/>
          <w:szCs w:val="24"/>
          <w:lang w:val="en-US"/>
        </w:rPr>
        <w:t xml:space="preserve">hole, for example, </w:t>
      </w:r>
      <w:r w:rsidRPr="00E4377E">
        <w:rPr>
          <w:rFonts w:ascii="Times New Roman" w:hAnsi="Times New Roman"/>
          <w:sz w:val="24"/>
          <w:szCs w:val="24"/>
          <w:lang w:val="en-US"/>
        </w:rPr>
        <w:t>through finance, logistics and com</w:t>
      </w:r>
      <w:r>
        <w:rPr>
          <w:rFonts w:ascii="Times New Roman" w:hAnsi="Times New Roman"/>
          <w:sz w:val="24"/>
          <w:szCs w:val="24"/>
          <w:lang w:val="en-US"/>
        </w:rPr>
        <w:t xml:space="preserve">munications. Increased trade in </w:t>
      </w:r>
      <w:r w:rsidRPr="00E4377E">
        <w:rPr>
          <w:rFonts w:ascii="Times New Roman" w:hAnsi="Times New Roman"/>
          <w:sz w:val="24"/>
          <w:szCs w:val="24"/>
          <w:lang w:val="en-US"/>
        </w:rPr>
        <w:t>services and the widespread availability</w:t>
      </w:r>
      <w:r>
        <w:rPr>
          <w:rFonts w:ascii="Times New Roman" w:hAnsi="Times New Roman"/>
          <w:sz w:val="24"/>
          <w:szCs w:val="24"/>
          <w:lang w:val="en-US"/>
        </w:rPr>
        <w:t xml:space="preserve"> of services may boost economic </w:t>
      </w:r>
      <w:r w:rsidRPr="00E4377E">
        <w:rPr>
          <w:rFonts w:ascii="Times New Roman" w:hAnsi="Times New Roman"/>
          <w:sz w:val="24"/>
          <w:szCs w:val="24"/>
          <w:lang w:val="en-US"/>
        </w:rPr>
        <w:t>growth by improving the p</w:t>
      </w:r>
      <w:r>
        <w:rPr>
          <w:rFonts w:ascii="Times New Roman" w:hAnsi="Times New Roman"/>
          <w:sz w:val="24"/>
          <w:szCs w:val="24"/>
          <w:lang w:val="en-US"/>
        </w:rPr>
        <w:t xml:space="preserve">erformance of other industries, </w:t>
      </w:r>
      <w:r w:rsidRPr="00E4377E">
        <w:rPr>
          <w:rFonts w:ascii="Times New Roman" w:hAnsi="Times New Roman"/>
          <w:sz w:val="24"/>
          <w:szCs w:val="24"/>
          <w:lang w:val="en-US"/>
        </w:rPr>
        <w:t>since services can provide key intermediat</w:t>
      </w:r>
      <w:r>
        <w:rPr>
          <w:rFonts w:ascii="Times New Roman" w:hAnsi="Times New Roman"/>
          <w:sz w:val="24"/>
          <w:szCs w:val="24"/>
          <w:lang w:val="en-US"/>
        </w:rPr>
        <w:t xml:space="preserve">e inputs, especially in an </w:t>
      </w:r>
      <w:r w:rsidRPr="00E4377E">
        <w:rPr>
          <w:rFonts w:ascii="Times New Roman" w:hAnsi="Times New Roman"/>
          <w:sz w:val="24"/>
          <w:szCs w:val="24"/>
          <w:lang w:val="en-US"/>
        </w:rPr>
        <w:t>increasingly interlinked, globalised world.</w:t>
      </w:r>
    </w:p>
    <w:p w:rsidR="00260B14" w:rsidRPr="00E4377E" w:rsidRDefault="00260B14" w:rsidP="00260B14">
      <w:pPr>
        <w:spacing w:line="240" w:lineRule="auto"/>
        <w:jc w:val="both"/>
        <w:rPr>
          <w:rFonts w:ascii="Times New Roman" w:hAnsi="Times New Roman"/>
          <w:sz w:val="24"/>
          <w:szCs w:val="24"/>
          <w:lang w:val="en-US"/>
        </w:rPr>
      </w:pPr>
      <w:r w:rsidRPr="00E4377E">
        <w:rPr>
          <w:rFonts w:ascii="Times New Roman" w:hAnsi="Times New Roman"/>
          <w:sz w:val="24"/>
          <w:szCs w:val="24"/>
          <w:lang w:val="en-US"/>
        </w:rPr>
        <w:lastRenderedPageBreak/>
        <w:t xml:space="preserve">The share of services in EU-27 </w:t>
      </w:r>
      <w:r>
        <w:rPr>
          <w:rFonts w:ascii="Times New Roman" w:hAnsi="Times New Roman"/>
          <w:sz w:val="24"/>
          <w:szCs w:val="24"/>
          <w:lang w:val="en-US"/>
        </w:rPr>
        <w:t xml:space="preserve">exports (extra-EU) of goods and </w:t>
      </w:r>
      <w:r w:rsidRPr="00E4377E">
        <w:rPr>
          <w:rFonts w:ascii="Times New Roman" w:hAnsi="Times New Roman"/>
          <w:sz w:val="24"/>
          <w:szCs w:val="24"/>
          <w:lang w:val="en-US"/>
        </w:rPr>
        <w:t>services was relatively stable durin</w:t>
      </w:r>
      <w:r>
        <w:rPr>
          <w:rFonts w:ascii="Times New Roman" w:hAnsi="Times New Roman"/>
          <w:sz w:val="24"/>
          <w:szCs w:val="24"/>
          <w:lang w:val="en-US"/>
        </w:rPr>
        <w:t xml:space="preserve">g the period from 2001 to 2008, </w:t>
      </w:r>
      <w:r w:rsidRPr="00E4377E">
        <w:rPr>
          <w:rFonts w:ascii="Times New Roman" w:hAnsi="Times New Roman"/>
          <w:sz w:val="24"/>
          <w:szCs w:val="24"/>
          <w:lang w:val="en-US"/>
        </w:rPr>
        <w:t xml:space="preserve">fluctuating between 28 % and 29 %. This share rose to </w:t>
      </w:r>
      <w:r>
        <w:rPr>
          <w:rFonts w:ascii="Times New Roman" w:hAnsi="Times New Roman"/>
          <w:sz w:val="24"/>
          <w:szCs w:val="24"/>
          <w:lang w:val="en-US"/>
        </w:rPr>
        <w:t xml:space="preserve">30.3 % in </w:t>
      </w:r>
      <w:r w:rsidRPr="00E4377E">
        <w:rPr>
          <w:rFonts w:ascii="Times New Roman" w:hAnsi="Times New Roman"/>
          <w:sz w:val="24"/>
          <w:szCs w:val="24"/>
          <w:lang w:val="en-US"/>
        </w:rPr>
        <w:t>2009, before falling back to 28.6 % in</w:t>
      </w:r>
      <w:r>
        <w:rPr>
          <w:rFonts w:ascii="Times New Roman" w:hAnsi="Times New Roman"/>
          <w:sz w:val="24"/>
          <w:szCs w:val="24"/>
          <w:lang w:val="en-US"/>
        </w:rPr>
        <w:t xml:space="preserve"> 2010 and falling still further </w:t>
      </w:r>
      <w:r w:rsidRPr="00E4377E">
        <w:rPr>
          <w:rFonts w:ascii="Times New Roman" w:hAnsi="Times New Roman"/>
          <w:sz w:val="24"/>
          <w:szCs w:val="24"/>
          <w:lang w:val="en-US"/>
        </w:rPr>
        <w:t>to 27.4 % in 2011 (its lowest sh</w:t>
      </w:r>
      <w:r>
        <w:rPr>
          <w:rFonts w:ascii="Times New Roman" w:hAnsi="Times New Roman"/>
          <w:sz w:val="24"/>
          <w:szCs w:val="24"/>
          <w:lang w:val="en-US"/>
        </w:rPr>
        <w:t xml:space="preserve">are in more than a decade). The </w:t>
      </w:r>
      <w:r w:rsidRPr="00E4377E">
        <w:rPr>
          <w:rFonts w:ascii="Times New Roman" w:hAnsi="Times New Roman"/>
          <w:sz w:val="24"/>
          <w:szCs w:val="24"/>
          <w:lang w:val="en-US"/>
        </w:rPr>
        <w:t>services share of EU-27 imports (</w:t>
      </w:r>
      <w:r>
        <w:rPr>
          <w:rFonts w:ascii="Times New Roman" w:hAnsi="Times New Roman"/>
          <w:sz w:val="24"/>
          <w:szCs w:val="24"/>
          <w:lang w:val="en-US"/>
        </w:rPr>
        <w:t xml:space="preserve">extra-EU) of goods and services </w:t>
      </w:r>
      <w:r w:rsidRPr="00E4377E">
        <w:rPr>
          <w:rFonts w:ascii="Times New Roman" w:hAnsi="Times New Roman"/>
          <w:sz w:val="24"/>
          <w:szCs w:val="24"/>
          <w:lang w:val="en-US"/>
        </w:rPr>
        <w:t>peaked at 26.49 % in 2002, after which there we</w:t>
      </w:r>
      <w:r>
        <w:rPr>
          <w:rFonts w:ascii="Times New Roman" w:hAnsi="Times New Roman"/>
          <w:sz w:val="24"/>
          <w:szCs w:val="24"/>
          <w:lang w:val="en-US"/>
        </w:rPr>
        <w:t xml:space="preserve">re four consecutive </w:t>
      </w:r>
      <w:r w:rsidRPr="00E4377E">
        <w:rPr>
          <w:rFonts w:ascii="Times New Roman" w:hAnsi="Times New Roman"/>
          <w:sz w:val="24"/>
          <w:szCs w:val="24"/>
          <w:lang w:val="en-US"/>
        </w:rPr>
        <w:t xml:space="preserve">contractions. From a relative low </w:t>
      </w:r>
      <w:r>
        <w:rPr>
          <w:rFonts w:ascii="Times New Roman" w:hAnsi="Times New Roman"/>
          <w:sz w:val="24"/>
          <w:szCs w:val="24"/>
          <w:lang w:val="en-US"/>
        </w:rPr>
        <w:t xml:space="preserve">of 22.3 % in 2006, the share of </w:t>
      </w:r>
      <w:r w:rsidRPr="00E4377E">
        <w:rPr>
          <w:rFonts w:ascii="Times New Roman" w:hAnsi="Times New Roman"/>
          <w:sz w:val="24"/>
          <w:szCs w:val="24"/>
          <w:lang w:val="en-US"/>
        </w:rPr>
        <w:t>services in EU-27 imports of goods a</w:t>
      </w:r>
      <w:r>
        <w:rPr>
          <w:rFonts w:ascii="Times New Roman" w:hAnsi="Times New Roman"/>
          <w:sz w:val="24"/>
          <w:szCs w:val="24"/>
          <w:lang w:val="en-US"/>
        </w:rPr>
        <w:t xml:space="preserve">nd services remained relatively </w:t>
      </w:r>
      <w:r w:rsidRPr="00E4377E">
        <w:rPr>
          <w:rFonts w:ascii="Times New Roman" w:hAnsi="Times New Roman"/>
          <w:sz w:val="24"/>
          <w:szCs w:val="24"/>
          <w:lang w:val="en-US"/>
        </w:rPr>
        <w:t>unchanged until 2009 whe</w:t>
      </w:r>
      <w:r>
        <w:rPr>
          <w:rFonts w:ascii="Times New Roman" w:hAnsi="Times New Roman"/>
          <w:sz w:val="24"/>
          <w:szCs w:val="24"/>
          <w:lang w:val="en-US"/>
        </w:rPr>
        <w:t xml:space="preserve">n there was a sharp increase to </w:t>
      </w:r>
      <w:r w:rsidRPr="00E4377E">
        <w:rPr>
          <w:rFonts w:ascii="Times New Roman" w:hAnsi="Times New Roman"/>
          <w:sz w:val="24"/>
          <w:szCs w:val="24"/>
          <w:lang w:val="en-US"/>
        </w:rPr>
        <w:t>25.9 %. The relative importance of services fe</w:t>
      </w:r>
      <w:r>
        <w:rPr>
          <w:rFonts w:ascii="Times New Roman" w:hAnsi="Times New Roman"/>
          <w:sz w:val="24"/>
          <w:szCs w:val="24"/>
          <w:lang w:val="en-US"/>
        </w:rPr>
        <w:t xml:space="preserve">ll once again after this </w:t>
      </w:r>
      <w:r w:rsidRPr="00E4377E">
        <w:rPr>
          <w:rFonts w:ascii="Times New Roman" w:hAnsi="Times New Roman"/>
          <w:sz w:val="24"/>
          <w:szCs w:val="24"/>
          <w:lang w:val="en-US"/>
        </w:rPr>
        <w:t>date, accounting for 21.8 % of EU-2</w:t>
      </w:r>
      <w:r>
        <w:rPr>
          <w:rFonts w:ascii="Times New Roman" w:hAnsi="Times New Roman"/>
          <w:sz w:val="24"/>
          <w:szCs w:val="24"/>
          <w:lang w:val="en-US"/>
        </w:rPr>
        <w:t xml:space="preserve">7 imports of goods and services </w:t>
      </w:r>
      <w:r w:rsidRPr="00E4377E">
        <w:rPr>
          <w:rFonts w:ascii="Times New Roman" w:hAnsi="Times New Roman"/>
          <w:sz w:val="24"/>
          <w:szCs w:val="24"/>
          <w:lang w:val="en-US"/>
        </w:rPr>
        <w:t>in 2011 (also the lowest proportion for more than a decade).</w:t>
      </w:r>
    </w:p>
    <w:p w:rsidR="00260B14" w:rsidRPr="00E4377E" w:rsidRDefault="00260B14" w:rsidP="00260B14">
      <w:pPr>
        <w:spacing w:line="240" w:lineRule="auto"/>
        <w:jc w:val="both"/>
        <w:rPr>
          <w:rFonts w:ascii="Times New Roman" w:hAnsi="Times New Roman"/>
          <w:sz w:val="24"/>
          <w:szCs w:val="24"/>
          <w:lang w:val="en-US"/>
        </w:rPr>
      </w:pPr>
      <w:r w:rsidRPr="00E4377E">
        <w:rPr>
          <w:rFonts w:ascii="Times New Roman" w:hAnsi="Times New Roman"/>
          <w:sz w:val="24"/>
          <w:szCs w:val="24"/>
          <w:lang w:val="en-US"/>
        </w:rPr>
        <w:t>The EU-27 reported a surplus</w:t>
      </w:r>
      <w:r>
        <w:rPr>
          <w:rFonts w:ascii="Times New Roman" w:hAnsi="Times New Roman"/>
          <w:sz w:val="24"/>
          <w:szCs w:val="24"/>
          <w:lang w:val="en-US"/>
        </w:rPr>
        <w:t xml:space="preserve"> in service transactions of EUR </w:t>
      </w:r>
      <w:r w:rsidRPr="00E4377E">
        <w:rPr>
          <w:rFonts w:ascii="Times New Roman" w:hAnsi="Times New Roman"/>
          <w:sz w:val="24"/>
          <w:szCs w:val="24"/>
          <w:lang w:val="en-US"/>
        </w:rPr>
        <w:t xml:space="preserve">109 100 million with the rest of the world </w:t>
      </w:r>
      <w:r>
        <w:rPr>
          <w:rFonts w:ascii="Times New Roman" w:hAnsi="Times New Roman"/>
          <w:sz w:val="24"/>
          <w:szCs w:val="24"/>
          <w:lang w:val="en-US"/>
        </w:rPr>
        <w:t xml:space="preserve">in 2011 (provisional), </w:t>
      </w:r>
      <w:r w:rsidRPr="00E4377E">
        <w:rPr>
          <w:rFonts w:ascii="Times New Roman" w:hAnsi="Times New Roman"/>
          <w:sz w:val="24"/>
          <w:szCs w:val="24"/>
          <w:lang w:val="en-US"/>
        </w:rPr>
        <w:t>reflecting credits of EUR 57</w:t>
      </w:r>
      <w:r>
        <w:rPr>
          <w:rFonts w:ascii="Times New Roman" w:hAnsi="Times New Roman"/>
          <w:sz w:val="24"/>
          <w:szCs w:val="24"/>
          <w:lang w:val="en-US"/>
        </w:rPr>
        <w:t xml:space="preserve">9 500 million and debits of EUR </w:t>
      </w:r>
      <w:r w:rsidRPr="00E4377E">
        <w:rPr>
          <w:rFonts w:ascii="Times New Roman" w:hAnsi="Times New Roman"/>
          <w:sz w:val="24"/>
          <w:szCs w:val="24"/>
          <w:lang w:val="en-US"/>
        </w:rPr>
        <w:t>470 400 million (</w:t>
      </w:r>
      <w:r w:rsidRPr="008B4F64">
        <w:rPr>
          <w:rFonts w:ascii="Times New Roman" w:hAnsi="Times New Roman"/>
          <w:color w:val="FF0000"/>
          <w:sz w:val="24"/>
          <w:szCs w:val="24"/>
          <w:lang w:val="en-US"/>
        </w:rPr>
        <w:t>see Table 2.1</w:t>
      </w:r>
      <w:r w:rsidRPr="00E4377E">
        <w:rPr>
          <w:rFonts w:ascii="Times New Roman" w:hAnsi="Times New Roman"/>
          <w:sz w:val="24"/>
          <w:szCs w:val="24"/>
          <w:lang w:val="en-US"/>
        </w:rPr>
        <w:t>).</w:t>
      </w:r>
    </w:p>
    <w:p w:rsidR="00260B14" w:rsidRPr="00E4377E" w:rsidRDefault="00260B14" w:rsidP="00260B14">
      <w:pPr>
        <w:spacing w:line="240" w:lineRule="auto"/>
        <w:jc w:val="both"/>
        <w:rPr>
          <w:rFonts w:ascii="Times New Roman" w:hAnsi="Times New Roman"/>
          <w:sz w:val="24"/>
          <w:szCs w:val="24"/>
          <w:lang w:val="en-US"/>
        </w:rPr>
      </w:pPr>
      <w:r w:rsidRPr="00E4377E">
        <w:rPr>
          <w:rFonts w:ascii="Times New Roman" w:hAnsi="Times New Roman"/>
          <w:sz w:val="24"/>
          <w:szCs w:val="24"/>
          <w:lang w:val="en-US"/>
        </w:rPr>
        <w:t>The United Kingdom recorded a surplu</w:t>
      </w:r>
      <w:r>
        <w:rPr>
          <w:rFonts w:ascii="Times New Roman" w:hAnsi="Times New Roman"/>
          <w:sz w:val="24"/>
          <w:szCs w:val="24"/>
          <w:lang w:val="en-US"/>
        </w:rPr>
        <w:t xml:space="preserve">s (extra and intra-EU combined) </w:t>
      </w:r>
      <w:r w:rsidRPr="00E4377E">
        <w:rPr>
          <w:rFonts w:ascii="Times New Roman" w:hAnsi="Times New Roman"/>
          <w:sz w:val="24"/>
          <w:szCs w:val="24"/>
          <w:lang w:val="en-US"/>
        </w:rPr>
        <w:t>of EUR 76 600 million in se</w:t>
      </w:r>
      <w:r>
        <w:rPr>
          <w:rFonts w:ascii="Times New Roman" w:hAnsi="Times New Roman"/>
          <w:sz w:val="24"/>
          <w:szCs w:val="24"/>
          <w:lang w:val="en-US"/>
        </w:rPr>
        <w:t xml:space="preserve">rvice transactions in 2011, the </w:t>
      </w:r>
      <w:r w:rsidRPr="00E4377E">
        <w:rPr>
          <w:rFonts w:ascii="Times New Roman" w:hAnsi="Times New Roman"/>
          <w:sz w:val="24"/>
          <w:szCs w:val="24"/>
          <w:lang w:val="en-US"/>
        </w:rPr>
        <w:t>largest value among the Member St</w:t>
      </w:r>
      <w:r>
        <w:rPr>
          <w:rFonts w:ascii="Times New Roman" w:hAnsi="Times New Roman"/>
          <w:sz w:val="24"/>
          <w:szCs w:val="24"/>
          <w:lang w:val="en-US"/>
        </w:rPr>
        <w:t xml:space="preserve">ates and considerably more than </w:t>
      </w:r>
      <w:r w:rsidRPr="00E4377E">
        <w:rPr>
          <w:rFonts w:ascii="Times New Roman" w:hAnsi="Times New Roman"/>
          <w:sz w:val="24"/>
          <w:szCs w:val="24"/>
          <w:lang w:val="en-US"/>
        </w:rPr>
        <w:t>the next highest levels that were recorde</w:t>
      </w:r>
      <w:r>
        <w:rPr>
          <w:rFonts w:ascii="Times New Roman" w:hAnsi="Times New Roman"/>
          <w:sz w:val="24"/>
          <w:szCs w:val="24"/>
          <w:lang w:val="en-US"/>
        </w:rPr>
        <w:t xml:space="preserve">d by Spain (EUR 34 000 million) </w:t>
      </w:r>
      <w:r w:rsidRPr="00E4377E">
        <w:rPr>
          <w:rFonts w:ascii="Times New Roman" w:hAnsi="Times New Roman"/>
          <w:sz w:val="24"/>
          <w:szCs w:val="24"/>
          <w:lang w:val="en-US"/>
        </w:rPr>
        <w:t>and Luxembourg (EUR 23 000</w:t>
      </w:r>
      <w:r>
        <w:rPr>
          <w:rFonts w:ascii="Times New Roman" w:hAnsi="Times New Roman"/>
          <w:sz w:val="24"/>
          <w:szCs w:val="24"/>
          <w:lang w:val="en-US"/>
        </w:rPr>
        <w:t xml:space="preserve"> million). In contrast, Germany </w:t>
      </w:r>
      <w:r w:rsidRPr="00E4377E">
        <w:rPr>
          <w:rFonts w:ascii="Times New Roman" w:hAnsi="Times New Roman"/>
          <w:sz w:val="24"/>
          <w:szCs w:val="24"/>
          <w:lang w:val="en-US"/>
        </w:rPr>
        <w:t>recorded a deficit in service transactions of EUR 21 600 mil</w:t>
      </w:r>
      <w:r>
        <w:rPr>
          <w:rFonts w:ascii="Times New Roman" w:hAnsi="Times New Roman"/>
          <w:sz w:val="24"/>
          <w:szCs w:val="24"/>
          <w:lang w:val="en-US"/>
        </w:rPr>
        <w:t xml:space="preserve">lion in </w:t>
      </w:r>
      <w:r w:rsidRPr="00E4377E">
        <w:rPr>
          <w:rFonts w:ascii="Times New Roman" w:hAnsi="Times New Roman"/>
          <w:sz w:val="24"/>
          <w:szCs w:val="24"/>
          <w:lang w:val="en-US"/>
        </w:rPr>
        <w:t>2011, the largest deficit by far among the</w:t>
      </w:r>
      <w:r>
        <w:rPr>
          <w:rFonts w:ascii="Times New Roman" w:hAnsi="Times New Roman"/>
          <w:sz w:val="24"/>
          <w:szCs w:val="24"/>
          <w:lang w:val="en-US"/>
        </w:rPr>
        <w:t xml:space="preserve"> Member States. It is important </w:t>
      </w:r>
      <w:r w:rsidRPr="00E4377E">
        <w:rPr>
          <w:rFonts w:ascii="Times New Roman" w:hAnsi="Times New Roman"/>
          <w:sz w:val="24"/>
          <w:szCs w:val="24"/>
          <w:lang w:val="en-US"/>
        </w:rPr>
        <w:t>to underline that the majorit</w:t>
      </w:r>
      <w:r>
        <w:rPr>
          <w:rFonts w:ascii="Times New Roman" w:hAnsi="Times New Roman"/>
          <w:sz w:val="24"/>
          <w:szCs w:val="24"/>
          <w:lang w:val="en-US"/>
        </w:rPr>
        <w:t xml:space="preserve">y of the international trade in </w:t>
      </w:r>
      <w:r w:rsidRPr="00E4377E">
        <w:rPr>
          <w:rFonts w:ascii="Times New Roman" w:hAnsi="Times New Roman"/>
          <w:sz w:val="24"/>
          <w:szCs w:val="24"/>
          <w:lang w:val="en-US"/>
        </w:rPr>
        <w:t xml:space="preserve">services made by Member States </w:t>
      </w:r>
      <w:r>
        <w:rPr>
          <w:rFonts w:ascii="Times New Roman" w:hAnsi="Times New Roman"/>
          <w:sz w:val="24"/>
          <w:szCs w:val="24"/>
          <w:lang w:val="en-US"/>
        </w:rPr>
        <w:t xml:space="preserve">involved intra-EU transactions, </w:t>
      </w:r>
      <w:r w:rsidRPr="00E4377E">
        <w:rPr>
          <w:rFonts w:ascii="Times New Roman" w:hAnsi="Times New Roman"/>
          <w:sz w:val="24"/>
          <w:szCs w:val="24"/>
          <w:lang w:val="en-US"/>
        </w:rPr>
        <w:t>amounting to 55.7 % of credits and 58.5 % of debits in 2011.</w:t>
      </w:r>
    </w:p>
    <w:p w:rsidR="00260B14" w:rsidRPr="008B4F64" w:rsidRDefault="00260B14" w:rsidP="00260B14">
      <w:pPr>
        <w:spacing w:line="240" w:lineRule="auto"/>
        <w:jc w:val="both"/>
        <w:rPr>
          <w:rFonts w:ascii="Times New Roman" w:hAnsi="Times New Roman"/>
          <w:sz w:val="24"/>
          <w:szCs w:val="24"/>
          <w:lang w:val="en-US"/>
        </w:rPr>
      </w:pPr>
      <w:r w:rsidRPr="00E4377E">
        <w:rPr>
          <w:rFonts w:ascii="Times New Roman" w:hAnsi="Times New Roman"/>
          <w:sz w:val="24"/>
          <w:szCs w:val="24"/>
          <w:lang w:val="en-US"/>
        </w:rPr>
        <w:t xml:space="preserve">Northern America was the main </w:t>
      </w:r>
      <w:r>
        <w:rPr>
          <w:rFonts w:ascii="Times New Roman" w:hAnsi="Times New Roman"/>
          <w:sz w:val="24"/>
          <w:szCs w:val="24"/>
          <w:lang w:val="en-US"/>
        </w:rPr>
        <w:t xml:space="preserve">extra-EU trading region for the </w:t>
      </w:r>
      <w:r w:rsidRPr="00E4377E">
        <w:rPr>
          <w:rFonts w:ascii="Times New Roman" w:hAnsi="Times New Roman"/>
          <w:sz w:val="24"/>
          <w:szCs w:val="24"/>
          <w:lang w:val="en-US"/>
        </w:rPr>
        <w:t>EU-27’s international trade in s</w:t>
      </w:r>
      <w:r>
        <w:rPr>
          <w:rFonts w:ascii="Times New Roman" w:hAnsi="Times New Roman"/>
          <w:sz w:val="24"/>
          <w:szCs w:val="24"/>
          <w:lang w:val="en-US"/>
        </w:rPr>
        <w:t xml:space="preserve">ervices in 2010, accounting for </w:t>
      </w:r>
      <w:r w:rsidRPr="00E4377E">
        <w:rPr>
          <w:rFonts w:ascii="Times New Roman" w:hAnsi="Times New Roman"/>
          <w:sz w:val="24"/>
          <w:szCs w:val="24"/>
          <w:lang w:val="en-US"/>
        </w:rPr>
        <w:t>26.4 % of total cred</w:t>
      </w:r>
      <w:r>
        <w:rPr>
          <w:rFonts w:ascii="Times New Roman" w:hAnsi="Times New Roman"/>
          <w:sz w:val="24"/>
          <w:szCs w:val="24"/>
          <w:lang w:val="en-US"/>
        </w:rPr>
        <w:t xml:space="preserve">its and 31.4 % of total debits. The </w:t>
      </w:r>
      <w:r w:rsidRPr="00E4377E">
        <w:rPr>
          <w:rFonts w:ascii="Times New Roman" w:hAnsi="Times New Roman"/>
          <w:sz w:val="24"/>
          <w:szCs w:val="24"/>
          <w:lang w:val="en-US"/>
        </w:rPr>
        <w:t>EU-27’s largest net balances for services were</w:t>
      </w:r>
      <w:r>
        <w:rPr>
          <w:rFonts w:ascii="Times New Roman" w:hAnsi="Times New Roman"/>
          <w:sz w:val="24"/>
          <w:szCs w:val="24"/>
          <w:lang w:val="en-US"/>
        </w:rPr>
        <w:t xml:space="preserve"> recorded with Asian, </w:t>
      </w:r>
      <w:r w:rsidRPr="00E4377E">
        <w:rPr>
          <w:rFonts w:ascii="Times New Roman" w:hAnsi="Times New Roman"/>
          <w:sz w:val="24"/>
          <w:szCs w:val="24"/>
          <w:lang w:val="en-US"/>
        </w:rPr>
        <w:t>EFTA and Arabian Gulf countr</w:t>
      </w:r>
      <w:r>
        <w:rPr>
          <w:rFonts w:ascii="Times New Roman" w:hAnsi="Times New Roman"/>
          <w:sz w:val="24"/>
          <w:szCs w:val="24"/>
          <w:lang w:val="en-US"/>
        </w:rPr>
        <w:t xml:space="preserve">ies (surpluses in excess of EUR </w:t>
      </w:r>
      <w:r w:rsidRPr="00E4377E">
        <w:rPr>
          <w:rFonts w:ascii="Times New Roman" w:hAnsi="Times New Roman"/>
          <w:sz w:val="24"/>
          <w:szCs w:val="24"/>
          <w:lang w:val="en-US"/>
        </w:rPr>
        <w:t>11 000 million in 2010). The EU-27 also posted a surplus with most</w:t>
      </w:r>
      <w:r>
        <w:rPr>
          <w:rFonts w:ascii="Times New Roman" w:hAnsi="Times New Roman"/>
          <w:sz w:val="24"/>
          <w:szCs w:val="24"/>
          <w:lang w:val="en-US"/>
        </w:rPr>
        <w:t xml:space="preserve"> </w:t>
      </w:r>
      <w:r w:rsidRPr="008B4F64">
        <w:rPr>
          <w:rFonts w:ascii="Times New Roman" w:hAnsi="Times New Roman"/>
          <w:sz w:val="24"/>
          <w:szCs w:val="24"/>
          <w:lang w:val="en-US"/>
        </w:rPr>
        <w:t>other regions, although negative bala</w:t>
      </w:r>
      <w:r>
        <w:rPr>
          <w:rFonts w:ascii="Times New Roman" w:hAnsi="Times New Roman"/>
          <w:sz w:val="24"/>
          <w:szCs w:val="24"/>
          <w:lang w:val="en-US"/>
        </w:rPr>
        <w:t xml:space="preserve">nces for services were recorded </w:t>
      </w:r>
      <w:r w:rsidRPr="008B4F64">
        <w:rPr>
          <w:rFonts w:ascii="Times New Roman" w:hAnsi="Times New Roman"/>
          <w:sz w:val="24"/>
          <w:szCs w:val="24"/>
          <w:lang w:val="en-US"/>
        </w:rPr>
        <w:t>with central America (EUR 5 200 million</w:t>
      </w:r>
      <w:r>
        <w:rPr>
          <w:rFonts w:ascii="Times New Roman" w:hAnsi="Times New Roman"/>
          <w:sz w:val="24"/>
          <w:szCs w:val="24"/>
          <w:lang w:val="en-US"/>
        </w:rPr>
        <w:t xml:space="preserve">), northern Africa (EUR </w:t>
      </w:r>
      <w:r w:rsidRPr="008B4F64">
        <w:rPr>
          <w:rFonts w:ascii="Times New Roman" w:hAnsi="Times New Roman"/>
          <w:sz w:val="24"/>
          <w:szCs w:val="24"/>
          <w:lang w:val="en-US"/>
        </w:rPr>
        <w:t>5 000 million) and northern America (EUR 110 million).</w:t>
      </w:r>
    </w:p>
    <w:p w:rsidR="00260B14" w:rsidRPr="008B4F64" w:rsidRDefault="00260B14" w:rsidP="00260B14">
      <w:pPr>
        <w:spacing w:line="240" w:lineRule="auto"/>
        <w:jc w:val="both"/>
        <w:rPr>
          <w:rFonts w:ascii="Times New Roman" w:hAnsi="Times New Roman"/>
          <w:sz w:val="24"/>
          <w:szCs w:val="24"/>
          <w:lang w:val="en-US"/>
        </w:rPr>
      </w:pPr>
      <w:r w:rsidRPr="008B4F64">
        <w:rPr>
          <w:rFonts w:ascii="Times New Roman" w:hAnsi="Times New Roman"/>
          <w:color w:val="FF0000"/>
          <w:sz w:val="24"/>
          <w:szCs w:val="24"/>
          <w:lang w:val="en-US"/>
        </w:rPr>
        <w:t>Table</w:t>
      </w:r>
      <w:r>
        <w:rPr>
          <w:rFonts w:ascii="Times New Roman" w:hAnsi="Times New Roman"/>
          <w:color w:val="FF0000"/>
          <w:sz w:val="24"/>
          <w:szCs w:val="24"/>
          <w:lang w:val="en-US"/>
        </w:rPr>
        <w:t xml:space="preserve"> 2.</w:t>
      </w:r>
      <w:r w:rsidRPr="008B4F64">
        <w:rPr>
          <w:rFonts w:ascii="Times New Roman" w:hAnsi="Times New Roman"/>
          <w:color w:val="FF0000"/>
          <w:sz w:val="24"/>
          <w:szCs w:val="24"/>
          <w:lang w:val="en-US"/>
        </w:rPr>
        <w:t>6</w:t>
      </w:r>
      <w:r w:rsidRPr="008B4F64">
        <w:rPr>
          <w:rFonts w:ascii="Times New Roman" w:hAnsi="Times New Roman"/>
          <w:sz w:val="24"/>
          <w:szCs w:val="24"/>
          <w:lang w:val="en-US"/>
        </w:rPr>
        <w:t xml:space="preserve"> provides similar informat</w:t>
      </w:r>
      <w:r>
        <w:rPr>
          <w:rFonts w:ascii="Times New Roman" w:hAnsi="Times New Roman"/>
          <w:sz w:val="24"/>
          <w:szCs w:val="24"/>
          <w:lang w:val="en-US"/>
        </w:rPr>
        <w:t xml:space="preserve">ion on the development of trade </w:t>
      </w:r>
      <w:r w:rsidRPr="008B4F64">
        <w:rPr>
          <w:rFonts w:ascii="Times New Roman" w:hAnsi="Times New Roman"/>
          <w:sz w:val="24"/>
          <w:szCs w:val="24"/>
          <w:lang w:val="en-US"/>
        </w:rPr>
        <w:t xml:space="preserve">in services for a set of selected </w:t>
      </w:r>
      <w:r>
        <w:rPr>
          <w:rFonts w:ascii="Times New Roman" w:hAnsi="Times New Roman"/>
          <w:sz w:val="24"/>
          <w:szCs w:val="24"/>
          <w:lang w:val="en-US"/>
        </w:rPr>
        <w:t xml:space="preserve">trading partners for a range of </w:t>
      </w:r>
      <w:r w:rsidRPr="008B4F64">
        <w:rPr>
          <w:rFonts w:ascii="Times New Roman" w:hAnsi="Times New Roman"/>
          <w:sz w:val="24"/>
          <w:szCs w:val="24"/>
          <w:lang w:val="en-US"/>
        </w:rPr>
        <w:t>countries rather than regions. It shows that t</w:t>
      </w:r>
      <w:r>
        <w:rPr>
          <w:rFonts w:ascii="Times New Roman" w:hAnsi="Times New Roman"/>
          <w:sz w:val="24"/>
          <w:szCs w:val="24"/>
          <w:lang w:val="en-US"/>
        </w:rPr>
        <w:t xml:space="preserve">he main trading partner </w:t>
      </w:r>
      <w:r w:rsidRPr="008B4F64">
        <w:rPr>
          <w:rFonts w:ascii="Times New Roman" w:hAnsi="Times New Roman"/>
          <w:sz w:val="24"/>
          <w:szCs w:val="24"/>
          <w:lang w:val="en-US"/>
        </w:rPr>
        <w:t>for the EU-27 in 2011 (provision</w:t>
      </w:r>
      <w:r>
        <w:rPr>
          <w:rFonts w:ascii="Times New Roman" w:hAnsi="Times New Roman"/>
          <w:sz w:val="24"/>
          <w:szCs w:val="24"/>
          <w:lang w:val="en-US"/>
        </w:rPr>
        <w:t xml:space="preserve">al data) was the United States, </w:t>
      </w:r>
      <w:r w:rsidRPr="008B4F64">
        <w:rPr>
          <w:rFonts w:ascii="Times New Roman" w:hAnsi="Times New Roman"/>
          <w:sz w:val="24"/>
          <w:szCs w:val="24"/>
          <w:lang w:val="en-US"/>
        </w:rPr>
        <w:t>with credits and debits almost ba</w:t>
      </w:r>
      <w:r>
        <w:rPr>
          <w:rFonts w:ascii="Times New Roman" w:hAnsi="Times New Roman"/>
          <w:sz w:val="24"/>
          <w:szCs w:val="24"/>
          <w:lang w:val="en-US"/>
        </w:rPr>
        <w:t xml:space="preserve">lanced. The largest surplus for </w:t>
      </w:r>
      <w:r w:rsidRPr="008B4F64">
        <w:rPr>
          <w:rFonts w:ascii="Times New Roman" w:hAnsi="Times New Roman"/>
          <w:sz w:val="24"/>
          <w:szCs w:val="24"/>
          <w:lang w:val="en-US"/>
        </w:rPr>
        <w:t>trade in services was recorded with Russia (EUR 11 800 million).</w:t>
      </w:r>
    </w:p>
    <w:p w:rsidR="00260B14" w:rsidRDefault="00260B14" w:rsidP="00260B14">
      <w:pPr>
        <w:spacing w:line="240" w:lineRule="auto"/>
        <w:jc w:val="both"/>
        <w:rPr>
          <w:rFonts w:ascii="Times New Roman" w:hAnsi="Times New Roman"/>
          <w:sz w:val="24"/>
          <w:szCs w:val="24"/>
          <w:lang w:val="en-US"/>
        </w:rPr>
      </w:pPr>
      <w:r w:rsidRPr="008B4F64">
        <w:rPr>
          <w:rFonts w:ascii="Times New Roman" w:hAnsi="Times New Roman"/>
          <w:sz w:val="24"/>
          <w:szCs w:val="24"/>
          <w:lang w:val="en-US"/>
        </w:rPr>
        <w:t>More than two thirds of the EU-27’s cr</w:t>
      </w:r>
      <w:r>
        <w:rPr>
          <w:rFonts w:ascii="Times New Roman" w:hAnsi="Times New Roman"/>
          <w:sz w:val="24"/>
          <w:szCs w:val="24"/>
          <w:lang w:val="en-US"/>
        </w:rPr>
        <w:t xml:space="preserve">edits (67.7 %) and debits </w:t>
      </w:r>
      <w:r w:rsidRPr="008B4F64">
        <w:rPr>
          <w:rFonts w:ascii="Times New Roman" w:hAnsi="Times New Roman"/>
          <w:sz w:val="24"/>
          <w:szCs w:val="24"/>
          <w:lang w:val="en-US"/>
        </w:rPr>
        <w:t xml:space="preserve">(70.0 %) in the international trade of </w:t>
      </w:r>
      <w:r>
        <w:rPr>
          <w:rFonts w:ascii="Times New Roman" w:hAnsi="Times New Roman"/>
          <w:sz w:val="24"/>
          <w:szCs w:val="24"/>
          <w:lang w:val="en-US"/>
        </w:rPr>
        <w:t xml:space="preserve">services in 2011 were accounted </w:t>
      </w:r>
      <w:r w:rsidRPr="008B4F64">
        <w:rPr>
          <w:rFonts w:ascii="Times New Roman" w:hAnsi="Times New Roman"/>
          <w:sz w:val="24"/>
          <w:szCs w:val="24"/>
          <w:lang w:val="en-US"/>
        </w:rPr>
        <w:t>for by three categories: trans</w:t>
      </w:r>
      <w:r>
        <w:rPr>
          <w:rFonts w:ascii="Times New Roman" w:hAnsi="Times New Roman"/>
          <w:sz w:val="24"/>
          <w:szCs w:val="24"/>
          <w:lang w:val="en-US"/>
        </w:rPr>
        <w:t>port, travel and other business services</w:t>
      </w:r>
      <w:r w:rsidRPr="008B4F64">
        <w:rPr>
          <w:rFonts w:ascii="Times New Roman" w:hAnsi="Times New Roman"/>
          <w:sz w:val="24"/>
          <w:szCs w:val="24"/>
          <w:lang w:val="en-US"/>
        </w:rPr>
        <w:t>. The su</w:t>
      </w:r>
      <w:r>
        <w:rPr>
          <w:rFonts w:ascii="Times New Roman" w:hAnsi="Times New Roman"/>
          <w:sz w:val="24"/>
          <w:szCs w:val="24"/>
          <w:lang w:val="en-US"/>
        </w:rPr>
        <w:t xml:space="preserve">rplus of EUR 45 900 million for </w:t>
      </w:r>
      <w:r w:rsidRPr="008B4F64">
        <w:rPr>
          <w:rFonts w:ascii="Times New Roman" w:hAnsi="Times New Roman"/>
          <w:sz w:val="24"/>
          <w:szCs w:val="24"/>
          <w:lang w:val="en-US"/>
        </w:rPr>
        <w:t>other business services was the h</w:t>
      </w:r>
      <w:r>
        <w:rPr>
          <w:rFonts w:ascii="Times New Roman" w:hAnsi="Times New Roman"/>
          <w:sz w:val="24"/>
          <w:szCs w:val="24"/>
          <w:lang w:val="en-US"/>
        </w:rPr>
        <w:t xml:space="preserve">ighest among services, followed </w:t>
      </w:r>
      <w:r w:rsidRPr="008B4F64">
        <w:rPr>
          <w:rFonts w:ascii="Times New Roman" w:hAnsi="Times New Roman"/>
          <w:sz w:val="24"/>
          <w:szCs w:val="24"/>
          <w:lang w:val="en-US"/>
        </w:rPr>
        <w:t>by surpluses of EUR 26 300 million for computer and information</w:t>
      </w:r>
      <w:r>
        <w:rPr>
          <w:rFonts w:ascii="Times New Roman" w:hAnsi="Times New Roman"/>
          <w:sz w:val="24"/>
          <w:szCs w:val="24"/>
          <w:lang w:val="en-US"/>
        </w:rPr>
        <w:t xml:space="preserve"> </w:t>
      </w:r>
      <w:r w:rsidRPr="008B4F64">
        <w:rPr>
          <w:rFonts w:ascii="Times New Roman" w:hAnsi="Times New Roman"/>
          <w:sz w:val="24"/>
          <w:szCs w:val="24"/>
          <w:lang w:val="en-US"/>
        </w:rPr>
        <w:t>services, EUR 25 900 million for financial services and EUR</w:t>
      </w:r>
      <w:r>
        <w:rPr>
          <w:rFonts w:ascii="Times New Roman" w:hAnsi="Times New Roman"/>
          <w:sz w:val="24"/>
          <w:szCs w:val="24"/>
          <w:lang w:val="en-US"/>
        </w:rPr>
        <w:t xml:space="preserve"> </w:t>
      </w:r>
      <w:r w:rsidRPr="008B4F64">
        <w:rPr>
          <w:rFonts w:ascii="Times New Roman" w:hAnsi="Times New Roman"/>
          <w:sz w:val="24"/>
          <w:szCs w:val="24"/>
          <w:lang w:val="en-US"/>
        </w:rPr>
        <w:t>21 800 million for transport. In contrast, the largest deficits were</w:t>
      </w:r>
      <w:r>
        <w:rPr>
          <w:rFonts w:ascii="Times New Roman" w:hAnsi="Times New Roman"/>
          <w:sz w:val="24"/>
          <w:szCs w:val="24"/>
          <w:lang w:val="en-US"/>
        </w:rPr>
        <w:t xml:space="preserve"> </w:t>
      </w:r>
      <w:r w:rsidRPr="008B4F64">
        <w:rPr>
          <w:rFonts w:ascii="Times New Roman" w:hAnsi="Times New Roman"/>
          <w:sz w:val="24"/>
          <w:szCs w:val="24"/>
          <w:lang w:val="en-US"/>
        </w:rPr>
        <w:t>EUR 8 500 million for royalties</w:t>
      </w:r>
      <w:r>
        <w:rPr>
          <w:rFonts w:ascii="Times New Roman" w:hAnsi="Times New Roman"/>
          <w:sz w:val="24"/>
          <w:szCs w:val="24"/>
          <w:lang w:val="en-US"/>
        </w:rPr>
        <w:t xml:space="preserve"> and license fees and EUR 4 600 </w:t>
      </w:r>
      <w:r w:rsidRPr="008B4F64">
        <w:rPr>
          <w:rFonts w:ascii="Times New Roman" w:hAnsi="Times New Roman"/>
          <w:sz w:val="24"/>
          <w:szCs w:val="24"/>
          <w:lang w:val="en-US"/>
        </w:rPr>
        <w:t>million for travel.</w:t>
      </w:r>
    </w:p>
    <w:p w:rsidR="00260B14" w:rsidRDefault="00260B14" w:rsidP="00260B14">
      <w:pPr>
        <w:spacing w:line="240" w:lineRule="auto"/>
        <w:jc w:val="both"/>
        <w:rPr>
          <w:rFonts w:ascii="Times New Roman" w:hAnsi="Times New Roman"/>
          <w:sz w:val="24"/>
          <w:szCs w:val="24"/>
          <w:lang w:val="en-US"/>
        </w:rPr>
      </w:pPr>
    </w:p>
    <w:p w:rsidR="00260B14" w:rsidRDefault="00260B14" w:rsidP="00260B14">
      <w:pPr>
        <w:spacing w:line="240" w:lineRule="auto"/>
        <w:jc w:val="both"/>
        <w:rPr>
          <w:rFonts w:ascii="Times New Roman" w:hAnsi="Times New Roman"/>
          <w:sz w:val="24"/>
          <w:szCs w:val="24"/>
          <w:lang w:val="en-US"/>
        </w:rPr>
      </w:pPr>
    </w:p>
    <w:p w:rsidR="00260B14" w:rsidRDefault="00260B14" w:rsidP="00260B14">
      <w:pPr>
        <w:spacing w:line="240" w:lineRule="auto"/>
        <w:jc w:val="both"/>
        <w:rPr>
          <w:rFonts w:ascii="Times New Roman" w:hAnsi="Times New Roman"/>
          <w:sz w:val="24"/>
          <w:szCs w:val="24"/>
          <w:lang w:val="en-US"/>
        </w:rPr>
      </w:pPr>
    </w:p>
    <w:p w:rsidR="00260B14" w:rsidRDefault="00260B14" w:rsidP="00260B14">
      <w:pPr>
        <w:spacing w:line="240" w:lineRule="auto"/>
        <w:jc w:val="both"/>
        <w:rPr>
          <w:rFonts w:ascii="Times New Roman" w:hAnsi="Times New Roman"/>
          <w:sz w:val="24"/>
          <w:szCs w:val="24"/>
          <w:lang w:val="en-US"/>
        </w:rPr>
      </w:pPr>
    </w:p>
    <w:p w:rsidR="00260B14" w:rsidRDefault="00260B14" w:rsidP="00260B14">
      <w:pPr>
        <w:spacing w:line="240" w:lineRule="auto"/>
        <w:jc w:val="both"/>
        <w:rPr>
          <w:rFonts w:ascii="Times New Roman" w:hAnsi="Times New Roman"/>
          <w:b/>
          <w:sz w:val="24"/>
          <w:szCs w:val="24"/>
          <w:lang w:val="en-US"/>
        </w:rPr>
      </w:pPr>
      <w:r w:rsidRPr="008B4F64">
        <w:rPr>
          <w:rFonts w:ascii="Times New Roman" w:hAnsi="Times New Roman"/>
          <w:b/>
          <w:sz w:val="24"/>
          <w:szCs w:val="24"/>
          <w:lang w:val="en-US"/>
        </w:rPr>
        <w:lastRenderedPageBreak/>
        <w:t>Foreign Direct Investments (FDI)</w:t>
      </w: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t xml:space="preserve">            </w:t>
      </w:r>
      <w:r>
        <w:rPr>
          <w:rFonts w:ascii="Times New Roman" w:hAnsi="Times New Roman"/>
          <w:b/>
          <w:noProof/>
          <w:sz w:val="24"/>
          <w:szCs w:val="24"/>
          <w:lang w:eastAsia="es-ES"/>
        </w:rPr>
        <w:drawing>
          <wp:inline distT="0" distB="0" distL="0" distR="0" wp14:anchorId="3C17A732" wp14:editId="727605FF">
            <wp:extent cx="4781550" cy="4216400"/>
            <wp:effectExtent l="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781550" cy="4216400"/>
                    </a:xfrm>
                    <a:prstGeom prst="rect">
                      <a:avLst/>
                    </a:prstGeom>
                    <a:noFill/>
                    <a:ln>
                      <a:noFill/>
                    </a:ln>
                  </pic:spPr>
                </pic:pic>
              </a:graphicData>
            </a:graphic>
          </wp:inline>
        </w:drawing>
      </w:r>
    </w:p>
    <w:p w:rsidR="00260B14" w:rsidRPr="008B4F64" w:rsidRDefault="00260B14" w:rsidP="00260B14">
      <w:pPr>
        <w:spacing w:line="240" w:lineRule="auto"/>
        <w:jc w:val="both"/>
        <w:rPr>
          <w:rFonts w:ascii="Times New Roman" w:hAnsi="Times New Roman"/>
          <w:sz w:val="24"/>
          <w:szCs w:val="24"/>
          <w:lang w:val="en-US"/>
        </w:rPr>
      </w:pPr>
      <w:r w:rsidRPr="008B4F64">
        <w:rPr>
          <w:rFonts w:ascii="Times New Roman" w:hAnsi="Times New Roman"/>
          <w:sz w:val="24"/>
          <w:szCs w:val="24"/>
          <w:lang w:val="en-US"/>
        </w:rPr>
        <w:t>In a world of increasing globalisa</w:t>
      </w:r>
      <w:r>
        <w:rPr>
          <w:rFonts w:ascii="Times New Roman" w:hAnsi="Times New Roman"/>
          <w:sz w:val="24"/>
          <w:szCs w:val="24"/>
          <w:lang w:val="en-US"/>
        </w:rPr>
        <w:t xml:space="preserve">tion, where political, economic </w:t>
      </w:r>
      <w:r w:rsidRPr="008B4F64">
        <w:rPr>
          <w:rFonts w:ascii="Times New Roman" w:hAnsi="Times New Roman"/>
          <w:sz w:val="24"/>
          <w:szCs w:val="24"/>
          <w:lang w:val="en-US"/>
        </w:rPr>
        <w:t>and technological barriers are rapidly</w:t>
      </w:r>
      <w:r>
        <w:rPr>
          <w:rFonts w:ascii="Times New Roman" w:hAnsi="Times New Roman"/>
          <w:sz w:val="24"/>
          <w:szCs w:val="24"/>
          <w:lang w:val="en-US"/>
        </w:rPr>
        <w:t xml:space="preserve"> disappearing, the ability of a </w:t>
      </w:r>
      <w:r w:rsidRPr="008B4F64">
        <w:rPr>
          <w:rFonts w:ascii="Times New Roman" w:hAnsi="Times New Roman"/>
          <w:sz w:val="24"/>
          <w:szCs w:val="24"/>
          <w:lang w:val="en-US"/>
        </w:rPr>
        <w:t xml:space="preserve">country to participate in global activity is </w:t>
      </w:r>
      <w:r>
        <w:rPr>
          <w:rFonts w:ascii="Times New Roman" w:hAnsi="Times New Roman"/>
          <w:sz w:val="24"/>
          <w:szCs w:val="24"/>
          <w:lang w:val="en-US"/>
        </w:rPr>
        <w:t xml:space="preserve">an important indicator </w:t>
      </w:r>
      <w:r w:rsidRPr="008B4F64">
        <w:rPr>
          <w:rFonts w:ascii="Times New Roman" w:hAnsi="Times New Roman"/>
          <w:sz w:val="24"/>
          <w:szCs w:val="24"/>
          <w:lang w:val="en-US"/>
        </w:rPr>
        <w:t xml:space="preserve">of its performance and competitiveness. </w:t>
      </w:r>
      <w:r>
        <w:rPr>
          <w:rFonts w:ascii="Times New Roman" w:hAnsi="Times New Roman"/>
          <w:sz w:val="24"/>
          <w:szCs w:val="24"/>
          <w:lang w:val="en-US"/>
        </w:rPr>
        <w:t xml:space="preserve">In order to remain competitive, </w:t>
      </w:r>
      <w:r w:rsidRPr="008B4F64">
        <w:rPr>
          <w:rFonts w:ascii="Times New Roman" w:hAnsi="Times New Roman"/>
          <w:sz w:val="24"/>
          <w:szCs w:val="24"/>
          <w:lang w:val="en-US"/>
        </w:rPr>
        <w:t>modern-day business r</w:t>
      </w:r>
      <w:r>
        <w:rPr>
          <w:rFonts w:ascii="Times New Roman" w:hAnsi="Times New Roman"/>
          <w:sz w:val="24"/>
          <w:szCs w:val="24"/>
          <w:lang w:val="en-US"/>
        </w:rPr>
        <w:t xml:space="preserve">elationships extend well beyond </w:t>
      </w:r>
      <w:r w:rsidRPr="008B4F64">
        <w:rPr>
          <w:rFonts w:ascii="Times New Roman" w:hAnsi="Times New Roman"/>
          <w:sz w:val="24"/>
          <w:szCs w:val="24"/>
          <w:lang w:val="en-US"/>
        </w:rPr>
        <w:t>the traditional foreign exchange of g</w:t>
      </w:r>
      <w:r>
        <w:rPr>
          <w:rFonts w:ascii="Times New Roman" w:hAnsi="Times New Roman"/>
          <w:sz w:val="24"/>
          <w:szCs w:val="24"/>
          <w:lang w:val="en-US"/>
        </w:rPr>
        <w:t xml:space="preserve">oods and services, as witnessed </w:t>
      </w:r>
      <w:r w:rsidRPr="008B4F64">
        <w:rPr>
          <w:rFonts w:ascii="Times New Roman" w:hAnsi="Times New Roman"/>
          <w:sz w:val="24"/>
          <w:szCs w:val="24"/>
          <w:lang w:val="en-US"/>
        </w:rPr>
        <w:t>by the increasing reliance of enterp</w:t>
      </w:r>
      <w:r>
        <w:rPr>
          <w:rFonts w:ascii="Times New Roman" w:hAnsi="Times New Roman"/>
          <w:sz w:val="24"/>
          <w:szCs w:val="24"/>
          <w:lang w:val="en-US"/>
        </w:rPr>
        <w:t xml:space="preserve">rises on mergers, partnerships, </w:t>
      </w:r>
      <w:r w:rsidRPr="008B4F64">
        <w:rPr>
          <w:rFonts w:ascii="Times New Roman" w:hAnsi="Times New Roman"/>
          <w:sz w:val="24"/>
          <w:szCs w:val="24"/>
          <w:lang w:val="en-US"/>
        </w:rPr>
        <w:t>joint ventures, licensing</w:t>
      </w:r>
      <w:r>
        <w:rPr>
          <w:rFonts w:ascii="Times New Roman" w:hAnsi="Times New Roman"/>
          <w:sz w:val="24"/>
          <w:szCs w:val="24"/>
          <w:lang w:val="en-US"/>
        </w:rPr>
        <w:t xml:space="preserve"> agreements, and other forms of </w:t>
      </w:r>
      <w:r w:rsidRPr="008B4F64">
        <w:rPr>
          <w:rFonts w:ascii="Times New Roman" w:hAnsi="Times New Roman"/>
          <w:sz w:val="24"/>
          <w:szCs w:val="24"/>
          <w:lang w:val="en-US"/>
        </w:rPr>
        <w:t>business cooperation.</w:t>
      </w:r>
    </w:p>
    <w:p w:rsidR="00260B14" w:rsidRPr="008B4F64" w:rsidRDefault="00260B14" w:rsidP="00260B14">
      <w:pPr>
        <w:spacing w:line="240" w:lineRule="auto"/>
        <w:jc w:val="both"/>
        <w:rPr>
          <w:rFonts w:ascii="Times New Roman" w:hAnsi="Times New Roman"/>
          <w:sz w:val="24"/>
          <w:szCs w:val="24"/>
          <w:lang w:val="en-US"/>
        </w:rPr>
      </w:pPr>
      <w:r w:rsidRPr="008B4F64">
        <w:rPr>
          <w:rFonts w:ascii="Times New Roman" w:hAnsi="Times New Roman"/>
          <w:sz w:val="24"/>
          <w:szCs w:val="24"/>
          <w:lang w:val="en-US"/>
        </w:rPr>
        <w:t>FDI may be seen as an alterna</w:t>
      </w:r>
      <w:r>
        <w:rPr>
          <w:rFonts w:ascii="Times New Roman" w:hAnsi="Times New Roman"/>
          <w:sz w:val="24"/>
          <w:szCs w:val="24"/>
          <w:lang w:val="en-US"/>
        </w:rPr>
        <w:t xml:space="preserve">tive economic strategy, adopted </w:t>
      </w:r>
      <w:r w:rsidRPr="008B4F64">
        <w:rPr>
          <w:rFonts w:ascii="Times New Roman" w:hAnsi="Times New Roman"/>
          <w:sz w:val="24"/>
          <w:szCs w:val="24"/>
          <w:lang w:val="en-US"/>
        </w:rPr>
        <w:t xml:space="preserve">by those enterprises that invest to establish a </w:t>
      </w:r>
      <w:r>
        <w:rPr>
          <w:rFonts w:ascii="Times New Roman" w:hAnsi="Times New Roman"/>
          <w:sz w:val="24"/>
          <w:szCs w:val="24"/>
          <w:lang w:val="en-US"/>
        </w:rPr>
        <w:t xml:space="preserve">new plant/office, </w:t>
      </w:r>
      <w:r w:rsidRPr="008B4F64">
        <w:rPr>
          <w:rFonts w:ascii="Times New Roman" w:hAnsi="Times New Roman"/>
          <w:sz w:val="24"/>
          <w:szCs w:val="24"/>
          <w:lang w:val="en-US"/>
        </w:rPr>
        <w:t>or alternatively, purchase existing assets of a foreign enterprise.</w:t>
      </w:r>
    </w:p>
    <w:p w:rsidR="00260B14" w:rsidRPr="008B4F64" w:rsidRDefault="00260B14" w:rsidP="00260B14">
      <w:pPr>
        <w:spacing w:line="240" w:lineRule="auto"/>
        <w:jc w:val="both"/>
        <w:rPr>
          <w:rFonts w:ascii="Times New Roman" w:hAnsi="Times New Roman"/>
          <w:sz w:val="24"/>
          <w:szCs w:val="24"/>
          <w:lang w:val="en-US"/>
        </w:rPr>
      </w:pPr>
      <w:r w:rsidRPr="008B4F64">
        <w:rPr>
          <w:rFonts w:ascii="Times New Roman" w:hAnsi="Times New Roman"/>
          <w:sz w:val="24"/>
          <w:szCs w:val="24"/>
          <w:lang w:val="en-US"/>
        </w:rPr>
        <w:t>These enterprises s</w:t>
      </w:r>
      <w:r>
        <w:rPr>
          <w:rFonts w:ascii="Times New Roman" w:hAnsi="Times New Roman"/>
          <w:sz w:val="24"/>
          <w:szCs w:val="24"/>
          <w:lang w:val="en-US"/>
        </w:rPr>
        <w:t xml:space="preserve">eek to complement or substitute </w:t>
      </w:r>
      <w:r w:rsidRPr="008B4F64">
        <w:rPr>
          <w:rFonts w:ascii="Times New Roman" w:hAnsi="Times New Roman"/>
          <w:sz w:val="24"/>
          <w:szCs w:val="24"/>
          <w:lang w:val="en-US"/>
        </w:rPr>
        <w:t>external trade, by producin</w:t>
      </w:r>
      <w:r>
        <w:rPr>
          <w:rFonts w:ascii="Times New Roman" w:hAnsi="Times New Roman"/>
          <w:sz w:val="24"/>
          <w:szCs w:val="24"/>
          <w:lang w:val="en-US"/>
        </w:rPr>
        <w:t xml:space="preserve">g (and often selling) goods and </w:t>
      </w:r>
      <w:r w:rsidRPr="008B4F64">
        <w:rPr>
          <w:rFonts w:ascii="Times New Roman" w:hAnsi="Times New Roman"/>
          <w:sz w:val="24"/>
          <w:szCs w:val="24"/>
          <w:lang w:val="en-US"/>
        </w:rPr>
        <w:t>services in countries other than where the enterprise was fi</w:t>
      </w:r>
      <w:r>
        <w:rPr>
          <w:rFonts w:ascii="Times New Roman" w:hAnsi="Times New Roman"/>
          <w:sz w:val="24"/>
          <w:szCs w:val="24"/>
          <w:lang w:val="en-US"/>
        </w:rPr>
        <w:t xml:space="preserve">rst </w:t>
      </w:r>
      <w:r w:rsidRPr="008B4F64">
        <w:rPr>
          <w:rFonts w:ascii="Times New Roman" w:hAnsi="Times New Roman"/>
          <w:sz w:val="24"/>
          <w:szCs w:val="24"/>
          <w:lang w:val="en-US"/>
        </w:rPr>
        <w:t>established.</w:t>
      </w:r>
    </w:p>
    <w:p w:rsidR="00260B14" w:rsidRPr="008B4F64" w:rsidRDefault="00260B14" w:rsidP="00260B14">
      <w:pPr>
        <w:spacing w:line="240" w:lineRule="auto"/>
        <w:jc w:val="both"/>
        <w:rPr>
          <w:rFonts w:ascii="Times New Roman" w:hAnsi="Times New Roman"/>
          <w:sz w:val="24"/>
          <w:szCs w:val="24"/>
          <w:lang w:val="en-US"/>
        </w:rPr>
      </w:pPr>
      <w:r w:rsidRPr="008B4F64">
        <w:rPr>
          <w:rFonts w:ascii="Times New Roman" w:hAnsi="Times New Roman"/>
          <w:sz w:val="24"/>
          <w:szCs w:val="24"/>
          <w:lang w:val="en-US"/>
        </w:rPr>
        <w:t>There are two kinds of FDI: namely, th</w:t>
      </w:r>
      <w:r>
        <w:rPr>
          <w:rFonts w:ascii="Times New Roman" w:hAnsi="Times New Roman"/>
          <w:sz w:val="24"/>
          <w:szCs w:val="24"/>
          <w:lang w:val="en-US"/>
        </w:rPr>
        <w:t xml:space="preserve">e creation of productive assets </w:t>
      </w:r>
      <w:r w:rsidRPr="008B4F64">
        <w:rPr>
          <w:rFonts w:ascii="Times New Roman" w:hAnsi="Times New Roman"/>
          <w:sz w:val="24"/>
          <w:szCs w:val="24"/>
          <w:lang w:val="en-US"/>
        </w:rPr>
        <w:t>by foreigners, or the purchase o</w:t>
      </w:r>
      <w:r>
        <w:rPr>
          <w:rFonts w:ascii="Times New Roman" w:hAnsi="Times New Roman"/>
          <w:sz w:val="24"/>
          <w:szCs w:val="24"/>
          <w:lang w:val="en-US"/>
        </w:rPr>
        <w:t xml:space="preserve">f existing assets by foreigners </w:t>
      </w:r>
      <w:r w:rsidRPr="008B4F64">
        <w:rPr>
          <w:rFonts w:ascii="Times New Roman" w:hAnsi="Times New Roman"/>
          <w:sz w:val="24"/>
          <w:szCs w:val="24"/>
          <w:lang w:val="en-US"/>
        </w:rPr>
        <w:t>(for example, through acquisi</w:t>
      </w:r>
      <w:r>
        <w:rPr>
          <w:rFonts w:ascii="Times New Roman" w:hAnsi="Times New Roman"/>
          <w:sz w:val="24"/>
          <w:szCs w:val="24"/>
          <w:lang w:val="en-US"/>
        </w:rPr>
        <w:t xml:space="preserve">tions, mergers, takeovers). FDI </w:t>
      </w:r>
      <w:r w:rsidRPr="008B4F64">
        <w:rPr>
          <w:rFonts w:ascii="Times New Roman" w:hAnsi="Times New Roman"/>
          <w:sz w:val="24"/>
          <w:szCs w:val="24"/>
          <w:lang w:val="en-US"/>
        </w:rPr>
        <w:t>differs from portfolio investments because it is made with the</w:t>
      </w:r>
      <w:r>
        <w:rPr>
          <w:rFonts w:ascii="Times New Roman" w:hAnsi="Times New Roman"/>
          <w:sz w:val="24"/>
          <w:szCs w:val="24"/>
          <w:lang w:val="en-US"/>
        </w:rPr>
        <w:t xml:space="preserve"> </w:t>
      </w:r>
      <w:r w:rsidRPr="008B4F64">
        <w:rPr>
          <w:rFonts w:ascii="Times New Roman" w:hAnsi="Times New Roman"/>
          <w:sz w:val="24"/>
          <w:szCs w:val="24"/>
          <w:lang w:val="en-US"/>
        </w:rPr>
        <w:t>purpose of having control, or an eff</w:t>
      </w:r>
      <w:r>
        <w:rPr>
          <w:rFonts w:ascii="Times New Roman" w:hAnsi="Times New Roman"/>
          <w:sz w:val="24"/>
          <w:szCs w:val="24"/>
          <w:lang w:val="en-US"/>
        </w:rPr>
        <w:t xml:space="preserve">ective voice, in the management </w:t>
      </w:r>
      <w:r w:rsidRPr="008B4F64">
        <w:rPr>
          <w:rFonts w:ascii="Times New Roman" w:hAnsi="Times New Roman"/>
          <w:sz w:val="24"/>
          <w:szCs w:val="24"/>
          <w:lang w:val="en-US"/>
        </w:rPr>
        <w:t>of the enterprise concerned and a last</w:t>
      </w:r>
      <w:r>
        <w:rPr>
          <w:rFonts w:ascii="Times New Roman" w:hAnsi="Times New Roman"/>
          <w:sz w:val="24"/>
          <w:szCs w:val="24"/>
          <w:lang w:val="en-US"/>
        </w:rPr>
        <w:t xml:space="preserve">ing interest in the enterprise. </w:t>
      </w:r>
      <w:r w:rsidRPr="008B4F64">
        <w:rPr>
          <w:rFonts w:ascii="Times New Roman" w:hAnsi="Times New Roman"/>
          <w:sz w:val="24"/>
          <w:szCs w:val="24"/>
          <w:lang w:val="en-US"/>
        </w:rPr>
        <w:t>Direct investment not only i</w:t>
      </w:r>
      <w:r>
        <w:rPr>
          <w:rFonts w:ascii="Times New Roman" w:hAnsi="Times New Roman"/>
          <w:sz w:val="24"/>
          <w:szCs w:val="24"/>
          <w:lang w:val="en-US"/>
        </w:rPr>
        <w:t xml:space="preserve">ncludes the initial acquisition </w:t>
      </w:r>
      <w:r w:rsidRPr="008B4F64">
        <w:rPr>
          <w:rFonts w:ascii="Times New Roman" w:hAnsi="Times New Roman"/>
          <w:sz w:val="24"/>
          <w:szCs w:val="24"/>
          <w:lang w:val="en-US"/>
        </w:rPr>
        <w:t>of equity capital, but also subsequent capital transactions between</w:t>
      </w:r>
      <w:r>
        <w:rPr>
          <w:rFonts w:ascii="Times New Roman" w:hAnsi="Times New Roman"/>
          <w:sz w:val="24"/>
          <w:szCs w:val="24"/>
          <w:lang w:val="en-US"/>
        </w:rPr>
        <w:t xml:space="preserve"> </w:t>
      </w:r>
      <w:r w:rsidRPr="008B4F64">
        <w:rPr>
          <w:rFonts w:ascii="Times New Roman" w:hAnsi="Times New Roman"/>
          <w:sz w:val="24"/>
          <w:szCs w:val="24"/>
          <w:lang w:val="en-US"/>
        </w:rPr>
        <w:t>the foreign investor and domestic and affiliated enterprises.</w:t>
      </w:r>
    </w:p>
    <w:p w:rsidR="00260B14" w:rsidRDefault="00260B14" w:rsidP="00260B14">
      <w:pPr>
        <w:spacing w:line="240" w:lineRule="auto"/>
        <w:jc w:val="both"/>
        <w:rPr>
          <w:rFonts w:ascii="Times New Roman" w:hAnsi="Times New Roman"/>
          <w:sz w:val="24"/>
          <w:szCs w:val="24"/>
          <w:lang w:val="en-US"/>
        </w:rPr>
      </w:pPr>
      <w:r w:rsidRPr="008B4F64">
        <w:rPr>
          <w:rFonts w:ascii="Times New Roman" w:hAnsi="Times New Roman"/>
          <w:sz w:val="24"/>
          <w:szCs w:val="24"/>
          <w:lang w:val="en-US"/>
        </w:rPr>
        <w:lastRenderedPageBreak/>
        <w:t>Conventional trade is less importa</w:t>
      </w:r>
      <w:r>
        <w:rPr>
          <w:rFonts w:ascii="Times New Roman" w:hAnsi="Times New Roman"/>
          <w:sz w:val="24"/>
          <w:szCs w:val="24"/>
          <w:lang w:val="en-US"/>
        </w:rPr>
        <w:t xml:space="preserve">nt for services than for goods. </w:t>
      </w:r>
      <w:r w:rsidRPr="008B4F64">
        <w:rPr>
          <w:rFonts w:ascii="Times New Roman" w:hAnsi="Times New Roman"/>
          <w:sz w:val="24"/>
          <w:szCs w:val="24"/>
          <w:lang w:val="en-US"/>
        </w:rPr>
        <w:t>While trade in services has been</w:t>
      </w:r>
      <w:r>
        <w:rPr>
          <w:rFonts w:ascii="Times New Roman" w:hAnsi="Times New Roman"/>
          <w:sz w:val="24"/>
          <w:szCs w:val="24"/>
          <w:lang w:val="en-US"/>
        </w:rPr>
        <w:t xml:space="preserve"> growing, the share of services </w:t>
      </w:r>
      <w:r w:rsidRPr="008B4F64">
        <w:rPr>
          <w:rFonts w:ascii="Times New Roman" w:hAnsi="Times New Roman"/>
          <w:sz w:val="24"/>
          <w:szCs w:val="24"/>
          <w:lang w:val="en-US"/>
        </w:rPr>
        <w:t>in total intra-EU trade has changed</w:t>
      </w:r>
      <w:r>
        <w:rPr>
          <w:rFonts w:ascii="Times New Roman" w:hAnsi="Times New Roman"/>
          <w:sz w:val="24"/>
          <w:szCs w:val="24"/>
          <w:lang w:val="en-US"/>
        </w:rPr>
        <w:t xml:space="preserve"> little during the last decade. </w:t>
      </w:r>
      <w:r w:rsidRPr="008B4F64">
        <w:rPr>
          <w:rFonts w:ascii="Times New Roman" w:hAnsi="Times New Roman"/>
          <w:sz w:val="24"/>
          <w:szCs w:val="24"/>
          <w:lang w:val="en-US"/>
        </w:rPr>
        <w:t>However, FDI is expanding mor</w:t>
      </w:r>
      <w:r>
        <w:rPr>
          <w:rFonts w:ascii="Times New Roman" w:hAnsi="Times New Roman"/>
          <w:sz w:val="24"/>
          <w:szCs w:val="24"/>
          <w:lang w:val="en-US"/>
        </w:rPr>
        <w:t xml:space="preserve">e rapidly for services than for </w:t>
      </w:r>
      <w:r w:rsidRPr="008B4F64">
        <w:rPr>
          <w:rFonts w:ascii="Times New Roman" w:hAnsi="Times New Roman"/>
          <w:sz w:val="24"/>
          <w:szCs w:val="24"/>
          <w:lang w:val="en-US"/>
        </w:rPr>
        <w:t>goods, and is increasing at a mo</w:t>
      </w:r>
      <w:r>
        <w:rPr>
          <w:rFonts w:ascii="Times New Roman" w:hAnsi="Times New Roman"/>
          <w:sz w:val="24"/>
          <w:szCs w:val="24"/>
          <w:lang w:val="en-US"/>
        </w:rPr>
        <w:t xml:space="preserve">re rapid pace than conventional </w:t>
      </w:r>
      <w:r w:rsidRPr="008B4F64">
        <w:rPr>
          <w:rFonts w:ascii="Times New Roman" w:hAnsi="Times New Roman"/>
          <w:sz w:val="24"/>
          <w:szCs w:val="24"/>
          <w:lang w:val="en-US"/>
        </w:rPr>
        <w:t>trade in services. As a result, the</w:t>
      </w:r>
      <w:r>
        <w:rPr>
          <w:rFonts w:ascii="Times New Roman" w:hAnsi="Times New Roman"/>
          <w:sz w:val="24"/>
          <w:szCs w:val="24"/>
          <w:lang w:val="en-US"/>
        </w:rPr>
        <w:t xml:space="preserve"> share of services in total FDI </w:t>
      </w:r>
      <w:r w:rsidRPr="008B4F64">
        <w:rPr>
          <w:rFonts w:ascii="Times New Roman" w:hAnsi="Times New Roman"/>
          <w:sz w:val="24"/>
          <w:szCs w:val="24"/>
          <w:lang w:val="en-US"/>
        </w:rPr>
        <w:t xml:space="preserve">flows and positions has increased substantially, as the service </w:t>
      </w:r>
      <w:r>
        <w:rPr>
          <w:rFonts w:ascii="Times New Roman" w:hAnsi="Times New Roman"/>
          <w:sz w:val="24"/>
          <w:szCs w:val="24"/>
          <w:lang w:val="en-US"/>
        </w:rPr>
        <w:t xml:space="preserve">sector </w:t>
      </w:r>
      <w:r w:rsidRPr="008B4F64">
        <w:rPr>
          <w:rFonts w:ascii="Times New Roman" w:hAnsi="Times New Roman"/>
          <w:sz w:val="24"/>
          <w:szCs w:val="24"/>
          <w:lang w:val="en-US"/>
        </w:rPr>
        <w:t>has become increasingly international.</w:t>
      </w:r>
    </w:p>
    <w:p w:rsidR="00260B14" w:rsidRDefault="00260B14" w:rsidP="00260B14">
      <w:pPr>
        <w:spacing w:line="240" w:lineRule="auto"/>
        <w:jc w:val="both"/>
        <w:rPr>
          <w:rFonts w:ascii="Times New Roman" w:hAnsi="Times New Roman"/>
          <w:b/>
          <w:sz w:val="24"/>
          <w:szCs w:val="24"/>
          <w:lang w:val="en-US"/>
        </w:rPr>
      </w:pPr>
      <w:r w:rsidRPr="00815AF6">
        <w:rPr>
          <w:rFonts w:ascii="Times New Roman" w:hAnsi="Times New Roman"/>
          <w:b/>
          <w:sz w:val="24"/>
          <w:szCs w:val="24"/>
          <w:lang w:val="en-US"/>
        </w:rPr>
        <w:t>FDI flows</w:t>
      </w: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t xml:space="preserve">           </w:t>
      </w:r>
      <w:r>
        <w:rPr>
          <w:rFonts w:ascii="Times New Roman" w:hAnsi="Times New Roman"/>
          <w:b/>
          <w:noProof/>
          <w:sz w:val="24"/>
          <w:szCs w:val="24"/>
          <w:lang w:eastAsia="es-ES"/>
        </w:rPr>
        <w:drawing>
          <wp:inline distT="0" distB="0" distL="0" distR="0" wp14:anchorId="34D109DD" wp14:editId="5274316F">
            <wp:extent cx="4514850" cy="733425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514850" cy="73342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lastRenderedPageBreak/>
        <w:t xml:space="preserve">               </w:t>
      </w:r>
      <w:r>
        <w:rPr>
          <w:rFonts w:ascii="Times New Roman" w:hAnsi="Times New Roman"/>
          <w:b/>
          <w:noProof/>
          <w:sz w:val="24"/>
          <w:szCs w:val="24"/>
          <w:lang w:eastAsia="es-ES"/>
        </w:rPr>
        <w:drawing>
          <wp:inline distT="0" distB="0" distL="0" distR="0" wp14:anchorId="4E995A79" wp14:editId="6C30A40E">
            <wp:extent cx="4457700" cy="7550150"/>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457700" cy="75501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r w:rsidRPr="00815AF6">
        <w:rPr>
          <w:rFonts w:ascii="Times New Roman" w:hAnsi="Times New Roman"/>
          <w:b/>
          <w:sz w:val="24"/>
          <w:szCs w:val="24"/>
          <w:lang w:val="en-US"/>
        </w:rPr>
        <w:lastRenderedPageBreak/>
        <w:t>FDI stocks</w:t>
      </w: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t xml:space="preserve">            </w:t>
      </w:r>
      <w:r>
        <w:rPr>
          <w:rFonts w:ascii="Times New Roman" w:hAnsi="Times New Roman"/>
          <w:b/>
          <w:noProof/>
          <w:sz w:val="24"/>
          <w:szCs w:val="24"/>
          <w:lang w:eastAsia="es-ES"/>
        </w:rPr>
        <w:drawing>
          <wp:inline distT="0" distB="0" distL="0" distR="0" wp14:anchorId="21128D99" wp14:editId="5FCED842">
            <wp:extent cx="4495800" cy="6254750"/>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495800" cy="62547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t xml:space="preserve">              </w:t>
      </w:r>
      <w:r>
        <w:rPr>
          <w:rFonts w:ascii="Times New Roman" w:hAnsi="Times New Roman"/>
          <w:b/>
          <w:noProof/>
          <w:sz w:val="24"/>
          <w:szCs w:val="24"/>
          <w:lang w:eastAsia="es-ES"/>
        </w:rPr>
        <w:drawing>
          <wp:inline distT="0" distB="0" distL="0" distR="0" wp14:anchorId="1D4B463A" wp14:editId="6BD1E846">
            <wp:extent cx="4591050" cy="6000750"/>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91050" cy="60007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Pr="0002397D" w:rsidRDefault="00260B14" w:rsidP="00260B14">
      <w:pPr>
        <w:spacing w:line="240" w:lineRule="auto"/>
        <w:jc w:val="both"/>
        <w:rPr>
          <w:rFonts w:ascii="Times New Roman" w:hAnsi="Times New Roman"/>
          <w:b/>
          <w:sz w:val="24"/>
          <w:szCs w:val="24"/>
          <w:lang w:val="en-US"/>
        </w:rPr>
      </w:pPr>
      <w:r w:rsidRPr="0002397D">
        <w:rPr>
          <w:rFonts w:ascii="Times New Roman" w:hAnsi="Times New Roman"/>
          <w:b/>
          <w:sz w:val="24"/>
          <w:szCs w:val="24"/>
          <w:lang w:val="en-US"/>
        </w:rPr>
        <w:lastRenderedPageBreak/>
        <w:t>EU net income recovers in 2010</w:t>
      </w:r>
    </w:p>
    <w:p w:rsidR="00260B14" w:rsidRPr="00830BEA" w:rsidRDefault="00260B14" w:rsidP="00260B14">
      <w:pPr>
        <w:spacing w:line="240" w:lineRule="auto"/>
        <w:jc w:val="both"/>
        <w:rPr>
          <w:rFonts w:ascii="Times New Roman" w:hAnsi="Times New Roman"/>
          <w:sz w:val="20"/>
          <w:szCs w:val="20"/>
          <w:lang w:val="en-US"/>
        </w:rPr>
      </w:pPr>
      <w:r w:rsidRPr="00830BEA">
        <w:rPr>
          <w:rFonts w:ascii="Times New Roman" w:hAnsi="Times New Roman"/>
          <w:sz w:val="20"/>
          <w:szCs w:val="20"/>
          <w:lang w:val="en-US"/>
        </w:rPr>
        <w:t>Following successive declines in 2008 and 2009, the EU-27’s net income from FDI recovered somewhat in 2010, as rates of return (1) on FDI stocks rose to 6.9 % for outward FDI and 5.2 % for inward FDI.</w:t>
      </w:r>
    </w:p>
    <w:p w:rsidR="00260B14" w:rsidRPr="00830BEA" w:rsidRDefault="00260B14" w:rsidP="00260B14">
      <w:pPr>
        <w:spacing w:line="240" w:lineRule="auto"/>
        <w:jc w:val="both"/>
        <w:rPr>
          <w:rFonts w:ascii="Times New Roman" w:hAnsi="Times New Roman"/>
          <w:sz w:val="20"/>
          <w:szCs w:val="20"/>
          <w:lang w:val="en-US"/>
        </w:rPr>
      </w:pPr>
      <w:r w:rsidRPr="00830BEA">
        <w:rPr>
          <w:rFonts w:ascii="Times New Roman" w:hAnsi="Times New Roman"/>
          <w:sz w:val="20"/>
          <w:szCs w:val="20"/>
          <w:lang w:val="en-US"/>
        </w:rPr>
        <w:t>EU-27 investment income grew by 36 %, almost fully cancelling out the reductions that were recorded during the previous two years. The income paid to non-member countries increased to</w:t>
      </w:r>
    </w:p>
    <w:p w:rsidR="00260B14" w:rsidRPr="00830BEA" w:rsidRDefault="00260B14" w:rsidP="00260B14">
      <w:pPr>
        <w:spacing w:line="240" w:lineRule="auto"/>
        <w:jc w:val="both"/>
        <w:rPr>
          <w:rFonts w:ascii="Times New Roman" w:hAnsi="Times New Roman"/>
          <w:sz w:val="20"/>
          <w:szCs w:val="20"/>
          <w:lang w:val="en-US"/>
        </w:rPr>
      </w:pPr>
      <w:r w:rsidRPr="00830BEA">
        <w:rPr>
          <w:rFonts w:ascii="Times New Roman" w:hAnsi="Times New Roman"/>
          <w:sz w:val="20"/>
          <w:szCs w:val="20"/>
          <w:lang w:val="en-US"/>
        </w:rPr>
        <w:t>EUR 139.5 billion, exceeding the record level of 2007. The resulting net income from the rest of the world amounted to EUR 111.6 billion - which was 43 % more than in 2009. The EU-27’s income balance for FDI in 2010 was equal to 0.91 % of GDP, compared with 0.61 % in 2009.</w:t>
      </w:r>
    </w:p>
    <w:p w:rsidR="00260B14" w:rsidRPr="00830BEA" w:rsidRDefault="00260B14" w:rsidP="00260B14">
      <w:pPr>
        <w:spacing w:line="240" w:lineRule="auto"/>
        <w:jc w:val="both"/>
        <w:rPr>
          <w:rFonts w:ascii="Times New Roman" w:hAnsi="Times New Roman"/>
          <w:sz w:val="20"/>
          <w:szCs w:val="20"/>
          <w:lang w:val="en-US"/>
        </w:rPr>
      </w:pPr>
      <w:r w:rsidRPr="00830BEA">
        <w:rPr>
          <w:rFonts w:ascii="Times New Roman" w:hAnsi="Times New Roman"/>
          <w:sz w:val="20"/>
          <w:szCs w:val="20"/>
          <w:lang w:val="en-US"/>
        </w:rPr>
        <w:t xml:space="preserve">(1) The FDI rate of return is measured here as (FDI income of year t) / (stock of FDI at the end of year t-1).     </w:t>
      </w:r>
    </w:p>
    <w:p w:rsidR="00260B14" w:rsidRDefault="00260B14" w:rsidP="00260B14">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Pr>
          <w:rFonts w:ascii="Times New Roman" w:hAnsi="Times New Roman"/>
          <w:noProof/>
          <w:sz w:val="24"/>
          <w:szCs w:val="24"/>
          <w:lang w:eastAsia="es-ES"/>
        </w:rPr>
        <w:drawing>
          <wp:inline distT="0" distB="0" distL="0" distR="0" wp14:anchorId="6EC8B106" wp14:editId="243C2D17">
            <wp:extent cx="4635500" cy="3657600"/>
            <wp:effectExtent l="0" t="0" r="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635500" cy="3657600"/>
                    </a:xfrm>
                    <a:prstGeom prst="rect">
                      <a:avLst/>
                    </a:prstGeom>
                    <a:noFill/>
                    <a:ln>
                      <a:noFill/>
                    </a:ln>
                  </pic:spPr>
                </pic:pic>
              </a:graphicData>
            </a:graphic>
          </wp:inline>
        </w:drawing>
      </w:r>
    </w:p>
    <w:p w:rsidR="00260B14" w:rsidRPr="005E773B" w:rsidRDefault="00260B14" w:rsidP="00260B14">
      <w:pPr>
        <w:spacing w:line="240" w:lineRule="auto"/>
        <w:jc w:val="both"/>
        <w:rPr>
          <w:rFonts w:ascii="Times New Roman" w:hAnsi="Times New Roman"/>
          <w:sz w:val="20"/>
          <w:szCs w:val="20"/>
          <w:lang w:val="en-US"/>
        </w:rPr>
      </w:pPr>
      <w:r w:rsidRPr="005E773B">
        <w:rPr>
          <w:rFonts w:ascii="Times New Roman" w:hAnsi="Times New Roman"/>
          <w:b/>
          <w:sz w:val="20"/>
          <w:szCs w:val="20"/>
          <w:lang w:val="en-US"/>
        </w:rPr>
        <w:t>Foreign Direct Investment (FDI)</w:t>
      </w:r>
      <w:r w:rsidRPr="005E773B">
        <w:rPr>
          <w:rFonts w:ascii="Times New Roman" w:hAnsi="Times New Roman"/>
          <w:sz w:val="20"/>
          <w:szCs w:val="20"/>
          <w:lang w:val="en-US"/>
        </w:rPr>
        <w:t xml:space="preserve"> is the category of international investment made by an entity resident in one economy (direct investor) to acquire a lasting interest in an enterprise operating in another economy (direct investment enterprise). The lasting interest is deemed to exist if the direct investor acquires at least 10 % of the voting power of the direct investment enterprise.</w:t>
      </w:r>
    </w:p>
    <w:p w:rsidR="00260B14" w:rsidRPr="005E773B" w:rsidRDefault="00260B14" w:rsidP="00260B14">
      <w:pPr>
        <w:spacing w:line="240" w:lineRule="auto"/>
        <w:jc w:val="both"/>
        <w:rPr>
          <w:rFonts w:ascii="Times New Roman" w:hAnsi="Times New Roman"/>
          <w:sz w:val="20"/>
          <w:szCs w:val="20"/>
          <w:lang w:val="en-US"/>
        </w:rPr>
      </w:pPr>
      <w:r w:rsidRPr="005E773B">
        <w:rPr>
          <w:rFonts w:ascii="Times New Roman" w:hAnsi="Times New Roman"/>
          <w:b/>
          <w:sz w:val="20"/>
          <w:szCs w:val="20"/>
          <w:lang w:val="en-US"/>
        </w:rPr>
        <w:t>FDI flows, stocks and income</w:t>
      </w:r>
      <w:r w:rsidRPr="005E773B">
        <w:rPr>
          <w:rFonts w:ascii="Times New Roman" w:hAnsi="Times New Roman"/>
          <w:sz w:val="20"/>
          <w:szCs w:val="20"/>
          <w:lang w:val="en-US"/>
        </w:rPr>
        <w:t>. Through outward FDI flows, an investor country builds up FDI asse</w:t>
      </w:r>
      <w:r>
        <w:rPr>
          <w:rFonts w:ascii="Times New Roman" w:hAnsi="Times New Roman"/>
          <w:sz w:val="20"/>
          <w:szCs w:val="20"/>
          <w:lang w:val="en-US"/>
        </w:rPr>
        <w:t xml:space="preserve">ts abroad (outward FDI stocks). </w:t>
      </w:r>
      <w:r w:rsidRPr="005E773B">
        <w:rPr>
          <w:rFonts w:ascii="Times New Roman" w:hAnsi="Times New Roman"/>
          <w:sz w:val="20"/>
          <w:szCs w:val="20"/>
          <w:lang w:val="en-US"/>
        </w:rPr>
        <w:t>Correspondingly, inward FDI flows cumulate into liabilities towards foreign investors (inward FDI stocks). However changes in FDI stocks differ from FDI flows because of the impact of revaluation (changes in prices and, for outward stocks, exchange rates) and other adjustments such as catastrophic losses, cancellation of loans, reclassification of existing assets or liabilities. FDI flows are components of the financial account of the Balance of Payments, while FDI assets and liabilities are components of the International Investment Position. Finally, FDI income consists of the income accruing to the direct investor from its affiliates abroad. Income earned from outward FDI is recorded among credits in the current account of the Balance of Payments, while income paid to foreign owners of inward FDI stocks is recorded among debits.</w:t>
      </w:r>
    </w:p>
    <w:p w:rsidR="00260B14" w:rsidRPr="005E773B" w:rsidRDefault="00260B14" w:rsidP="00260B14">
      <w:pPr>
        <w:spacing w:line="240" w:lineRule="auto"/>
        <w:jc w:val="both"/>
        <w:rPr>
          <w:rFonts w:ascii="Times New Roman" w:hAnsi="Times New Roman"/>
          <w:sz w:val="20"/>
          <w:szCs w:val="20"/>
          <w:lang w:val="en-US"/>
        </w:rPr>
      </w:pPr>
      <w:r w:rsidRPr="005E773B">
        <w:rPr>
          <w:rFonts w:ascii="Times New Roman" w:hAnsi="Times New Roman"/>
          <w:sz w:val="20"/>
          <w:szCs w:val="20"/>
          <w:lang w:val="en-US"/>
        </w:rPr>
        <w:t>FDI flows and stocks are recorded according to the immediate host/investing country criterion.</w:t>
      </w:r>
    </w:p>
    <w:p w:rsidR="00260B14" w:rsidRDefault="00260B14" w:rsidP="00260B14">
      <w:pPr>
        <w:spacing w:line="240" w:lineRule="auto"/>
        <w:jc w:val="both"/>
        <w:rPr>
          <w:rFonts w:ascii="Times New Roman" w:hAnsi="Times New Roman"/>
          <w:sz w:val="24"/>
          <w:szCs w:val="24"/>
          <w:lang w:val="en-US"/>
        </w:rPr>
      </w:pP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lastRenderedPageBreak/>
        <w:t>Del Statistical annex</w:t>
      </w: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t xml:space="preserve">            </w:t>
      </w:r>
      <w:r>
        <w:rPr>
          <w:rFonts w:ascii="Times New Roman" w:hAnsi="Times New Roman"/>
          <w:b/>
          <w:noProof/>
          <w:sz w:val="24"/>
          <w:szCs w:val="24"/>
          <w:lang w:eastAsia="es-ES"/>
        </w:rPr>
        <w:drawing>
          <wp:inline distT="0" distB="0" distL="0" distR="0" wp14:anchorId="339A9336" wp14:editId="4C0E5FE0">
            <wp:extent cx="4578350" cy="71247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78350" cy="712470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r>
        <w:rPr>
          <w:rFonts w:ascii="Times New Roman" w:hAnsi="Times New Roman"/>
          <w:b/>
          <w:sz w:val="24"/>
          <w:szCs w:val="24"/>
          <w:lang w:val="en-US"/>
        </w:rPr>
        <w:lastRenderedPageBreak/>
        <w:t xml:space="preserve">                   </w:t>
      </w:r>
      <w:r>
        <w:rPr>
          <w:rFonts w:ascii="Times New Roman" w:hAnsi="Times New Roman"/>
          <w:b/>
          <w:noProof/>
          <w:sz w:val="24"/>
          <w:szCs w:val="24"/>
          <w:lang w:eastAsia="es-ES"/>
        </w:rPr>
        <w:drawing>
          <wp:inline distT="0" distB="0" distL="0" distR="0" wp14:anchorId="5E80E55F" wp14:editId="11EC54EA">
            <wp:extent cx="4438650" cy="7181850"/>
            <wp:effectExtent l="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438650" cy="71818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p>
    <w:p w:rsidR="00260B14" w:rsidRDefault="00260B14" w:rsidP="00260B14">
      <w:pPr>
        <w:spacing w:line="240" w:lineRule="auto"/>
        <w:jc w:val="both"/>
        <w:rPr>
          <w:rFonts w:ascii="Times New Roman" w:hAnsi="Times New Roman"/>
          <w:b/>
          <w:sz w:val="24"/>
          <w:szCs w:val="24"/>
          <w:lang w:val="en-US"/>
        </w:rPr>
      </w:pPr>
      <w:r w:rsidRPr="004D227A">
        <w:rPr>
          <w:rFonts w:ascii="Times New Roman" w:hAnsi="Times New Roman"/>
          <w:b/>
          <w:sz w:val="24"/>
          <w:szCs w:val="24"/>
          <w:lang w:val="en-US"/>
        </w:rPr>
        <w:lastRenderedPageBreak/>
        <w:t>The EU in the world 2014</w:t>
      </w:r>
      <w:r>
        <w:rPr>
          <w:rFonts w:ascii="Times New Roman" w:hAnsi="Times New Roman"/>
          <w:b/>
          <w:sz w:val="24"/>
          <w:szCs w:val="24"/>
          <w:lang w:val="en-US"/>
        </w:rPr>
        <w:t xml:space="preserve"> - Eurostat 2014</w:t>
      </w:r>
    </w:p>
    <w:p w:rsidR="00260B14" w:rsidRPr="00AD4C60" w:rsidRDefault="00260B14" w:rsidP="00260B14">
      <w:pPr>
        <w:spacing w:line="240" w:lineRule="auto"/>
        <w:jc w:val="both"/>
        <w:rPr>
          <w:rFonts w:ascii="Times New Roman" w:hAnsi="Times New Roman"/>
          <w:b/>
          <w:sz w:val="24"/>
          <w:szCs w:val="24"/>
          <w:lang w:val="en-US"/>
        </w:rPr>
      </w:pPr>
      <w:r w:rsidRPr="00AD4C60">
        <w:rPr>
          <w:rFonts w:ascii="Times New Roman" w:hAnsi="Times New Roman"/>
          <w:b/>
          <w:sz w:val="24"/>
          <w:szCs w:val="24"/>
          <w:lang w:val="en-US"/>
        </w:rPr>
        <w:t>(A statistical portrait)</w:t>
      </w:r>
    </w:p>
    <w:p w:rsidR="00260B14" w:rsidRPr="00EA3AE0" w:rsidRDefault="00260B14" w:rsidP="00260B14">
      <w:pPr>
        <w:spacing w:line="240" w:lineRule="auto"/>
        <w:jc w:val="both"/>
        <w:rPr>
          <w:rFonts w:ascii="Times New Roman" w:hAnsi="Times New Roman"/>
          <w:b/>
          <w:sz w:val="24"/>
          <w:szCs w:val="24"/>
          <w:lang w:val="en-US"/>
        </w:rPr>
      </w:pPr>
      <w:r w:rsidRPr="00EA3AE0">
        <w:rPr>
          <w:rFonts w:ascii="Times New Roman" w:hAnsi="Times New Roman"/>
          <w:b/>
          <w:sz w:val="24"/>
          <w:szCs w:val="24"/>
          <w:lang w:val="en-US"/>
        </w:rPr>
        <w:t>International trade</w:t>
      </w:r>
    </w:p>
    <w:p w:rsidR="00260B14" w:rsidRDefault="00260B14" w:rsidP="00260B14">
      <w:pPr>
        <w:spacing w:line="240" w:lineRule="auto"/>
        <w:jc w:val="both"/>
        <w:rPr>
          <w:rFonts w:ascii="Times New Roman" w:hAnsi="Times New Roman"/>
          <w:sz w:val="20"/>
          <w:szCs w:val="20"/>
          <w:lang w:val="en-US"/>
        </w:rPr>
      </w:pPr>
      <w:r w:rsidRPr="0076128B">
        <w:rPr>
          <w:rFonts w:ascii="Times New Roman" w:hAnsi="Times New Roman"/>
          <w:sz w:val="20"/>
          <w:szCs w:val="20"/>
          <w:lang w:val="en-US"/>
        </w:rPr>
        <w:t>Globalisation acquires a higher profile when it is measured by ac</w:t>
      </w:r>
      <w:r>
        <w:rPr>
          <w:rFonts w:ascii="Times New Roman" w:hAnsi="Times New Roman"/>
          <w:sz w:val="20"/>
          <w:szCs w:val="20"/>
          <w:lang w:val="en-US"/>
        </w:rPr>
        <w:t xml:space="preserve">tual trade flows. There are two </w:t>
      </w:r>
      <w:r w:rsidRPr="0076128B">
        <w:rPr>
          <w:rFonts w:ascii="Times New Roman" w:hAnsi="Times New Roman"/>
          <w:sz w:val="20"/>
          <w:szCs w:val="20"/>
          <w:lang w:val="en-US"/>
        </w:rPr>
        <w:t>main sources of trade statistics: the first is international trade</w:t>
      </w:r>
      <w:r>
        <w:rPr>
          <w:rFonts w:ascii="Times New Roman" w:hAnsi="Times New Roman"/>
          <w:sz w:val="20"/>
          <w:szCs w:val="20"/>
          <w:lang w:val="en-US"/>
        </w:rPr>
        <w:t xml:space="preserve"> in goods which provides highly </w:t>
      </w:r>
      <w:r w:rsidRPr="0076128B">
        <w:rPr>
          <w:rFonts w:ascii="Times New Roman" w:hAnsi="Times New Roman"/>
          <w:sz w:val="20"/>
          <w:szCs w:val="20"/>
          <w:lang w:val="en-US"/>
        </w:rPr>
        <w:t>detailed information on the value and quantity of internationa</w:t>
      </w:r>
      <w:r>
        <w:rPr>
          <w:rFonts w:ascii="Times New Roman" w:hAnsi="Times New Roman"/>
          <w:sz w:val="20"/>
          <w:szCs w:val="20"/>
          <w:lang w:val="en-US"/>
        </w:rPr>
        <w:t xml:space="preserve">l trade; the second is balance </w:t>
      </w:r>
      <w:r w:rsidRPr="0076128B">
        <w:rPr>
          <w:rFonts w:ascii="Times New Roman" w:hAnsi="Times New Roman"/>
          <w:sz w:val="20"/>
          <w:szCs w:val="20"/>
          <w:lang w:val="en-US"/>
        </w:rPr>
        <w:t xml:space="preserve">of payments statistics which register all the transactions of </w:t>
      </w:r>
      <w:r>
        <w:rPr>
          <w:rFonts w:ascii="Times New Roman" w:hAnsi="Times New Roman"/>
          <w:sz w:val="20"/>
          <w:szCs w:val="20"/>
          <w:lang w:val="en-US"/>
        </w:rPr>
        <w:t xml:space="preserve">an economy with the rest of the </w:t>
      </w:r>
      <w:r w:rsidRPr="0076128B">
        <w:rPr>
          <w:rFonts w:ascii="Times New Roman" w:hAnsi="Times New Roman"/>
          <w:sz w:val="20"/>
          <w:szCs w:val="20"/>
          <w:lang w:val="en-US"/>
        </w:rPr>
        <w:t>world. The current account of the balance of payments provid</w:t>
      </w:r>
      <w:r>
        <w:rPr>
          <w:rFonts w:ascii="Times New Roman" w:hAnsi="Times New Roman"/>
          <w:sz w:val="20"/>
          <w:szCs w:val="20"/>
          <w:lang w:val="en-US"/>
        </w:rPr>
        <w:t xml:space="preserve">es information on international </w:t>
      </w:r>
      <w:r w:rsidRPr="0076128B">
        <w:rPr>
          <w:rFonts w:ascii="Times New Roman" w:hAnsi="Times New Roman"/>
          <w:sz w:val="20"/>
          <w:szCs w:val="20"/>
          <w:lang w:val="en-US"/>
        </w:rPr>
        <w:t>trade in goods and services, as well as income (from employm</w:t>
      </w:r>
      <w:r>
        <w:rPr>
          <w:rFonts w:ascii="Times New Roman" w:hAnsi="Times New Roman"/>
          <w:sz w:val="20"/>
          <w:szCs w:val="20"/>
          <w:lang w:val="en-US"/>
        </w:rPr>
        <w:t xml:space="preserve">ent and investment) and current </w:t>
      </w:r>
      <w:r w:rsidRPr="0076128B">
        <w:rPr>
          <w:rFonts w:ascii="Times New Roman" w:hAnsi="Times New Roman"/>
          <w:sz w:val="20"/>
          <w:szCs w:val="20"/>
          <w:lang w:val="en-US"/>
        </w:rPr>
        <w:t>transfers. For all these transactions, the balance of payments</w:t>
      </w:r>
      <w:r>
        <w:rPr>
          <w:rFonts w:ascii="Times New Roman" w:hAnsi="Times New Roman"/>
          <w:sz w:val="20"/>
          <w:szCs w:val="20"/>
          <w:lang w:val="en-US"/>
        </w:rPr>
        <w:t xml:space="preserve"> registers the value of exports </w:t>
      </w:r>
      <w:r w:rsidRPr="0076128B">
        <w:rPr>
          <w:rFonts w:ascii="Times New Roman" w:hAnsi="Times New Roman"/>
          <w:sz w:val="20"/>
          <w:szCs w:val="20"/>
          <w:lang w:val="en-US"/>
        </w:rPr>
        <w:t>(credits) and imports (debits).</w:t>
      </w:r>
    </w:p>
    <w:p w:rsidR="00260B14" w:rsidRPr="00EA3AE0" w:rsidRDefault="00260B14" w:rsidP="00260B14">
      <w:pPr>
        <w:spacing w:line="240" w:lineRule="auto"/>
        <w:jc w:val="both"/>
        <w:rPr>
          <w:rFonts w:ascii="Times New Roman" w:hAnsi="Times New Roman"/>
          <w:sz w:val="24"/>
          <w:szCs w:val="24"/>
          <w:lang w:val="en-US"/>
        </w:rPr>
      </w:pPr>
      <w:r w:rsidRPr="00EA3AE0">
        <w:rPr>
          <w:rFonts w:ascii="Times New Roman" w:hAnsi="Times New Roman"/>
          <w:sz w:val="24"/>
          <w:szCs w:val="24"/>
          <w:lang w:val="en-US"/>
        </w:rPr>
        <w:t>Main findings</w:t>
      </w:r>
    </w:p>
    <w:p w:rsidR="00260B14" w:rsidRDefault="00260B14" w:rsidP="00260B14">
      <w:pPr>
        <w:spacing w:line="240" w:lineRule="auto"/>
        <w:jc w:val="both"/>
        <w:rPr>
          <w:rFonts w:ascii="Times New Roman" w:hAnsi="Times New Roman"/>
          <w:sz w:val="20"/>
          <w:szCs w:val="20"/>
          <w:lang w:val="en-US"/>
        </w:rPr>
      </w:pPr>
      <w:r w:rsidRPr="009D315D">
        <w:rPr>
          <w:rFonts w:ascii="Times New Roman" w:hAnsi="Times New Roman"/>
          <w:sz w:val="20"/>
          <w:szCs w:val="20"/>
          <w:lang w:val="en-US"/>
        </w:rPr>
        <w:t>The level of international trade relative to overall economic acti</w:t>
      </w:r>
      <w:r>
        <w:rPr>
          <w:rFonts w:ascii="Times New Roman" w:hAnsi="Times New Roman"/>
          <w:sz w:val="20"/>
          <w:szCs w:val="20"/>
          <w:lang w:val="en-US"/>
        </w:rPr>
        <w:t xml:space="preserve">vity (the ratio of traded goods </w:t>
      </w:r>
      <w:r w:rsidRPr="009D315D">
        <w:rPr>
          <w:rFonts w:ascii="Times New Roman" w:hAnsi="Times New Roman"/>
          <w:sz w:val="20"/>
          <w:szCs w:val="20"/>
          <w:lang w:val="en-US"/>
        </w:rPr>
        <w:t>and services to GDP) may be expected to be considerably higher</w:t>
      </w:r>
      <w:r>
        <w:rPr>
          <w:rFonts w:ascii="Times New Roman" w:hAnsi="Times New Roman"/>
          <w:sz w:val="20"/>
          <w:szCs w:val="20"/>
          <w:lang w:val="en-US"/>
        </w:rPr>
        <w:t xml:space="preserve"> for relatively small countries </w:t>
      </w:r>
      <w:r w:rsidRPr="009D315D">
        <w:rPr>
          <w:rFonts w:ascii="Times New Roman" w:hAnsi="Times New Roman"/>
          <w:sz w:val="20"/>
          <w:szCs w:val="20"/>
          <w:lang w:val="en-US"/>
        </w:rPr>
        <w:t xml:space="preserve">that are more integrated in the global economy as a result of not </w:t>
      </w:r>
      <w:r>
        <w:rPr>
          <w:rFonts w:ascii="Times New Roman" w:hAnsi="Times New Roman"/>
          <w:sz w:val="20"/>
          <w:szCs w:val="20"/>
          <w:lang w:val="en-US"/>
        </w:rPr>
        <w:t xml:space="preserve">producing a full range of goods </w:t>
      </w:r>
      <w:r w:rsidRPr="009D315D">
        <w:rPr>
          <w:rFonts w:ascii="Times New Roman" w:hAnsi="Times New Roman"/>
          <w:sz w:val="20"/>
          <w:szCs w:val="20"/>
          <w:lang w:val="en-US"/>
        </w:rPr>
        <w:t xml:space="preserve">and services, as can be seen, for example, with Saudi Arabia and South Korea in </w:t>
      </w:r>
      <w:r w:rsidRPr="009D315D">
        <w:rPr>
          <w:rFonts w:ascii="Times New Roman" w:hAnsi="Times New Roman"/>
          <w:color w:val="FF0000"/>
          <w:sz w:val="20"/>
          <w:szCs w:val="20"/>
          <w:lang w:val="en-US"/>
        </w:rPr>
        <w:t>Figure 7.1</w:t>
      </w:r>
      <w:r>
        <w:rPr>
          <w:rFonts w:ascii="Times New Roman" w:hAnsi="Times New Roman"/>
          <w:sz w:val="20"/>
          <w:szCs w:val="20"/>
          <w:lang w:val="en-US"/>
        </w:rPr>
        <w:t xml:space="preserve">. By </w:t>
      </w:r>
      <w:r w:rsidRPr="009D315D">
        <w:rPr>
          <w:rFonts w:ascii="Times New Roman" w:hAnsi="Times New Roman"/>
          <w:sz w:val="20"/>
          <w:szCs w:val="20"/>
          <w:lang w:val="en-US"/>
        </w:rPr>
        <w:t xml:space="preserve">contrast, the United States reported the second lowest ratio of </w:t>
      </w:r>
      <w:r>
        <w:rPr>
          <w:rFonts w:ascii="Times New Roman" w:hAnsi="Times New Roman"/>
          <w:sz w:val="20"/>
          <w:szCs w:val="20"/>
          <w:lang w:val="en-US"/>
        </w:rPr>
        <w:t xml:space="preserve">international trade (average of </w:t>
      </w:r>
      <w:r w:rsidRPr="009D315D">
        <w:rPr>
          <w:rFonts w:ascii="Times New Roman" w:hAnsi="Times New Roman"/>
          <w:sz w:val="20"/>
          <w:szCs w:val="20"/>
          <w:lang w:val="en-US"/>
        </w:rPr>
        <w:t>exports and imports) of goods and services to GDP (15.7 %) in 2012 among the</w:t>
      </w:r>
      <w:r>
        <w:rPr>
          <w:rFonts w:ascii="Times New Roman" w:hAnsi="Times New Roman"/>
          <w:sz w:val="20"/>
          <w:szCs w:val="20"/>
          <w:lang w:val="en-US"/>
        </w:rPr>
        <w:t xml:space="preserve"> G20 members, </w:t>
      </w:r>
      <w:r w:rsidRPr="009D315D">
        <w:rPr>
          <w:rFonts w:ascii="Times New Roman" w:hAnsi="Times New Roman"/>
          <w:sz w:val="20"/>
          <w:szCs w:val="20"/>
          <w:lang w:val="en-US"/>
        </w:rPr>
        <w:t>higher only than that in Brazil (13.2 %). While trade in goods</w:t>
      </w:r>
      <w:r>
        <w:rPr>
          <w:rFonts w:ascii="Times New Roman" w:hAnsi="Times New Roman"/>
          <w:sz w:val="20"/>
          <w:szCs w:val="20"/>
          <w:lang w:val="en-US"/>
        </w:rPr>
        <w:t xml:space="preserve"> dominates international trade, </w:t>
      </w:r>
      <w:r w:rsidRPr="009D315D">
        <w:rPr>
          <w:rFonts w:ascii="Times New Roman" w:hAnsi="Times New Roman"/>
          <w:sz w:val="20"/>
          <w:szCs w:val="20"/>
          <w:lang w:val="en-US"/>
        </w:rPr>
        <w:t>trade in services has grown strongly: trade in services was equi</w:t>
      </w:r>
      <w:r>
        <w:rPr>
          <w:rFonts w:ascii="Times New Roman" w:hAnsi="Times New Roman"/>
          <w:sz w:val="20"/>
          <w:szCs w:val="20"/>
          <w:lang w:val="en-US"/>
        </w:rPr>
        <w:t xml:space="preserve">valent to 7.5 % of GDP in India </w:t>
      </w:r>
      <w:r w:rsidRPr="009D315D">
        <w:rPr>
          <w:rFonts w:ascii="Times New Roman" w:hAnsi="Times New Roman"/>
          <w:sz w:val="20"/>
          <w:szCs w:val="20"/>
          <w:lang w:val="en-US"/>
        </w:rPr>
        <w:t>and reached 9.7 % of GDP in South Korea</w:t>
      </w:r>
      <w:r>
        <w:rPr>
          <w:rFonts w:ascii="Times New Roman" w:hAnsi="Times New Roman"/>
          <w:sz w:val="20"/>
          <w:szCs w:val="20"/>
          <w:lang w:val="en-US"/>
        </w:rPr>
        <w:t>…</w:t>
      </w:r>
    </w:p>
    <w:p w:rsidR="00260B14" w:rsidRDefault="00260B14" w:rsidP="00260B14">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328261F6" wp14:editId="4EF4E2BF">
            <wp:extent cx="5397500" cy="234315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397500" cy="23431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23ABA510" wp14:editId="0AE80AF7">
            <wp:extent cx="5397500" cy="2641600"/>
            <wp:effectExtent l="0" t="0" r="0" b="635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397500" cy="264160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02F96965" wp14:editId="354CFBFE">
            <wp:extent cx="5397500" cy="2425700"/>
            <wp:effectExtent l="0" t="0" r="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97500" cy="242570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656C10DF" wp14:editId="7DD0246F">
            <wp:extent cx="5397500" cy="2641600"/>
            <wp:effectExtent l="0" t="0" r="0" b="635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397500" cy="264160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r w:rsidRPr="00F778BB">
        <w:rPr>
          <w:rFonts w:ascii="Times New Roman" w:hAnsi="Times New Roman"/>
          <w:color w:val="FF0000"/>
          <w:sz w:val="20"/>
          <w:szCs w:val="20"/>
          <w:lang w:val="en-US"/>
        </w:rPr>
        <w:t xml:space="preserve">Figures 7.5 and 7.6 </w:t>
      </w:r>
      <w:r w:rsidR="00A73AE0">
        <w:rPr>
          <w:rFonts w:ascii="Times New Roman" w:hAnsi="Times New Roman"/>
          <w:sz w:val="20"/>
          <w:szCs w:val="20"/>
          <w:lang w:val="en-US"/>
        </w:rPr>
        <w:t>shows</w:t>
      </w:r>
      <w:r w:rsidRPr="00F778BB">
        <w:rPr>
          <w:rFonts w:ascii="Times New Roman" w:hAnsi="Times New Roman"/>
          <w:sz w:val="20"/>
          <w:szCs w:val="20"/>
          <w:lang w:val="en-US"/>
        </w:rPr>
        <w:t xml:space="preserve"> the reverse situation, namely the importance of the EU</w:t>
      </w:r>
      <w:r w:rsidRPr="00F778BB">
        <w:rPr>
          <w:rFonts w:ascii="Times New Roman" w:eastAsia="MS Gothic" w:hAnsi="Times New Roman" w:cs="MS Gothic" w:hint="eastAsia"/>
          <w:sz w:val="20"/>
          <w:szCs w:val="20"/>
          <w:lang w:val="en-US"/>
        </w:rPr>
        <w:t>‑</w:t>
      </w:r>
      <w:r>
        <w:rPr>
          <w:rFonts w:ascii="Times New Roman" w:hAnsi="Times New Roman"/>
          <w:sz w:val="20"/>
          <w:szCs w:val="20"/>
          <w:lang w:val="en-US"/>
        </w:rPr>
        <w:t xml:space="preserve">28 as a </w:t>
      </w:r>
      <w:r w:rsidRPr="00F778BB">
        <w:rPr>
          <w:rFonts w:ascii="Times New Roman" w:hAnsi="Times New Roman"/>
          <w:sz w:val="20"/>
          <w:szCs w:val="20"/>
          <w:lang w:val="en-US"/>
        </w:rPr>
        <w:t>trading partner for the other G20 members in terms of inter</w:t>
      </w:r>
      <w:r>
        <w:rPr>
          <w:rFonts w:ascii="Times New Roman" w:hAnsi="Times New Roman"/>
          <w:sz w:val="20"/>
          <w:szCs w:val="20"/>
          <w:lang w:val="en-US"/>
        </w:rPr>
        <w:t xml:space="preserve">national trade in goods. Nearly </w:t>
      </w:r>
      <w:r w:rsidRPr="00F778BB">
        <w:rPr>
          <w:rFonts w:ascii="Times New Roman" w:hAnsi="Times New Roman"/>
          <w:sz w:val="20"/>
          <w:szCs w:val="20"/>
          <w:lang w:val="en-US"/>
        </w:rPr>
        <w:t>half of all goods exported from Russia were destined for the EU</w:t>
      </w:r>
      <w:r w:rsidRPr="00F778BB">
        <w:rPr>
          <w:rFonts w:ascii="Times New Roman" w:eastAsia="MS Gothic" w:hAnsi="Times New Roman" w:cs="MS Gothic" w:hint="eastAsia"/>
          <w:sz w:val="20"/>
          <w:szCs w:val="20"/>
          <w:lang w:val="en-US"/>
        </w:rPr>
        <w:t>‑</w:t>
      </w:r>
      <w:r>
        <w:rPr>
          <w:rFonts w:ascii="Times New Roman" w:hAnsi="Times New Roman"/>
          <w:sz w:val="20"/>
          <w:szCs w:val="20"/>
          <w:lang w:val="en-US"/>
        </w:rPr>
        <w:t xml:space="preserve">28 in 2012, whereas this </w:t>
      </w:r>
      <w:r w:rsidRPr="00F778BB">
        <w:rPr>
          <w:rFonts w:ascii="Times New Roman" w:hAnsi="Times New Roman"/>
          <w:sz w:val="20"/>
          <w:szCs w:val="20"/>
          <w:lang w:val="en-US"/>
        </w:rPr>
        <w:t xml:space="preserve">was the case for less than one tenth of goods exported from </w:t>
      </w:r>
      <w:r>
        <w:rPr>
          <w:rFonts w:ascii="Times New Roman" w:hAnsi="Times New Roman"/>
          <w:sz w:val="20"/>
          <w:szCs w:val="20"/>
          <w:lang w:val="en-US"/>
        </w:rPr>
        <w:t xml:space="preserve">Indonesia, South Korea, Canada, </w:t>
      </w:r>
      <w:r w:rsidRPr="00F778BB">
        <w:rPr>
          <w:rFonts w:ascii="Times New Roman" w:hAnsi="Times New Roman"/>
          <w:sz w:val="20"/>
          <w:szCs w:val="20"/>
          <w:lang w:val="en-US"/>
        </w:rPr>
        <w:t>Australia or Mexico. The EU</w:t>
      </w:r>
      <w:r w:rsidRPr="00F778BB">
        <w:rPr>
          <w:rFonts w:ascii="Times New Roman" w:eastAsia="MS Gothic" w:hAnsi="Times New Roman" w:cs="MS Gothic" w:hint="eastAsia"/>
          <w:sz w:val="20"/>
          <w:szCs w:val="20"/>
          <w:lang w:val="en-US"/>
        </w:rPr>
        <w:t>‑</w:t>
      </w:r>
      <w:r w:rsidRPr="00F778BB">
        <w:rPr>
          <w:rFonts w:ascii="Times New Roman" w:hAnsi="Times New Roman"/>
          <w:sz w:val="20"/>
          <w:szCs w:val="20"/>
          <w:lang w:val="en-US"/>
        </w:rPr>
        <w:t xml:space="preserve">28 was the source of more than </w:t>
      </w:r>
      <w:r>
        <w:rPr>
          <w:rFonts w:ascii="Times New Roman" w:hAnsi="Times New Roman"/>
          <w:sz w:val="20"/>
          <w:szCs w:val="20"/>
          <w:lang w:val="en-US"/>
        </w:rPr>
        <w:t xml:space="preserve">one fifth of all goods imported </w:t>
      </w:r>
      <w:r w:rsidRPr="00F778BB">
        <w:rPr>
          <w:rFonts w:ascii="Times New Roman" w:hAnsi="Times New Roman"/>
          <w:sz w:val="20"/>
          <w:szCs w:val="20"/>
          <w:lang w:val="en-US"/>
        </w:rPr>
        <w:t>into Brazil, Saudi Arabia, South Africa and Turkey and more th</w:t>
      </w:r>
      <w:r>
        <w:rPr>
          <w:rFonts w:ascii="Times New Roman" w:hAnsi="Times New Roman"/>
          <w:sz w:val="20"/>
          <w:szCs w:val="20"/>
          <w:lang w:val="en-US"/>
        </w:rPr>
        <w:t xml:space="preserve">an two fifths of goods imported </w:t>
      </w:r>
      <w:r w:rsidRPr="00F778BB">
        <w:rPr>
          <w:rFonts w:ascii="Times New Roman" w:hAnsi="Times New Roman"/>
          <w:sz w:val="20"/>
          <w:szCs w:val="20"/>
          <w:lang w:val="en-US"/>
        </w:rPr>
        <w:t>into Russia; the EU</w:t>
      </w:r>
      <w:r w:rsidRPr="00F778BB">
        <w:rPr>
          <w:rFonts w:ascii="Times New Roman" w:eastAsia="MS Gothic" w:hAnsi="Times New Roman" w:cs="MS Gothic" w:hint="eastAsia"/>
          <w:sz w:val="20"/>
          <w:szCs w:val="20"/>
          <w:lang w:val="en-US"/>
        </w:rPr>
        <w:t>‑</w:t>
      </w:r>
      <w:r w:rsidRPr="00F778BB">
        <w:rPr>
          <w:rFonts w:ascii="Times New Roman" w:hAnsi="Times New Roman"/>
          <w:sz w:val="20"/>
          <w:szCs w:val="20"/>
          <w:lang w:val="en-US"/>
        </w:rPr>
        <w:t>28 supplied less than one tenth of all g</w:t>
      </w:r>
      <w:r>
        <w:rPr>
          <w:rFonts w:ascii="Times New Roman" w:hAnsi="Times New Roman"/>
          <w:sz w:val="20"/>
          <w:szCs w:val="20"/>
          <w:lang w:val="en-US"/>
        </w:rPr>
        <w:t xml:space="preserve">oods imported into South Korea, </w:t>
      </w:r>
      <w:r w:rsidRPr="00F778BB">
        <w:rPr>
          <w:rFonts w:ascii="Times New Roman" w:hAnsi="Times New Roman"/>
          <w:sz w:val="20"/>
          <w:szCs w:val="20"/>
          <w:lang w:val="en-US"/>
        </w:rPr>
        <w:t>Japan and Indonesia.</w:t>
      </w:r>
    </w:p>
    <w:p w:rsidR="00260B14" w:rsidRDefault="00260B14" w:rsidP="00260B14">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3512A5F8" wp14:editId="2775E773">
            <wp:extent cx="5397500" cy="2241550"/>
            <wp:effectExtent l="0" t="0" r="0" b="635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397500" cy="22415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713CDDC6" wp14:editId="4714DB35">
            <wp:extent cx="5397500" cy="229235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397500" cy="229235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r w:rsidRPr="00F778BB">
        <w:rPr>
          <w:rFonts w:ascii="Times New Roman" w:hAnsi="Times New Roman"/>
          <w:sz w:val="20"/>
          <w:szCs w:val="20"/>
          <w:lang w:val="en-US"/>
        </w:rPr>
        <w:t>The EU</w:t>
      </w:r>
      <w:r w:rsidRPr="00F778BB">
        <w:rPr>
          <w:rFonts w:ascii="Times New Roman" w:eastAsia="MS Gothic" w:hAnsi="Times New Roman" w:cs="MS Gothic" w:hint="eastAsia"/>
          <w:sz w:val="20"/>
          <w:szCs w:val="20"/>
          <w:lang w:val="en-US"/>
        </w:rPr>
        <w:t>‑</w:t>
      </w:r>
      <w:r w:rsidRPr="00F778BB">
        <w:rPr>
          <w:rFonts w:ascii="Times New Roman" w:hAnsi="Times New Roman"/>
          <w:sz w:val="20"/>
          <w:szCs w:val="20"/>
          <w:lang w:val="en-US"/>
        </w:rPr>
        <w:t>27 is the world</w:t>
      </w:r>
      <w:r w:rsidRPr="00F778BB">
        <w:rPr>
          <w:rFonts w:ascii="Times New Roman" w:hAnsi="Times New Roman" w:cs="Calibri"/>
          <w:sz w:val="20"/>
          <w:szCs w:val="20"/>
          <w:lang w:val="en-US"/>
        </w:rPr>
        <w:t>’</w:t>
      </w:r>
      <w:r w:rsidRPr="00F778BB">
        <w:rPr>
          <w:rFonts w:ascii="Times New Roman" w:hAnsi="Times New Roman"/>
          <w:sz w:val="20"/>
          <w:szCs w:val="20"/>
          <w:lang w:val="en-US"/>
        </w:rPr>
        <w:t>s largest exporter and importer of se</w:t>
      </w:r>
      <w:r>
        <w:rPr>
          <w:rFonts w:ascii="Times New Roman" w:hAnsi="Times New Roman"/>
          <w:sz w:val="20"/>
          <w:szCs w:val="20"/>
          <w:lang w:val="en-US"/>
        </w:rPr>
        <w:t xml:space="preserve">rvices, with a trade surplus of </w:t>
      </w:r>
      <w:r w:rsidRPr="00F778BB">
        <w:rPr>
          <w:rFonts w:ascii="Times New Roman" w:hAnsi="Times New Roman"/>
          <w:sz w:val="20"/>
          <w:szCs w:val="20"/>
          <w:lang w:val="en-US"/>
        </w:rPr>
        <w:t>EUR 146.7 billion in 2012. The United States recorded the nex</w:t>
      </w:r>
      <w:r>
        <w:rPr>
          <w:rFonts w:ascii="Times New Roman" w:hAnsi="Times New Roman"/>
          <w:sz w:val="20"/>
          <w:szCs w:val="20"/>
          <w:lang w:val="en-US"/>
        </w:rPr>
        <w:t xml:space="preserve">t highest levels of exports and </w:t>
      </w:r>
      <w:r w:rsidRPr="00F778BB">
        <w:rPr>
          <w:rFonts w:ascii="Times New Roman" w:hAnsi="Times New Roman"/>
          <w:sz w:val="20"/>
          <w:szCs w:val="20"/>
          <w:lang w:val="en-US"/>
        </w:rPr>
        <w:t>imports of services (2011 data), as well as the second highest trade su</w:t>
      </w:r>
      <w:r>
        <w:rPr>
          <w:rFonts w:ascii="Times New Roman" w:hAnsi="Times New Roman"/>
          <w:sz w:val="20"/>
          <w:szCs w:val="20"/>
          <w:lang w:val="en-US"/>
        </w:rPr>
        <w:t xml:space="preserve">rplus for services, valued </w:t>
      </w:r>
      <w:r w:rsidRPr="00F778BB">
        <w:rPr>
          <w:rFonts w:ascii="Times New Roman" w:hAnsi="Times New Roman"/>
          <w:sz w:val="20"/>
          <w:szCs w:val="20"/>
          <w:lang w:val="en-US"/>
        </w:rPr>
        <w:t>at EUR 128.3 billion. Among the other G20 countries, on</w:t>
      </w:r>
      <w:r>
        <w:rPr>
          <w:rFonts w:ascii="Times New Roman" w:hAnsi="Times New Roman"/>
          <w:sz w:val="20"/>
          <w:szCs w:val="20"/>
          <w:lang w:val="en-US"/>
        </w:rPr>
        <w:t xml:space="preserve">ly Turkey (2011 data) and South </w:t>
      </w:r>
      <w:r w:rsidRPr="00F778BB">
        <w:rPr>
          <w:rFonts w:ascii="Times New Roman" w:hAnsi="Times New Roman"/>
          <w:sz w:val="20"/>
          <w:szCs w:val="20"/>
          <w:lang w:val="en-US"/>
        </w:rPr>
        <w:t>Korea reported trade surpluses for services, while the largest defi</w:t>
      </w:r>
      <w:r>
        <w:rPr>
          <w:rFonts w:ascii="Times New Roman" w:hAnsi="Times New Roman"/>
          <w:sz w:val="20"/>
          <w:szCs w:val="20"/>
          <w:lang w:val="en-US"/>
        </w:rPr>
        <w:t xml:space="preserve">cits were registered for China, </w:t>
      </w:r>
      <w:r w:rsidRPr="00F778BB">
        <w:rPr>
          <w:rFonts w:ascii="Times New Roman" w:hAnsi="Times New Roman"/>
          <w:sz w:val="20"/>
          <w:szCs w:val="20"/>
          <w:lang w:val="en-US"/>
        </w:rPr>
        <w:t>Saudi Arabia (2011 data), Russia and Brazil. Comparing trad</w:t>
      </w:r>
      <w:r>
        <w:rPr>
          <w:rFonts w:ascii="Times New Roman" w:hAnsi="Times New Roman"/>
          <w:sz w:val="20"/>
          <w:szCs w:val="20"/>
          <w:lang w:val="en-US"/>
        </w:rPr>
        <w:t xml:space="preserve">e flows for 2012 with those for </w:t>
      </w:r>
      <w:r w:rsidRPr="00F778BB">
        <w:rPr>
          <w:rFonts w:ascii="Times New Roman" w:hAnsi="Times New Roman"/>
          <w:sz w:val="20"/>
          <w:szCs w:val="20"/>
          <w:lang w:val="en-US"/>
        </w:rPr>
        <w:t xml:space="preserve">2002, China, Brazil, Russia, Argentina, South Africa and South </w:t>
      </w:r>
      <w:r>
        <w:rPr>
          <w:rFonts w:ascii="Times New Roman" w:hAnsi="Times New Roman"/>
          <w:sz w:val="20"/>
          <w:szCs w:val="20"/>
          <w:lang w:val="en-US"/>
        </w:rPr>
        <w:t xml:space="preserve">Korea all reported that exports </w:t>
      </w:r>
      <w:r w:rsidRPr="00F778BB">
        <w:rPr>
          <w:rFonts w:ascii="Times New Roman" w:hAnsi="Times New Roman"/>
          <w:sz w:val="20"/>
          <w:szCs w:val="20"/>
          <w:lang w:val="en-US"/>
        </w:rPr>
        <w:t>and imports of services had more than doubled (in current price terms).</w:t>
      </w:r>
    </w:p>
    <w:p w:rsidR="00260B14" w:rsidRDefault="00260B14" w:rsidP="00260B14">
      <w:pPr>
        <w:spacing w:line="240" w:lineRule="auto"/>
        <w:jc w:val="both"/>
        <w:rPr>
          <w:rFonts w:ascii="Times New Roman" w:hAnsi="Times New Roman"/>
          <w:sz w:val="20"/>
          <w:szCs w:val="20"/>
          <w:lang w:val="en-US"/>
        </w:rPr>
      </w:pPr>
      <w:r w:rsidRPr="00F778BB">
        <w:rPr>
          <w:rFonts w:ascii="Times New Roman" w:hAnsi="Times New Roman"/>
          <w:sz w:val="20"/>
          <w:szCs w:val="20"/>
          <w:lang w:val="en-US"/>
        </w:rPr>
        <w:t>The EU</w:t>
      </w:r>
      <w:r w:rsidRPr="00F778BB">
        <w:rPr>
          <w:rFonts w:ascii="Times New Roman" w:eastAsia="MS Gothic" w:hAnsi="Times New Roman" w:cs="MS Gothic" w:hint="eastAsia"/>
          <w:sz w:val="20"/>
          <w:szCs w:val="20"/>
          <w:lang w:val="en-US"/>
        </w:rPr>
        <w:t>‑</w:t>
      </w:r>
      <w:r w:rsidRPr="00F778BB">
        <w:rPr>
          <w:rFonts w:ascii="Times New Roman" w:hAnsi="Times New Roman"/>
          <w:sz w:val="20"/>
          <w:szCs w:val="20"/>
          <w:lang w:val="en-US"/>
        </w:rPr>
        <w:t>27 had trade surpluses in services in 2011 and 2012 wit</w:t>
      </w:r>
      <w:r>
        <w:rPr>
          <w:rFonts w:ascii="Times New Roman" w:hAnsi="Times New Roman"/>
          <w:sz w:val="20"/>
          <w:szCs w:val="20"/>
          <w:lang w:val="en-US"/>
        </w:rPr>
        <w:t xml:space="preserve">h all the G20 members listed in </w:t>
      </w:r>
      <w:r w:rsidRPr="00F778BB">
        <w:rPr>
          <w:rFonts w:ascii="Times New Roman" w:hAnsi="Times New Roman"/>
          <w:color w:val="FF0000"/>
          <w:sz w:val="20"/>
          <w:szCs w:val="20"/>
          <w:lang w:val="en-US"/>
        </w:rPr>
        <w:t>Table 7.4</w:t>
      </w:r>
      <w:r w:rsidRPr="00F778BB">
        <w:rPr>
          <w:rFonts w:ascii="Times New Roman" w:hAnsi="Times New Roman"/>
          <w:sz w:val="20"/>
          <w:szCs w:val="20"/>
          <w:lang w:val="en-US"/>
        </w:rPr>
        <w:t>; note that data is not available for those G20 members t</w:t>
      </w:r>
      <w:r>
        <w:rPr>
          <w:rFonts w:ascii="Times New Roman" w:hAnsi="Times New Roman"/>
          <w:sz w:val="20"/>
          <w:szCs w:val="20"/>
          <w:lang w:val="en-US"/>
        </w:rPr>
        <w:t xml:space="preserve">hat are not shown. A relatively </w:t>
      </w:r>
      <w:r w:rsidRPr="00F778BB">
        <w:rPr>
          <w:rFonts w:ascii="Times New Roman" w:hAnsi="Times New Roman"/>
          <w:sz w:val="20"/>
          <w:szCs w:val="20"/>
          <w:lang w:val="en-US"/>
        </w:rPr>
        <w:t>high share of the EU</w:t>
      </w:r>
      <w:r w:rsidRPr="00F778BB">
        <w:rPr>
          <w:rFonts w:ascii="Times New Roman" w:eastAsia="MS Gothic" w:hAnsi="Times New Roman" w:cs="MS Gothic" w:hint="eastAsia"/>
          <w:sz w:val="20"/>
          <w:szCs w:val="20"/>
          <w:lang w:val="en-US"/>
        </w:rPr>
        <w:t>‑</w:t>
      </w:r>
      <w:r w:rsidRPr="00F778BB">
        <w:rPr>
          <w:rFonts w:ascii="Times New Roman" w:hAnsi="Times New Roman"/>
          <w:sz w:val="20"/>
          <w:szCs w:val="20"/>
          <w:lang w:val="en-US"/>
        </w:rPr>
        <w:t>27</w:t>
      </w:r>
      <w:r w:rsidRPr="00F778BB">
        <w:rPr>
          <w:rFonts w:ascii="Times New Roman" w:hAnsi="Times New Roman" w:cs="Calibri"/>
          <w:sz w:val="20"/>
          <w:szCs w:val="20"/>
          <w:lang w:val="en-US"/>
        </w:rPr>
        <w:t>’</w:t>
      </w:r>
      <w:r w:rsidRPr="00F778BB">
        <w:rPr>
          <w:rFonts w:ascii="Times New Roman" w:hAnsi="Times New Roman"/>
          <w:sz w:val="20"/>
          <w:szCs w:val="20"/>
          <w:lang w:val="en-US"/>
        </w:rPr>
        <w:t>s trade in services was with the United</w:t>
      </w:r>
      <w:r>
        <w:rPr>
          <w:rFonts w:ascii="Times New Roman" w:hAnsi="Times New Roman"/>
          <w:sz w:val="20"/>
          <w:szCs w:val="20"/>
          <w:lang w:val="en-US"/>
        </w:rPr>
        <w:t xml:space="preserve"> States -although exports and </w:t>
      </w:r>
      <w:r w:rsidRPr="00F778BB">
        <w:rPr>
          <w:rFonts w:ascii="Times New Roman" w:hAnsi="Times New Roman"/>
          <w:sz w:val="20"/>
          <w:szCs w:val="20"/>
          <w:lang w:val="en-US"/>
        </w:rPr>
        <w:t>imports were b</w:t>
      </w:r>
      <w:r>
        <w:rPr>
          <w:rFonts w:ascii="Times New Roman" w:hAnsi="Times New Roman"/>
          <w:sz w:val="20"/>
          <w:szCs w:val="20"/>
          <w:lang w:val="en-US"/>
        </w:rPr>
        <w:t>roadly in line with each other-</w:t>
      </w:r>
      <w:r w:rsidRPr="00F778BB">
        <w:rPr>
          <w:rFonts w:ascii="Times New Roman" w:hAnsi="Times New Roman"/>
          <w:sz w:val="20"/>
          <w:szCs w:val="20"/>
          <w:lang w:val="en-US"/>
        </w:rPr>
        <w:t xml:space="preserve"> resulting in a r</w:t>
      </w:r>
      <w:r>
        <w:rPr>
          <w:rFonts w:ascii="Times New Roman" w:hAnsi="Times New Roman"/>
          <w:sz w:val="20"/>
          <w:szCs w:val="20"/>
          <w:lang w:val="en-US"/>
        </w:rPr>
        <w:t xml:space="preserve">elatively small surplus in both </w:t>
      </w:r>
      <w:r w:rsidRPr="00F778BB">
        <w:rPr>
          <w:rFonts w:ascii="Times New Roman" w:hAnsi="Times New Roman"/>
          <w:sz w:val="20"/>
          <w:szCs w:val="20"/>
          <w:lang w:val="en-US"/>
        </w:rPr>
        <w:t>years. Between 2011 and 2012 the EU’s surpluses with all G20 members expanded.</w:t>
      </w:r>
    </w:p>
    <w:p w:rsidR="00260B14" w:rsidRDefault="00260B14" w:rsidP="00260B14">
      <w:pPr>
        <w:spacing w:line="240" w:lineRule="auto"/>
        <w:jc w:val="both"/>
        <w:rPr>
          <w:rFonts w:ascii="Times New Roman" w:hAnsi="Times New Roman"/>
          <w:sz w:val="20"/>
          <w:szCs w:val="20"/>
          <w:lang w:val="en-US"/>
        </w:rPr>
      </w:pPr>
      <w:r>
        <w:rPr>
          <w:rFonts w:ascii="Times New Roman" w:hAnsi="Times New Roman"/>
          <w:noProof/>
          <w:sz w:val="20"/>
          <w:szCs w:val="20"/>
          <w:lang w:eastAsia="es-ES"/>
        </w:rPr>
        <w:drawing>
          <wp:inline distT="0" distB="0" distL="0" distR="0" wp14:anchorId="062A57D9" wp14:editId="2178E046">
            <wp:extent cx="5397500" cy="3378200"/>
            <wp:effectExtent l="0" t="0" r="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97500" cy="3378200"/>
                    </a:xfrm>
                    <a:prstGeom prst="rect">
                      <a:avLst/>
                    </a:prstGeom>
                    <a:noFill/>
                    <a:ln>
                      <a:noFill/>
                    </a:ln>
                  </pic:spPr>
                </pic:pic>
              </a:graphicData>
            </a:graphic>
          </wp:inline>
        </w:drawing>
      </w:r>
    </w:p>
    <w:p w:rsidR="00260B14" w:rsidRDefault="00260B14" w:rsidP="00260B14">
      <w:pPr>
        <w:spacing w:line="240" w:lineRule="auto"/>
        <w:jc w:val="both"/>
        <w:rPr>
          <w:rFonts w:ascii="Times New Roman" w:hAnsi="Times New Roman"/>
          <w:sz w:val="20"/>
          <w:szCs w:val="20"/>
          <w:lang w:val="en-US"/>
        </w:rPr>
      </w:pPr>
      <w:r>
        <w:rPr>
          <w:rFonts w:ascii="Times New Roman" w:hAnsi="Times New Roman"/>
          <w:noProof/>
          <w:sz w:val="20"/>
          <w:szCs w:val="20"/>
          <w:lang w:eastAsia="es-ES"/>
        </w:rPr>
        <w:lastRenderedPageBreak/>
        <w:drawing>
          <wp:inline distT="0" distB="0" distL="0" distR="0" wp14:anchorId="35409900" wp14:editId="0A3A57FD">
            <wp:extent cx="5397500" cy="2139950"/>
            <wp:effectExtent l="0" t="0" r="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397500" cy="2139950"/>
                    </a:xfrm>
                    <a:prstGeom prst="rect">
                      <a:avLst/>
                    </a:prstGeom>
                    <a:noFill/>
                    <a:ln>
                      <a:noFill/>
                    </a:ln>
                  </pic:spPr>
                </pic:pic>
              </a:graphicData>
            </a:graphic>
          </wp:inline>
        </w:drawing>
      </w:r>
    </w:p>
    <w:p w:rsidR="00FA1D96" w:rsidRDefault="00260B14" w:rsidP="00260B14">
      <w:pPr>
        <w:spacing w:line="240" w:lineRule="auto"/>
        <w:jc w:val="both"/>
        <w:rPr>
          <w:rFonts w:ascii="Times New Roman" w:hAnsi="Times New Roman"/>
          <w:b/>
          <w:sz w:val="24"/>
          <w:szCs w:val="24"/>
        </w:rPr>
      </w:pPr>
      <w:r w:rsidRPr="00260B14">
        <w:rPr>
          <w:rFonts w:ascii="Times New Roman" w:hAnsi="Times New Roman"/>
          <w:b/>
          <w:sz w:val="24"/>
          <w:szCs w:val="24"/>
        </w:rPr>
        <w:t xml:space="preserve">- </w:t>
      </w:r>
      <w:r w:rsidR="003E2830">
        <w:rPr>
          <w:rFonts w:ascii="Times New Roman" w:hAnsi="Times New Roman"/>
          <w:b/>
          <w:sz w:val="24"/>
          <w:szCs w:val="24"/>
        </w:rPr>
        <w:t>Euro punto de vista (</w:t>
      </w:r>
      <w:r w:rsidR="00593624">
        <w:rPr>
          <w:rFonts w:ascii="Times New Roman" w:hAnsi="Times New Roman"/>
          <w:b/>
          <w:sz w:val="24"/>
          <w:szCs w:val="24"/>
        </w:rPr>
        <w:t>“</w:t>
      </w:r>
      <w:r w:rsidR="003E2830">
        <w:rPr>
          <w:rFonts w:ascii="Times New Roman" w:hAnsi="Times New Roman"/>
          <w:b/>
          <w:sz w:val="24"/>
          <w:szCs w:val="24"/>
        </w:rPr>
        <w:t>a</w:t>
      </w:r>
      <w:r w:rsidRPr="00260B14">
        <w:rPr>
          <w:rFonts w:ascii="Times New Roman" w:hAnsi="Times New Roman"/>
          <w:b/>
          <w:sz w:val="24"/>
          <w:szCs w:val="24"/>
        </w:rPr>
        <w:t>quí me pongo a contar</w:t>
      </w:r>
      <w:r w:rsidR="00593624">
        <w:rPr>
          <w:rFonts w:ascii="Times New Roman" w:hAnsi="Times New Roman"/>
          <w:b/>
          <w:sz w:val="24"/>
          <w:szCs w:val="24"/>
        </w:rPr>
        <w:t>”</w:t>
      </w:r>
      <w:r w:rsidR="003E2830">
        <w:rPr>
          <w:rFonts w:ascii="Times New Roman" w:hAnsi="Times New Roman"/>
          <w:b/>
          <w:sz w:val="24"/>
          <w:szCs w:val="24"/>
        </w:rPr>
        <w:t>)</w:t>
      </w:r>
      <w:r w:rsidR="00C73342">
        <w:rPr>
          <w:rFonts w:ascii="Times New Roman" w:hAnsi="Times New Roman"/>
          <w:b/>
          <w:sz w:val="24"/>
          <w:szCs w:val="24"/>
        </w:rPr>
        <w:t>: la inmovilidad suicida</w:t>
      </w:r>
    </w:p>
    <w:p w:rsidR="00FA1D96" w:rsidRDefault="0043618B" w:rsidP="00260B14">
      <w:pPr>
        <w:spacing w:line="240" w:lineRule="auto"/>
        <w:jc w:val="both"/>
        <w:rPr>
          <w:rFonts w:ascii="Times New Roman" w:hAnsi="Times New Roman"/>
          <w:sz w:val="24"/>
          <w:szCs w:val="24"/>
        </w:rPr>
      </w:pPr>
      <w:r>
        <w:rPr>
          <w:rFonts w:ascii="Times New Roman" w:hAnsi="Times New Roman"/>
          <w:sz w:val="24"/>
          <w:szCs w:val="24"/>
        </w:rPr>
        <w:t>Antes, se decía que</w:t>
      </w:r>
      <w:r w:rsidR="00FA1D96">
        <w:rPr>
          <w:rFonts w:ascii="Times New Roman" w:hAnsi="Times New Roman"/>
          <w:sz w:val="24"/>
          <w:szCs w:val="24"/>
        </w:rPr>
        <w:t xml:space="preserve"> la Unión Europea</w:t>
      </w:r>
      <w:r>
        <w:rPr>
          <w:rFonts w:ascii="Times New Roman" w:hAnsi="Times New Roman"/>
          <w:sz w:val="24"/>
          <w:szCs w:val="24"/>
        </w:rPr>
        <w:t xml:space="preserve"> </w:t>
      </w:r>
      <w:r w:rsidR="00FA1D96" w:rsidRPr="00FA1D96">
        <w:rPr>
          <w:rFonts w:ascii="Times New Roman" w:hAnsi="Times New Roman"/>
          <w:sz w:val="24"/>
          <w:szCs w:val="24"/>
        </w:rPr>
        <w:t>era un gigante económico</w:t>
      </w:r>
      <w:r w:rsidR="00FA1D96">
        <w:rPr>
          <w:rFonts w:ascii="Times New Roman" w:hAnsi="Times New Roman"/>
          <w:sz w:val="24"/>
          <w:szCs w:val="24"/>
        </w:rPr>
        <w:t xml:space="preserve"> (</w:t>
      </w:r>
      <w:r>
        <w:rPr>
          <w:rFonts w:ascii="Times New Roman" w:hAnsi="Times New Roman"/>
          <w:sz w:val="24"/>
          <w:szCs w:val="24"/>
        </w:rPr>
        <w:t xml:space="preserve">por </w:t>
      </w:r>
      <w:r w:rsidR="00FA1D96">
        <w:rPr>
          <w:rFonts w:ascii="Times New Roman" w:hAnsi="Times New Roman"/>
          <w:sz w:val="24"/>
          <w:szCs w:val="24"/>
        </w:rPr>
        <w:t>tamaño del mercado, producto interior bruto, distribución del ingreso, estado del bienestar…)</w:t>
      </w:r>
      <w:r w:rsidR="00FA1D96" w:rsidRPr="00FA1D96">
        <w:rPr>
          <w:rFonts w:ascii="Times New Roman" w:hAnsi="Times New Roman"/>
          <w:sz w:val="24"/>
          <w:szCs w:val="24"/>
        </w:rPr>
        <w:t xml:space="preserve"> y un enano político</w:t>
      </w:r>
      <w:r>
        <w:rPr>
          <w:rFonts w:ascii="Times New Roman" w:hAnsi="Times New Roman"/>
          <w:sz w:val="24"/>
          <w:szCs w:val="24"/>
        </w:rPr>
        <w:t xml:space="preserve"> (Kissinger: ¿c</w:t>
      </w:r>
      <w:r w:rsidRPr="0043618B">
        <w:rPr>
          <w:rFonts w:ascii="Times New Roman" w:hAnsi="Times New Roman"/>
          <w:sz w:val="24"/>
          <w:szCs w:val="24"/>
        </w:rPr>
        <w:t xml:space="preserve">uándo quiero hablar con </w:t>
      </w:r>
      <w:r>
        <w:rPr>
          <w:rFonts w:ascii="Times New Roman" w:hAnsi="Times New Roman"/>
          <w:sz w:val="24"/>
          <w:szCs w:val="24"/>
        </w:rPr>
        <w:t>Europa, a qué número llamo?).</w:t>
      </w:r>
    </w:p>
    <w:p w:rsidR="00FA1D96" w:rsidRDefault="00FA1D96" w:rsidP="00FA1D96">
      <w:pPr>
        <w:spacing w:line="240" w:lineRule="auto"/>
        <w:jc w:val="both"/>
        <w:rPr>
          <w:rFonts w:ascii="Times New Roman" w:hAnsi="Times New Roman"/>
          <w:sz w:val="24"/>
          <w:szCs w:val="24"/>
        </w:rPr>
      </w:pPr>
      <w:r>
        <w:rPr>
          <w:rFonts w:ascii="Times New Roman" w:hAnsi="Times New Roman"/>
          <w:sz w:val="24"/>
          <w:szCs w:val="24"/>
        </w:rPr>
        <w:t>Después de la crisis financiera (heredada -</w:t>
      </w:r>
      <w:r w:rsidR="0058387D">
        <w:rPr>
          <w:rFonts w:ascii="Times New Roman" w:hAnsi="Times New Roman"/>
          <w:sz w:val="24"/>
          <w:szCs w:val="24"/>
        </w:rPr>
        <w:t>tontamente</w:t>
      </w:r>
      <w:r>
        <w:rPr>
          <w:rFonts w:ascii="Times New Roman" w:hAnsi="Times New Roman"/>
          <w:sz w:val="24"/>
          <w:szCs w:val="24"/>
        </w:rPr>
        <w:t>- de los Estados Unidos), la Unión Europea se enfrenta -tal vez- a su última oportunidad para no ser como Japón. Un enano político (por voluntad propia) y un hemipléjic</w:t>
      </w:r>
      <w:r w:rsidR="00462D3E">
        <w:rPr>
          <w:rFonts w:ascii="Times New Roman" w:hAnsi="Times New Roman"/>
          <w:sz w:val="24"/>
          <w:szCs w:val="24"/>
        </w:rPr>
        <w:t>o económico (por esclerosis múltiple</w:t>
      </w:r>
      <w:r>
        <w:rPr>
          <w:rFonts w:ascii="Times New Roman" w:hAnsi="Times New Roman"/>
          <w:sz w:val="24"/>
          <w:szCs w:val="24"/>
        </w:rPr>
        <w:t>).</w:t>
      </w:r>
    </w:p>
    <w:p w:rsidR="0058387D" w:rsidRDefault="0058387D" w:rsidP="00FA1D96">
      <w:pPr>
        <w:spacing w:line="240" w:lineRule="auto"/>
        <w:jc w:val="both"/>
        <w:rPr>
          <w:rFonts w:ascii="Times New Roman" w:hAnsi="Times New Roman"/>
          <w:sz w:val="24"/>
          <w:szCs w:val="24"/>
        </w:rPr>
      </w:pPr>
      <w:r>
        <w:rPr>
          <w:rFonts w:ascii="Times New Roman" w:hAnsi="Times New Roman"/>
          <w:sz w:val="24"/>
          <w:szCs w:val="24"/>
        </w:rPr>
        <w:t>Ni siquiera a Alemania le alcanza con “más de lo mismo” (una economía orientad</w:t>
      </w:r>
      <w:r w:rsidR="0047781B">
        <w:rPr>
          <w:rFonts w:ascii="Times New Roman" w:hAnsi="Times New Roman"/>
          <w:sz w:val="24"/>
          <w:szCs w:val="24"/>
        </w:rPr>
        <w:t>a</w:t>
      </w:r>
      <w:r>
        <w:rPr>
          <w:rFonts w:ascii="Times New Roman" w:hAnsi="Times New Roman"/>
          <w:sz w:val="24"/>
          <w:szCs w:val="24"/>
        </w:rPr>
        <w:t xml:space="preserve"> a la exportación). Ni siquiera a Francia le alcanza con </w:t>
      </w:r>
      <w:r w:rsidR="0015752E">
        <w:rPr>
          <w:rFonts w:ascii="Times New Roman" w:hAnsi="Times New Roman"/>
          <w:sz w:val="24"/>
          <w:szCs w:val="24"/>
        </w:rPr>
        <w:t>“</w:t>
      </w:r>
      <w:r w:rsidR="002B792C">
        <w:rPr>
          <w:rFonts w:ascii="Times New Roman" w:hAnsi="Times New Roman"/>
          <w:sz w:val="24"/>
          <w:szCs w:val="24"/>
        </w:rPr>
        <w:t>más de lo</w:t>
      </w:r>
      <w:r>
        <w:rPr>
          <w:rFonts w:ascii="Times New Roman" w:hAnsi="Times New Roman"/>
          <w:sz w:val="24"/>
          <w:szCs w:val="24"/>
        </w:rPr>
        <w:t xml:space="preserve"> mismo”</w:t>
      </w:r>
      <w:r w:rsidR="0015752E">
        <w:rPr>
          <w:rFonts w:ascii="Times New Roman" w:hAnsi="Times New Roman"/>
          <w:sz w:val="24"/>
          <w:szCs w:val="24"/>
        </w:rPr>
        <w:t xml:space="preserve"> (la protección</w:t>
      </w:r>
      <w:r>
        <w:rPr>
          <w:rFonts w:ascii="Times New Roman" w:hAnsi="Times New Roman"/>
          <w:sz w:val="24"/>
          <w:szCs w:val="24"/>
        </w:rPr>
        <w:t xml:space="preserve"> del Estado desde la </w:t>
      </w:r>
      <w:r w:rsidR="0015752E">
        <w:rPr>
          <w:rFonts w:ascii="Times New Roman" w:hAnsi="Times New Roman"/>
          <w:sz w:val="24"/>
          <w:szCs w:val="24"/>
        </w:rPr>
        <w:t>cuna a la tumba). Ni siquiera al</w:t>
      </w:r>
      <w:r>
        <w:rPr>
          <w:rFonts w:ascii="Times New Roman" w:hAnsi="Times New Roman"/>
          <w:sz w:val="24"/>
          <w:szCs w:val="24"/>
        </w:rPr>
        <w:t xml:space="preserve"> Reino Unido le alcanza con “más de lo mismo” (chantajear a la UE y seguir “usufructuando” </w:t>
      </w:r>
      <w:r w:rsidR="0015752E">
        <w:rPr>
          <w:rFonts w:ascii="Times New Roman" w:hAnsi="Times New Roman"/>
          <w:sz w:val="24"/>
          <w:szCs w:val="24"/>
        </w:rPr>
        <w:t>del negocio de los eurodólares</w:t>
      </w:r>
      <w:r>
        <w:rPr>
          <w:rFonts w:ascii="Times New Roman" w:hAnsi="Times New Roman"/>
          <w:sz w:val="24"/>
          <w:szCs w:val="24"/>
        </w:rPr>
        <w:t>).</w:t>
      </w:r>
      <w:r w:rsidR="0047781B">
        <w:rPr>
          <w:rFonts w:ascii="Times New Roman" w:hAnsi="Times New Roman"/>
          <w:sz w:val="24"/>
          <w:szCs w:val="24"/>
        </w:rPr>
        <w:t xml:space="preserve"> Ni siquiera a los PIGS (más “pigs” que nunca), les alcanza con “más de lo mismo” (seguir viviendo por encima de sus posibilidades con el crédito de los países del norte).</w:t>
      </w:r>
    </w:p>
    <w:p w:rsidR="0015752E" w:rsidRDefault="0015752E" w:rsidP="006152B3">
      <w:pPr>
        <w:spacing w:line="240" w:lineRule="auto"/>
        <w:jc w:val="both"/>
        <w:rPr>
          <w:rFonts w:ascii="Times New Roman" w:hAnsi="Times New Roman"/>
          <w:sz w:val="24"/>
          <w:szCs w:val="24"/>
        </w:rPr>
      </w:pPr>
      <w:r>
        <w:rPr>
          <w:rFonts w:ascii="Times New Roman" w:hAnsi="Times New Roman"/>
          <w:sz w:val="24"/>
          <w:szCs w:val="24"/>
        </w:rPr>
        <w:t>¿La única “solución” está en continuar (o ampliar) la política monetaria expansiva?</w:t>
      </w:r>
    </w:p>
    <w:p w:rsidR="0043618B" w:rsidRPr="0015752E" w:rsidRDefault="0043618B" w:rsidP="006152B3">
      <w:pPr>
        <w:pStyle w:val="NormalWeb"/>
        <w:shd w:val="clear" w:color="auto" w:fill="FFFFFF"/>
        <w:jc w:val="both"/>
        <w:rPr>
          <w:color w:val="000000"/>
        </w:rPr>
      </w:pPr>
      <w:r w:rsidRPr="0015752E">
        <w:rPr>
          <w:color w:val="000000"/>
        </w:rPr>
        <w:t xml:space="preserve">La política monetaria expansiva y las medidas no convencionales que está experimentando la eurozona </w:t>
      </w:r>
      <w:r w:rsidR="0015752E" w:rsidRPr="0015752E">
        <w:rPr>
          <w:color w:val="000000"/>
        </w:rPr>
        <w:t>podría</w:t>
      </w:r>
      <w:r w:rsidRPr="0015752E">
        <w:rPr>
          <w:color w:val="000000"/>
        </w:rPr>
        <w:t xml:space="preserve"> incrementar</w:t>
      </w:r>
      <w:r w:rsidR="0015752E">
        <w:rPr>
          <w:color w:val="000000"/>
        </w:rPr>
        <w:t xml:space="preserve"> -aún más-</w:t>
      </w:r>
      <w:r w:rsidRPr="0015752E">
        <w:rPr>
          <w:color w:val="000000"/>
        </w:rPr>
        <w:t xml:space="preserve"> la desigualdad en la distribución de la renta, al igual que está ocurriendo e</w:t>
      </w:r>
      <w:r w:rsidR="0015752E">
        <w:rPr>
          <w:color w:val="000000"/>
        </w:rPr>
        <w:t xml:space="preserve">n EEUU. Estas inyecciones de </w:t>
      </w:r>
      <w:r w:rsidRPr="0015752E">
        <w:rPr>
          <w:color w:val="000000"/>
        </w:rPr>
        <w:t>liquidez terminan disparando los precios de los activos financieros, que están</w:t>
      </w:r>
      <w:r w:rsidR="0015752E">
        <w:rPr>
          <w:color w:val="000000"/>
        </w:rPr>
        <w:t xml:space="preserve"> en posesión </w:t>
      </w:r>
      <w:r w:rsidRPr="0015752E">
        <w:rPr>
          <w:color w:val="000000"/>
        </w:rPr>
        <w:t>de los hogares más pudientes.</w:t>
      </w:r>
    </w:p>
    <w:p w:rsidR="0043618B" w:rsidRPr="006152B3" w:rsidRDefault="0043618B" w:rsidP="006152B3">
      <w:pPr>
        <w:pStyle w:val="NormalWeb"/>
        <w:shd w:val="clear" w:color="auto" w:fill="FFFFFF"/>
        <w:jc w:val="both"/>
        <w:rPr>
          <w:color w:val="000000"/>
        </w:rPr>
      </w:pPr>
      <w:r w:rsidRPr="006152B3">
        <w:rPr>
          <w:color w:val="000000"/>
        </w:rPr>
        <w:t>El Banco Central Eur</w:t>
      </w:r>
      <w:r w:rsidR="0015752E" w:rsidRPr="006152B3">
        <w:rPr>
          <w:color w:val="000000"/>
        </w:rPr>
        <w:t>opeo sigue avanzando en su combate</w:t>
      </w:r>
      <w:r w:rsidRPr="006152B3">
        <w:rPr>
          <w:color w:val="000000"/>
        </w:rPr>
        <w:t xml:space="preserve"> contra la moderación de los precios en la eurozona: unos tipos de interés históricamente bajos, varias macro-Operaciones de Refinanciación a Largo Plazo (LTRO), compra d</w:t>
      </w:r>
      <w:r w:rsidR="0015752E" w:rsidRPr="006152B3">
        <w:rPr>
          <w:color w:val="000000"/>
        </w:rPr>
        <w:t>e bonos garantizados, etc. En noviembre (2014)</w:t>
      </w:r>
      <w:r w:rsidRPr="006152B3">
        <w:rPr>
          <w:color w:val="000000"/>
        </w:rPr>
        <w:t>, el BCE emprenderá un nuevo camino con la adquisición de Asset-Backed-Security (ABS) y puede que en enero</w:t>
      </w:r>
      <w:r w:rsidR="0015752E" w:rsidRPr="006152B3">
        <w:rPr>
          <w:color w:val="000000"/>
        </w:rPr>
        <w:t xml:space="preserve"> (2015)</w:t>
      </w:r>
      <w:r w:rsidRPr="006152B3">
        <w:rPr>
          <w:color w:val="000000"/>
        </w:rPr>
        <w:t xml:space="preserve"> comience a financiar los déficits de los Estados comprado deuda soberana.</w:t>
      </w:r>
      <w:r w:rsidR="0015752E" w:rsidRPr="006152B3">
        <w:t xml:space="preserve"> </w:t>
      </w:r>
    </w:p>
    <w:p w:rsidR="006152B3" w:rsidRPr="006152B3" w:rsidRDefault="0043618B" w:rsidP="006152B3">
      <w:pPr>
        <w:pStyle w:val="NormalWeb"/>
        <w:jc w:val="both"/>
      </w:pPr>
      <w:r w:rsidRPr="006152B3">
        <w:t xml:space="preserve">El prestigioso economista Joseph Stiglitz, asegura en </w:t>
      </w:r>
      <w:r w:rsidRPr="006152B3">
        <w:rPr>
          <w:i/>
          <w:iCs/>
        </w:rPr>
        <w:t>Bloomberg</w:t>
      </w:r>
      <w:r w:rsidR="0015752E" w:rsidRPr="006152B3">
        <w:rPr>
          <w:i/>
          <w:iCs/>
        </w:rPr>
        <w:t xml:space="preserve"> </w:t>
      </w:r>
      <w:r w:rsidRPr="006152B3">
        <w:rPr>
          <w:i/>
          <w:iCs/>
        </w:rPr>
        <w:t xml:space="preserve"> </w:t>
      </w:r>
      <w:r w:rsidRPr="006152B3">
        <w:t>que el mayor riesgo que se corre al poner en práctica este tipo de políticas monetarias tan expansivas es que puede desembocar en un</w:t>
      </w:r>
      <w:r w:rsidR="006152B3" w:rsidRPr="006152B3">
        <w:t xml:space="preserve"> incremento de la desigualdad: “hacer a los ricos más ricos”</w:t>
      </w:r>
      <w:r w:rsidRPr="006152B3">
        <w:t>.</w:t>
      </w:r>
      <w:r w:rsidR="006152B3" w:rsidRPr="006152B3">
        <w:t xml:space="preserve"> (El Economista - </w:t>
      </w:r>
      <w:r w:rsidR="006152B3" w:rsidRPr="006152B3">
        <w:rPr>
          <w:b/>
        </w:rPr>
        <w:t>28/10/14</w:t>
      </w:r>
      <w:r w:rsidR="006152B3" w:rsidRPr="006152B3">
        <w:t>)</w:t>
      </w:r>
    </w:p>
    <w:p w:rsidR="0043618B" w:rsidRPr="00F86B2C" w:rsidRDefault="0043618B" w:rsidP="006152B3">
      <w:pPr>
        <w:pStyle w:val="NormalWeb"/>
        <w:shd w:val="clear" w:color="auto" w:fill="FFFFFF"/>
        <w:jc w:val="both"/>
        <w:rPr>
          <w:color w:val="FF0000"/>
          <w:u w:val="single"/>
        </w:rPr>
      </w:pPr>
    </w:p>
    <w:p w:rsidR="0043618B" w:rsidRPr="00682479" w:rsidRDefault="0043618B" w:rsidP="006152B3">
      <w:pPr>
        <w:pStyle w:val="NormalWeb"/>
        <w:shd w:val="clear" w:color="auto" w:fill="FFFFFF"/>
        <w:jc w:val="both"/>
        <w:rPr>
          <w:color w:val="000000"/>
        </w:rPr>
      </w:pPr>
      <w:r w:rsidRPr="00682479">
        <w:rPr>
          <w:color w:val="000000"/>
        </w:rPr>
        <w:lastRenderedPageBreak/>
        <w:t xml:space="preserve">Y es que, estas inyecciones de liquidez y compra de </w:t>
      </w:r>
      <w:r w:rsidR="006152B3">
        <w:rPr>
          <w:color w:val="000000"/>
        </w:rPr>
        <w:t xml:space="preserve">activos por parte de los bancos </w:t>
      </w:r>
      <w:r w:rsidRPr="00682479">
        <w:rPr>
          <w:color w:val="000000"/>
        </w:rPr>
        <w:t>centrales pr</w:t>
      </w:r>
      <w:r>
        <w:rPr>
          <w:color w:val="000000"/>
        </w:rPr>
        <w:t>ovocan un incremento del precio</w:t>
      </w:r>
      <w:r w:rsidR="006152B3">
        <w:rPr>
          <w:color w:val="000000"/>
        </w:rPr>
        <w:t xml:space="preserve"> de los</w:t>
      </w:r>
      <w:r w:rsidRPr="00682479">
        <w:rPr>
          <w:color w:val="000000"/>
        </w:rPr>
        <w:t xml:space="preserve"> activos financieros. Y en cualquier país, ¿quién posee la mayor parte de las acciones, bonos y demás activos? Quien dispone de la suficiente renta disponible para invertir, es decir, los más ricos de la sociedad.</w:t>
      </w:r>
    </w:p>
    <w:p w:rsidR="0043618B" w:rsidRPr="00682479" w:rsidRDefault="0043618B" w:rsidP="006152B3">
      <w:pPr>
        <w:pStyle w:val="NormalWeb"/>
        <w:shd w:val="clear" w:color="auto" w:fill="FFFFFF"/>
        <w:jc w:val="both"/>
        <w:rPr>
          <w:color w:val="000000"/>
        </w:rPr>
      </w:pPr>
      <w:r w:rsidRPr="00682479">
        <w:rPr>
          <w:color w:val="000000"/>
        </w:rPr>
        <w:t>El exjefe del Banco Internacional de Pa</w:t>
      </w:r>
      <w:r w:rsidR="006152B3">
        <w:rPr>
          <w:color w:val="000000"/>
        </w:rPr>
        <w:t>gos, William White, señala que “</w:t>
      </w:r>
      <w:r w:rsidRPr="00682479">
        <w:rPr>
          <w:color w:val="000000"/>
        </w:rPr>
        <w:t>estas medidas no convencionales de la política monetaria tienen grandes probabilidades de conseguir unos objetivos no esperados, el incremento de</w:t>
      </w:r>
      <w:r w:rsidR="006152B3">
        <w:rPr>
          <w:color w:val="000000"/>
        </w:rPr>
        <w:t xml:space="preserve"> la desigualdad es uno de ellos”</w:t>
      </w:r>
      <w:r w:rsidRPr="00682479">
        <w:rPr>
          <w:color w:val="000000"/>
        </w:rPr>
        <w:t>.</w:t>
      </w:r>
    </w:p>
    <w:p w:rsidR="0043618B" w:rsidRPr="00682479" w:rsidRDefault="0043618B" w:rsidP="006152B3">
      <w:pPr>
        <w:pStyle w:val="NormalWeb"/>
        <w:shd w:val="clear" w:color="auto" w:fill="FFFFFF"/>
        <w:jc w:val="both"/>
        <w:rPr>
          <w:color w:val="000000"/>
        </w:rPr>
      </w:pPr>
      <w:r w:rsidRPr="00682479">
        <w:rPr>
          <w:color w:val="000000"/>
        </w:rPr>
        <w:t xml:space="preserve">White cree que los problemas estructurales de Europa, elevada deuda y un sistema bancario que no funciona no se pueden </w:t>
      </w:r>
      <w:r w:rsidR="006152B3">
        <w:rPr>
          <w:color w:val="000000"/>
        </w:rPr>
        <w:t>solucionar imprimiendo dinero: “</w:t>
      </w:r>
      <w:r w:rsidRPr="00682479">
        <w:rPr>
          <w:color w:val="000000"/>
        </w:rPr>
        <w:t xml:space="preserve">Tratar de resolver problemas estructurales usando la política monetaria </w:t>
      </w:r>
      <w:r w:rsidR="006152B3">
        <w:rPr>
          <w:color w:val="000000"/>
        </w:rPr>
        <w:t>es crear un espejismo peligroso”</w:t>
      </w:r>
      <w:r w:rsidRPr="00682479">
        <w:rPr>
          <w:color w:val="000000"/>
        </w:rPr>
        <w:t>.</w:t>
      </w:r>
    </w:p>
    <w:p w:rsidR="0043618B" w:rsidRPr="00682479" w:rsidRDefault="0043618B" w:rsidP="006152B3">
      <w:pPr>
        <w:pStyle w:val="NormalWeb"/>
        <w:shd w:val="clear" w:color="auto" w:fill="FFFFFF"/>
        <w:jc w:val="both"/>
        <w:rPr>
          <w:color w:val="000000"/>
        </w:rPr>
      </w:pPr>
      <w:r w:rsidRPr="00682479">
        <w:rPr>
          <w:color w:val="000000"/>
        </w:rPr>
        <w:t>Joh Silvia, economista jefe de segur</w:t>
      </w:r>
      <w:r w:rsidR="006152B3">
        <w:rPr>
          <w:color w:val="000000"/>
        </w:rPr>
        <w:t>os en Wells Fargo, explica que “</w:t>
      </w:r>
      <w:r w:rsidRPr="00682479">
        <w:rPr>
          <w:color w:val="000000"/>
        </w:rPr>
        <w:t xml:space="preserve">la experiencia que viva Europa podría ser muy parecida a la que está viviendo Estados Unidos, los precios y las valoraciones de los activos financieros crecerán, beneficiando a la </w:t>
      </w:r>
      <w:r w:rsidR="006152B3">
        <w:rPr>
          <w:color w:val="000000"/>
        </w:rPr>
        <w:t>parte más ricas de la población”</w:t>
      </w:r>
      <w:r w:rsidRPr="00682479">
        <w:rPr>
          <w:color w:val="000000"/>
        </w:rPr>
        <w:t xml:space="preserve">. </w:t>
      </w:r>
    </w:p>
    <w:p w:rsidR="0043618B" w:rsidRPr="00682479" w:rsidRDefault="0043618B" w:rsidP="006152B3">
      <w:pPr>
        <w:pStyle w:val="NormalWeb"/>
        <w:shd w:val="clear" w:color="auto" w:fill="FFFFFF"/>
        <w:jc w:val="both"/>
        <w:rPr>
          <w:color w:val="000000"/>
        </w:rPr>
      </w:pPr>
      <w:r w:rsidRPr="00682479">
        <w:rPr>
          <w:color w:val="000000"/>
        </w:rPr>
        <w:t>El incremento de la desigualdad puede terminar fraccionando la sociedad y derivan</w:t>
      </w:r>
      <w:r w:rsidR="006152B3">
        <w:rPr>
          <w:color w:val="000000"/>
        </w:rPr>
        <w:t>do en movimientos extremistas: “El “mix”</w:t>
      </w:r>
      <w:r w:rsidRPr="00682479">
        <w:rPr>
          <w:color w:val="000000"/>
        </w:rPr>
        <w:t xml:space="preserve"> de políticas que se están poniendo en práctica en Europa puede t</w:t>
      </w:r>
      <w:r w:rsidR="006152B3">
        <w:rPr>
          <w:color w:val="000000"/>
        </w:rPr>
        <w:t>ener efectos políticos adversos”, asegura Stiglitz.</w:t>
      </w:r>
    </w:p>
    <w:p w:rsidR="0043618B" w:rsidRPr="00682479" w:rsidRDefault="0043618B" w:rsidP="006152B3">
      <w:pPr>
        <w:pStyle w:val="NormalWeb"/>
        <w:shd w:val="clear" w:color="auto" w:fill="FFFFFF"/>
        <w:jc w:val="both"/>
        <w:rPr>
          <w:color w:val="000000"/>
        </w:rPr>
      </w:pPr>
      <w:r w:rsidRPr="00682479">
        <w:rPr>
          <w:color w:val="000000"/>
        </w:rPr>
        <w:t xml:space="preserve">Según </w:t>
      </w:r>
      <w:r w:rsidRPr="00682479">
        <w:rPr>
          <w:i/>
          <w:iCs/>
          <w:color w:val="000000"/>
        </w:rPr>
        <w:t>Bloomberg</w:t>
      </w:r>
      <w:r w:rsidRPr="00682479">
        <w:rPr>
          <w:color w:val="000000"/>
        </w:rPr>
        <w:t xml:space="preserve">, Estados Unidos es uno de los países de la OCDE en los que mayor desigualdad existe, sólo por detrás de Turquía y Chile. Mientras que en la eurozona,  España el país más desigual en lo que se refiera a la distribución de la renta. </w:t>
      </w:r>
    </w:p>
    <w:p w:rsidR="0043618B" w:rsidRDefault="0043618B" w:rsidP="006152B3">
      <w:pPr>
        <w:pStyle w:val="NormalWeb"/>
        <w:shd w:val="clear" w:color="auto" w:fill="FFFFFF"/>
        <w:jc w:val="both"/>
        <w:rPr>
          <w:color w:val="000000"/>
        </w:rPr>
      </w:pPr>
      <w:r w:rsidRPr="00682479">
        <w:rPr>
          <w:color w:val="000000"/>
        </w:rPr>
        <w:t>Para medir la desigualdad, se suele utilizar el Coeficiente de Gini, que mide el grado de desigualdad de la distribución del ingreso o la desigualdad de la riqueza en una región. Cuanto más se acerque al uno el resultado mayor será la desigualdad en el país. El Coeficiente de Gini en España es de 0,34, en EEUU de</w:t>
      </w:r>
      <w:r w:rsidR="006152B3">
        <w:rPr>
          <w:color w:val="000000"/>
        </w:rPr>
        <w:t xml:space="preserve"> 0,41, </w:t>
      </w:r>
      <w:r w:rsidRPr="00682479">
        <w:rPr>
          <w:color w:val="000000"/>
        </w:rPr>
        <w:t>en Sud</w:t>
      </w:r>
      <w:r w:rsidR="006152B3">
        <w:rPr>
          <w:color w:val="000000"/>
        </w:rPr>
        <w:t xml:space="preserve">áfrica de 0,63, en Dinamarca de </w:t>
      </w:r>
      <w:r w:rsidRPr="00682479">
        <w:rPr>
          <w:color w:val="000000"/>
        </w:rPr>
        <w:t>0,24, uno de los países con menor desigualdad en la distribución de la renta.</w:t>
      </w:r>
    </w:p>
    <w:p w:rsidR="006152B3" w:rsidRDefault="006152B3" w:rsidP="006152B3">
      <w:pPr>
        <w:pStyle w:val="NormalWeb"/>
        <w:shd w:val="clear" w:color="auto" w:fill="FFFFFF"/>
        <w:jc w:val="both"/>
        <w:rPr>
          <w:color w:val="000000"/>
        </w:rPr>
      </w:pPr>
      <w:r>
        <w:rPr>
          <w:color w:val="000000"/>
        </w:rPr>
        <w:t>¿Podrán sacar a la Unión Europea de su “inmovilidad suicida” los mismos (o parec</w:t>
      </w:r>
      <w:r w:rsidR="00B97A46">
        <w:rPr>
          <w:color w:val="000000"/>
        </w:rPr>
        <w:t>idos) líderes que la metieron en</w:t>
      </w:r>
      <w:r>
        <w:rPr>
          <w:color w:val="000000"/>
        </w:rPr>
        <w:t xml:space="preserve"> ella (por ignorancia, colusión, o debilidad</w:t>
      </w:r>
      <w:r w:rsidR="00B97A46">
        <w:rPr>
          <w:color w:val="000000"/>
        </w:rPr>
        <w:t>,</w:t>
      </w:r>
      <w:r>
        <w:rPr>
          <w:color w:val="000000"/>
        </w:rPr>
        <w:t xml:space="preserve"> ante los EEUU)? </w:t>
      </w:r>
    </w:p>
    <w:p w:rsidR="008C0EB9" w:rsidRDefault="00B97A46" w:rsidP="006152B3">
      <w:pPr>
        <w:pStyle w:val="NormalWeb"/>
        <w:shd w:val="clear" w:color="auto" w:fill="FFFFFF"/>
        <w:jc w:val="both"/>
        <w:rPr>
          <w:color w:val="000000"/>
        </w:rPr>
      </w:pPr>
      <w:r>
        <w:rPr>
          <w:color w:val="000000"/>
        </w:rPr>
        <w:t xml:space="preserve">¿Quién? El traidor Cameron, topo de los EEUU en la UE. El escandaloso Hollande, viajando de paquete en una </w:t>
      </w:r>
      <w:r w:rsidR="008C0EB9">
        <w:rPr>
          <w:color w:val="000000"/>
        </w:rPr>
        <w:t>sexo-</w:t>
      </w:r>
      <w:r>
        <w:rPr>
          <w:color w:val="000000"/>
        </w:rPr>
        <w:t>motocicleta. La acompleja Merkel</w:t>
      </w:r>
      <w:r w:rsidR="008C0EB9">
        <w:rPr>
          <w:color w:val="000000"/>
        </w:rPr>
        <w:t>,</w:t>
      </w:r>
      <w:r>
        <w:rPr>
          <w:color w:val="000000"/>
        </w:rPr>
        <w:t xml:space="preserve"> que toda</w:t>
      </w:r>
      <w:r w:rsidR="008C0EB9">
        <w:rPr>
          <w:color w:val="000000"/>
        </w:rPr>
        <w:t>vía está haciéndose perdonar su origen “ossi”. El ambicioso Renzi, que no logra meter la primera marcha. El pusilánime Rajoy, que no ha tomado ninguna medida en tres años.</w:t>
      </w:r>
    </w:p>
    <w:p w:rsidR="006E02DD" w:rsidRDefault="006E02DD" w:rsidP="006152B3">
      <w:pPr>
        <w:pStyle w:val="NormalWeb"/>
        <w:shd w:val="clear" w:color="auto" w:fill="FFFFFF"/>
        <w:jc w:val="both"/>
        <w:rPr>
          <w:color w:val="000000"/>
        </w:rPr>
      </w:pPr>
      <w:r>
        <w:rPr>
          <w:color w:val="000000"/>
        </w:rPr>
        <w:t>¿Quién? El resucitado</w:t>
      </w:r>
      <w:r w:rsidR="008C0EB9">
        <w:rPr>
          <w:color w:val="000000"/>
        </w:rPr>
        <w:t xml:space="preserve"> Sarkozy, el siempre listo Berlusconi,</w:t>
      </w:r>
      <w:r>
        <w:rPr>
          <w:color w:val="000000"/>
        </w:rPr>
        <w:t xml:space="preserve"> o</w:t>
      </w:r>
      <w:r w:rsidR="008C0EB9">
        <w:rPr>
          <w:color w:val="000000"/>
        </w:rPr>
        <w:t xml:space="preserve"> los políticos de la rabia: </w:t>
      </w:r>
      <w:r w:rsidRPr="006E02DD">
        <w:rPr>
          <w:color w:val="000000"/>
        </w:rPr>
        <w:t>Nigel Farage</w:t>
      </w:r>
      <w:r>
        <w:rPr>
          <w:color w:val="000000"/>
        </w:rPr>
        <w:t xml:space="preserve">, </w:t>
      </w:r>
      <w:r w:rsidR="008C0EB9">
        <w:rPr>
          <w:color w:val="000000"/>
        </w:rPr>
        <w:t>Marine Le Pen, Alexis Tsipras,</w:t>
      </w:r>
      <w:r>
        <w:rPr>
          <w:color w:val="000000"/>
        </w:rPr>
        <w:t xml:space="preserve"> Pablo Iglesias… “Apaga y vámonos”.</w:t>
      </w:r>
      <w:r w:rsidR="008C0EB9">
        <w:rPr>
          <w:color w:val="000000"/>
        </w:rPr>
        <w:t xml:space="preserve">  </w:t>
      </w:r>
    </w:p>
    <w:p w:rsidR="003545D1" w:rsidRDefault="006E02DD" w:rsidP="006E02DD">
      <w:pPr>
        <w:pStyle w:val="NormalWeb"/>
        <w:shd w:val="clear" w:color="auto" w:fill="FFFFFF"/>
        <w:jc w:val="both"/>
        <w:rPr>
          <w:color w:val="000000"/>
        </w:rPr>
      </w:pPr>
      <w:r>
        <w:rPr>
          <w:color w:val="000000"/>
        </w:rPr>
        <w:t xml:space="preserve">¿Iluminará el camino de la Unión Europea el “establishment” de Bruselas? </w:t>
      </w:r>
    </w:p>
    <w:p w:rsidR="00C73342" w:rsidRPr="006E02DD" w:rsidRDefault="003545D1" w:rsidP="006E02DD">
      <w:pPr>
        <w:pStyle w:val="NormalWeb"/>
        <w:shd w:val="clear" w:color="auto" w:fill="FFFFFF"/>
        <w:jc w:val="both"/>
        <w:rPr>
          <w:color w:val="000000"/>
        </w:rPr>
      </w:pPr>
      <w:r>
        <w:rPr>
          <w:color w:val="000000"/>
        </w:rPr>
        <w:t>V</w:t>
      </w:r>
      <w:r w:rsidR="006E02DD">
        <w:rPr>
          <w:color w:val="000000"/>
        </w:rPr>
        <w:t>eamos el “cielo protector” que nos ofrecen los burócratas de Eurolandia (largo rollo). En mi humilde opinión: un pedo cerebral.</w:t>
      </w:r>
      <w:r>
        <w:rPr>
          <w:color w:val="000000"/>
        </w:rPr>
        <w:t xml:space="preserve"> Luego volvemos a mi “Euro punto de vista”.</w:t>
      </w:r>
      <w:r w:rsidR="006E02DD">
        <w:rPr>
          <w:color w:val="000000"/>
        </w:rPr>
        <w:t xml:space="preserve"> </w:t>
      </w:r>
      <w:r w:rsidR="008C0EB9">
        <w:rPr>
          <w:color w:val="000000"/>
        </w:rPr>
        <w:t xml:space="preserve">  </w:t>
      </w:r>
      <w:r w:rsidR="00B97A46">
        <w:rPr>
          <w:color w:val="000000"/>
        </w:rPr>
        <w:t xml:space="preserve">   </w:t>
      </w:r>
      <w:r w:rsidR="00C73342" w:rsidRPr="00AD4C60">
        <w:rPr>
          <w:b/>
        </w:rPr>
        <w:lastRenderedPageBreak/>
        <w:t>Comunicación de la Comisión al Parlamento Europeo, al Consejo, al Comité Económico y Social Europeo y al Comité de las Regiones (5/3/14)</w:t>
      </w:r>
    </w:p>
    <w:p w:rsidR="00C73342" w:rsidRPr="00AD4C60" w:rsidRDefault="00C73342" w:rsidP="00C73342">
      <w:pPr>
        <w:spacing w:line="240" w:lineRule="auto"/>
        <w:jc w:val="both"/>
        <w:rPr>
          <w:rFonts w:ascii="Times New Roman" w:hAnsi="Times New Roman"/>
          <w:b/>
          <w:sz w:val="24"/>
          <w:szCs w:val="24"/>
        </w:rPr>
      </w:pPr>
      <w:r w:rsidRPr="00AD4C60">
        <w:rPr>
          <w:rFonts w:ascii="Times New Roman" w:hAnsi="Times New Roman"/>
          <w:b/>
          <w:sz w:val="24"/>
          <w:szCs w:val="24"/>
        </w:rPr>
        <w:t>Balance de la Estrategia Europa 2020 para un crecimiento inteligente, sostenible e integrador</w:t>
      </w:r>
    </w:p>
    <w:p w:rsidR="003545D1" w:rsidRPr="003545D1" w:rsidRDefault="003545D1" w:rsidP="003545D1">
      <w:pPr>
        <w:autoSpaceDE w:val="0"/>
        <w:autoSpaceDN w:val="0"/>
        <w:adjustRightInd w:val="0"/>
        <w:spacing w:after="0" w:line="240" w:lineRule="auto"/>
        <w:rPr>
          <w:rFonts w:ascii="Times New Roman" w:hAnsi="Times New Roman"/>
          <w:sz w:val="24"/>
          <w:szCs w:val="24"/>
        </w:rPr>
      </w:pPr>
      <w:r w:rsidRPr="003545D1">
        <w:rPr>
          <w:rFonts w:ascii="Times New Roman" w:hAnsi="Times New Roman"/>
          <w:b/>
          <w:bCs/>
          <w:sz w:val="24"/>
          <w:szCs w:val="24"/>
        </w:rPr>
        <w:t>Introducción</w:t>
      </w:r>
    </w:p>
    <w:p w:rsidR="003545D1" w:rsidRPr="00AD4C60" w:rsidRDefault="003545D1" w:rsidP="003545D1">
      <w:pPr>
        <w:autoSpaceDE w:val="0"/>
        <w:autoSpaceDN w:val="0"/>
        <w:adjustRightInd w:val="0"/>
        <w:spacing w:after="0" w:line="240" w:lineRule="auto"/>
        <w:rPr>
          <w:rFonts w:ascii="Times New Roman" w:hAnsi="Times New Roman"/>
          <w:sz w:val="16"/>
          <w:szCs w:val="16"/>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A principios de 2010, la Comisión propuso la Estrategia Europa 2020 con la intención de que fuera la estrategia de la UE para un crecimiento inteligente, sostenible e integrador. El objetivo era mejorar la competitividad de la UE, manteniendo su modelo de economía social de mercado y utilizando de manera mucho más eficiente sus recursos. En aquel momento, la Estrategia Europa 2020 fue pionera en la defensa de un modelo de crecimiento que fuera más allá del simple incremento del PIB. Hoy en día, numerosos organismos promueven el crecimiento inteligente, sostenible e integrador como elemento esencial del desarrollo económico.</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Estrategia Europa 2020 se puso en marcha en un contexto caracterizado por unos niveles de crecimiento y de productividad más bajos que los de otras economías desarrolladas y por el rápido deterioro del entorno económico y social, como consecuencia de la peor crisis financiera mundial vivida por la UE. Europa 2020 se nutre de la experiencia de la Estrategia de Lisboa para el crecimiento y el empleo, que dio sus primeros pasos en el año 2000, se revisó en 2005 y estuvo en vigor hasta 2010.</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El documento fundacional dejaba claro que la “prioridad a corto plazo (era) salir con éxito de la crisis”, pero que “para alcanzar un futuro sostenible”, la UE tenía que “subsanar sus deficiencias estructurales” y “ver más allá del corto plazo”. El objetivo era “salir fortalecidos de la crisis y convertir a la UE en una economía inteligente, sostenible e integradora con unos altos niveles de empleo, productividad y cohesión</w:t>
      </w:r>
      <w:r w:rsidR="00F46174">
        <w:rPr>
          <w:rFonts w:ascii="Times New Roman" w:hAnsi="Times New Roman"/>
          <w:sz w:val="24"/>
          <w:szCs w:val="24"/>
        </w:rPr>
        <w:t xml:space="preserve"> </w:t>
      </w:r>
      <w:r w:rsidRPr="00AD4C60">
        <w:rPr>
          <w:rFonts w:ascii="Times New Roman" w:hAnsi="Times New Roman"/>
          <w:sz w:val="24"/>
          <w:szCs w:val="24"/>
        </w:rPr>
        <w:t>Social”.</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Estrategia se concibió como una asociación entre la UE y sus Estados miembros, con una serie de objetivos centrados en las prioridades de un crecimiento inteligente, sostenible e integrador y con un mecanismo específico para ponerla en práctica. Se fijaron cinco objetivos principales, relacionados entre sí, en los ámbitos del empleo, la investigación y el desarrollo (I+D), el cambio climático y la energía, la educación y la lucha contra la pobreza y la exclusión social, que la UE debía alcanzar en 2020. Esos objetivos no eran exhaustivos, pero se consideraban representativos del tipo de cambio dinámico por el que abogaba la Estrategia.</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A fin de favorecer el progreso en toda la UE, la Comisión definió siete iniciativas emblemáticas, que incluían programas de trabajo específicos en ámbitos considerados como motores importantes del crecimiento. Además, la Estrategia ha servido de marco de referencia para la actuación de la UE en los ámbitos del mercado único, del presupuesto de la UE para el período 2014-2020 y de la política exterior de la UE.</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 xml:space="preserve">Cualquier revisión de la Estrategia Europa 2020 debe tener en cuenta la crisis económica y financiera de estos últimos años y las medidas adoptadas por la UE para hacerle frente (véase el recuadro 1). A medida que la crisis se iba propagando y adquiría nuevas formas, la UE se enfrentaba a un reto específico: romper el círculo vicioso compuesto por unos niveles de deuda soberana cada vez más elevados, una inestabilidad </w:t>
      </w:r>
      <w:r w:rsidRPr="00AD4C60">
        <w:rPr>
          <w:rFonts w:ascii="Times New Roman" w:hAnsi="Times New Roman"/>
          <w:sz w:val="24"/>
          <w:szCs w:val="24"/>
        </w:rPr>
        <w:lastRenderedPageBreak/>
        <w:t>financiera contagiosa y un crecimiento débil o incluso negativo. Fue necesario adoptar medidas tanto a corto plazo como más sistemáticas, especialmente dentro de la zona del euro, como, por ejemplo, la creación de una capacidad de préstamo para los países con dificultades financieras y el establecimiento de reglas más estrictas de gobernanza económica, así como una regulación y supervisión financieras reforzadas.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b/>
          <w:bCs/>
          <w:sz w:val="24"/>
          <w:szCs w:val="24"/>
        </w:rPr>
      </w:pPr>
      <w:r w:rsidRPr="00AD4C60">
        <w:rPr>
          <w:rFonts w:ascii="Times New Roman" w:hAnsi="Times New Roman"/>
          <w:b/>
          <w:bCs/>
          <w:sz w:val="24"/>
          <w:szCs w:val="24"/>
        </w:rPr>
        <w:t>Recuadro 1. Medidas adoptadas por la UE para superar la crisis financiera y económica, 2008-2013</w:t>
      </w:r>
    </w:p>
    <w:p w:rsidR="003545D1" w:rsidRPr="00AD4C60" w:rsidRDefault="003545D1" w:rsidP="003545D1">
      <w:pPr>
        <w:autoSpaceDE w:val="0"/>
        <w:autoSpaceDN w:val="0"/>
        <w:adjustRightInd w:val="0"/>
        <w:spacing w:after="0" w:line="240" w:lineRule="auto"/>
        <w:jc w:val="both"/>
        <w:rPr>
          <w:rFonts w:ascii="Times New Roman" w:hAnsi="Times New Roman"/>
          <w:b/>
          <w:b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noviembre de 2008, la Comisión puso en marcha un Plan Europeo de Recuperación</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Económica para aumentar las inversiones en infraestructuras y otros sectores clave y propuso que los Estados miembros coordinasen sus medidas nacionales de estímulo presupuestario. En su conjunto esas medidas ascendieron a doscientos mil millones EUR, esto es, el 1,5 % del PIB de la UE. Las normas sobre ayudas estatales y las normas sobre utilización de los fondos de la UE también se adaptaron para facilitar la movilización de fondos públicos.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Como la recuperación fue de corta duración y aumentaban los riesgos de que se propagara la deuda soberana y la crisis económica, financiera, se tomaron varias decisiones, entre las que cabe citar:</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 La creación de un mecanismo de resolución de crisis para mitigar el riesgo de contagio y la fragilidad financiera de los Estados miembros. En mayo de 2008 se establecieron dos mecanismos temporales de resolución de crisis: el Mecanismo Europeo de Estabilización Financiera (MEEF) y el Fondo Europeo de Estabilización Financiera (FEEF). En 2012, los Estados miembros de la zona del euro decidieron crear un mecanismo permanente de resolución de crisis y, en octubre de 2013, instauraron el Mecanismo Europeo de Estabilidad (MEE), con una capacidad financiera de 500 millones EUR. Además, se concedieron préstamos a los países con dificultades financieras.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 La UE emprendió una reforma importante y ambiciosa de su sistema financiero. Endureció la supervisión de los mercados financieros mediante la creación de un Sistema Europeo de Supervisores Financieros (SESF), compuesto por tres Comisiones Europeas de Supervisión sectoriales (AES) y un órgano de control macroprudencial, la Junta Europea de Riesgos Sistémicos (JERS). También se dieron pasos importantes hacia la “unión bancaria”, entre ellos el establecimiento de un mecanismo centralizado de supervisión bancaria, que entrará en funcionamiento a partir de noviembre de 2014, y un acuerdo sobre los medios para reestructurar y resolver las crisis de los bancos.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 xml:space="preserve">- La gobernanza económica de la UE se reforzó considerablemente gracias a la plena integración de los diversos componentes de supervisión económica y presupuestaria en el Semestre Europeo de coordinación de la política económica. En 2011, un conjunto de medidas legislativas5 estableció un nuevo procedimiento de desequilibrio macroeconómico (PDM) con objeto de evitar y corregir los desequilibrios económicos. También se reforzó el Pacto de Estabilidad y Crecimiento (PEC). En mayo de 2013 entró en vigor un conjunto complementario de reglamentos que preveía, entre otras cosas, el control previo por parte de la Comisión de los proyectos de planes presupuestarios de los Estados miembros de la zona del euro. En el Tratado de Estabilidad, Coordinación y Gobernanza en la Unión Económica y Monetaria (UEM), </w:t>
      </w:r>
      <w:r w:rsidRPr="00AD4C60">
        <w:rPr>
          <w:rFonts w:ascii="Times New Roman" w:hAnsi="Times New Roman"/>
          <w:sz w:val="24"/>
          <w:szCs w:val="24"/>
        </w:rPr>
        <w:lastRenderedPageBreak/>
        <w:t>los Estados miembros signatarios de la zona del euro (y algunos Estados miembros no pertenecientes a la zona del euro) se comprometieron a incorporar los principios básicos del PEC en sus ordenamientos jurídicos nacionales. En diciembre de 2013, el Consejo aprobó un nuevo cuadro de los indicadores clave en materia de empleo y social, cuadro que se integró en el informe conjunto sobre el empleo.</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Una crisis como la de los últimos años exigía una respuesta política inmediata y decidida que complementase los objetivos a largo plazo de la Estrategia Europa 2020. Tanto en sus estudios prospectivos anuales sobre el crecimiento, en los que establece las prioridades de la UE para el año siguiente, como en sus propuestas legislativas concretas o sus orientaciones específicas para cada país, la Comisión ha venido abogando por combinar un conjunto de medidas dirigidas a estabilizar el sector financiero con estrategias de recuperación, medidas de consolidación presupuestaria y reformas estructurales adaptadas a las necesidades de cada país, que tengan en cuenta la interdependencia de las economías de la UE.</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Con el fin de supervisar y hacer que avanzara la aplicación nacional de la Estrategia</w:t>
      </w:r>
      <w:r w:rsidR="00F46174">
        <w:rPr>
          <w:rFonts w:ascii="Times New Roman" w:hAnsi="Times New Roman"/>
          <w:sz w:val="24"/>
          <w:szCs w:val="24"/>
        </w:rPr>
        <w:t xml:space="preserve"> </w:t>
      </w:r>
      <w:r w:rsidRPr="00AD4C60">
        <w:rPr>
          <w:rFonts w:ascii="Times New Roman" w:hAnsi="Times New Roman"/>
          <w:sz w:val="24"/>
          <w:szCs w:val="24"/>
        </w:rPr>
        <w:t>Europa 2020, se invitó a los Estados miembros a establecer sus propios objetivos y prever acciones detalladas en sus programas nacionales. Estos programas se revisan todos los años a escala de la UE en el marco del Semestre Europeo de coordinación de la política económica. Concebido como una manera de reforzar la gobernanza económica de la UE, el primer Semestre Europeo, que se puso en marcha a comienzos de 2011, se consolidó rápidamente como el nuevo instrumento anual de orientación y supervisi</w:t>
      </w:r>
      <w:r w:rsidR="00F46174">
        <w:rPr>
          <w:rFonts w:ascii="Times New Roman" w:hAnsi="Times New Roman"/>
          <w:sz w:val="24"/>
          <w:szCs w:val="24"/>
        </w:rPr>
        <w:t>ón económica a escala de la UE</w:t>
      </w:r>
      <w:r w:rsidRPr="00AD4C60">
        <w:rPr>
          <w:rFonts w:ascii="Times New Roman" w:hAnsi="Times New Roman"/>
          <w:sz w:val="24"/>
          <w:szCs w:val="24"/>
        </w:rPr>
        <w:t>. De acuerdo con el planteamiento asociativo de la Estrategia se ha instaurado un dialogo regular con el Parlamento Europeo y las diferentes formaciones del Consejo.</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Cuatro años después del comienzo de la Estrategia Europa 2020, el objetivo de la presente Comunicación es hacer un balance de la misma</w:t>
      </w:r>
      <w:r w:rsidRPr="00AD4C60">
        <w:rPr>
          <w:rFonts w:ascii="Times New Roman" w:hAnsi="Times New Roman"/>
          <w:sz w:val="16"/>
          <w:szCs w:val="16"/>
        </w:rPr>
        <w:t>7</w:t>
      </w:r>
      <w:r w:rsidRPr="00AD4C60">
        <w:rPr>
          <w:rFonts w:ascii="Times New Roman" w:hAnsi="Times New Roman"/>
          <w:sz w:val="24"/>
          <w:szCs w:val="24"/>
        </w:rPr>
        <w:t>. Se espera que el Consejo Europeo mantenga un primer debate en su reunión de marzo de 2014, tras lo cual la Comisión pondrá en marcha una consulta pública con objeto de recabar la opinión de todas las partes interesadas para que le sirva de ayuda a la hora de concebir la estrategia para el período 2015-2020.</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b/>
          <w:sz w:val="24"/>
          <w:szCs w:val="24"/>
        </w:rPr>
      </w:pPr>
      <w:r w:rsidRPr="00AD4C60">
        <w:rPr>
          <w:rFonts w:ascii="Times New Roman" w:hAnsi="Times New Roman"/>
          <w:b/>
          <w:sz w:val="24"/>
          <w:szCs w:val="24"/>
        </w:rPr>
        <w:t>1 ¿En qué situación se encuentra Europa cuatro años después?</w:t>
      </w:r>
    </w:p>
    <w:p w:rsidR="003545D1" w:rsidRPr="00AD4C60" w:rsidRDefault="003545D1" w:rsidP="003545D1">
      <w:pPr>
        <w:autoSpaceDE w:val="0"/>
        <w:autoSpaceDN w:val="0"/>
        <w:adjustRightInd w:val="0"/>
        <w:spacing w:after="0" w:line="240" w:lineRule="auto"/>
        <w:jc w:val="both"/>
        <w:rPr>
          <w:rFonts w:ascii="Times New Roman" w:hAnsi="Times New Roman"/>
          <w:b/>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2009, la economía europea sufrió un golpe sin precedentes: su PIB registró una contracción del 4,5 %. La remisión del declive económico registrada en 2011 fue de corta duración y la tendencia negativa prosiguió en 2011 y 2012. Desde 2013 se atisba una recuperación gradual que debería continuar, previéndose un crecimiento del PIB real de la UE del 1,5 % en 2014 y del 2,0 % en 20158. Tras la media de la UE se esconden trayectorias de crecimiento diversas y experiencias muy diferentes durante la crisis, con países a los que la crisis ha afectado especialmente y otros que han salido mejor parados.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2010, año en que se puso en marcha la Estrategia Europa 2020, la duración e intensidad de la crisis aún no se conocían del todo. De cara a la década siguiente se contemplaron diversas hipótesis, que iban de la vuelta a un crecimiento “fuerte” a una</w:t>
      </w:r>
      <w:r w:rsidR="00F46174">
        <w:rPr>
          <w:rFonts w:ascii="Times New Roman" w:hAnsi="Times New Roman"/>
          <w:sz w:val="24"/>
          <w:szCs w:val="24"/>
        </w:rPr>
        <w:t xml:space="preserve"> </w:t>
      </w:r>
      <w:r w:rsidRPr="00AD4C60">
        <w:rPr>
          <w:rFonts w:ascii="Times New Roman" w:hAnsi="Times New Roman"/>
          <w:sz w:val="24"/>
          <w:szCs w:val="24"/>
        </w:rPr>
        <w:t xml:space="preserve">“tibia” recuperación o, incluso, al peligro de una “década perdida”. Que fuera una u otra </w:t>
      </w:r>
      <w:r w:rsidRPr="00AD4C60">
        <w:rPr>
          <w:rFonts w:ascii="Times New Roman" w:hAnsi="Times New Roman"/>
          <w:sz w:val="24"/>
          <w:szCs w:val="24"/>
        </w:rPr>
        <w:lastRenderedPageBreak/>
        <w:t>dependía en gran medida de la capacidad de la UE para salir rápidamente y reforzada de la recesión de 2009.</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noProof/>
          <w:sz w:val="24"/>
          <w:szCs w:val="24"/>
          <w:lang w:eastAsia="es-ES"/>
        </w:rPr>
        <w:drawing>
          <wp:inline distT="0" distB="0" distL="0" distR="0" wp14:anchorId="7B4E4738" wp14:editId="050F2609">
            <wp:extent cx="5397500" cy="300990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397500" cy="3009900"/>
                    </a:xfrm>
                    <a:prstGeom prst="rect">
                      <a:avLst/>
                    </a:prstGeom>
                    <a:noFill/>
                    <a:ln>
                      <a:noFill/>
                    </a:ln>
                  </pic:spPr>
                </pic:pic>
              </a:graphicData>
            </a:graphic>
          </wp:inline>
        </w:drawing>
      </w:r>
    </w:p>
    <w:p w:rsidR="003545D1" w:rsidRPr="00AD4C60" w:rsidRDefault="003545D1" w:rsidP="003545D1">
      <w:pPr>
        <w:autoSpaceDE w:val="0"/>
        <w:autoSpaceDN w:val="0"/>
        <w:adjustRightInd w:val="0"/>
        <w:spacing w:after="0" w:line="240" w:lineRule="auto"/>
        <w:jc w:val="both"/>
        <w:rPr>
          <w:rFonts w:ascii="Times New Roman" w:hAnsi="Times New Roman"/>
          <w:color w:val="000000"/>
          <w:sz w:val="24"/>
          <w:szCs w:val="24"/>
        </w:rPr>
      </w:pPr>
      <w:r w:rsidRPr="00AD4C60">
        <w:rPr>
          <w:rFonts w:ascii="Times New Roman" w:hAnsi="Times New Roman"/>
          <w:color w:val="000000"/>
          <w:sz w:val="24"/>
          <w:szCs w:val="24"/>
        </w:rPr>
        <w:t>Cuatro años después, parece evidente que lo más probable es que la trayectoria de crecimiento de la UE en el período 2010-2020 se acerque más a la segunda hipótesis (es decir, alrededor del 1,3 % anual). Tal como indica el diagrama 1, se espera que, en 2014, la producción económica de la UE se sitúe al mismo nivel que en 2008 y que la recuperación en curso compense las pérdidas provocadas por la recesión. Sin embargo, la crisis tiene efectos tanto a corto como a largo plazo: ya ha costado a Europa una pérdida de riqueza y ha minado su potencial de crecimiento futuro, habiéndose perdido puestos de trabajo, empresas y conocimientos.</w:t>
      </w:r>
    </w:p>
    <w:p w:rsidR="003545D1" w:rsidRPr="00AD4C60" w:rsidRDefault="003545D1" w:rsidP="003545D1">
      <w:pPr>
        <w:autoSpaceDE w:val="0"/>
        <w:autoSpaceDN w:val="0"/>
        <w:adjustRightInd w:val="0"/>
        <w:spacing w:after="0" w:line="240" w:lineRule="auto"/>
        <w:jc w:val="both"/>
        <w:rPr>
          <w:rFonts w:ascii="Times New Roman" w:hAnsi="Times New Roman"/>
          <w:color w:val="000000"/>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color w:val="000000"/>
          <w:sz w:val="24"/>
          <w:szCs w:val="24"/>
        </w:rPr>
      </w:pPr>
      <w:r w:rsidRPr="00AD4C60">
        <w:rPr>
          <w:rFonts w:ascii="Times New Roman" w:hAnsi="Times New Roman"/>
          <w:color w:val="000000"/>
          <w:sz w:val="24"/>
          <w:szCs w:val="24"/>
        </w:rPr>
        <w:t>Según las últimas previsiones</w:t>
      </w:r>
      <w:r w:rsidRPr="00AD4C60">
        <w:rPr>
          <w:rFonts w:ascii="Times New Roman" w:hAnsi="Times New Roman"/>
          <w:color w:val="000000"/>
          <w:sz w:val="16"/>
          <w:szCs w:val="16"/>
        </w:rPr>
        <w:t>10</w:t>
      </w:r>
      <w:r w:rsidRPr="00AD4C60">
        <w:rPr>
          <w:rFonts w:ascii="Times New Roman" w:hAnsi="Times New Roman"/>
          <w:color w:val="000000"/>
          <w:sz w:val="24"/>
          <w:szCs w:val="24"/>
        </w:rPr>
        <w:t xml:space="preserve">, el crecimiento del PIB anual de la UE podría rondar el 1,6 % en el período 2014-2020, frente al 2,3 % registrado en el período 2001-2007 (antes de la crisis). El crecimiento anual medio de la UE, expresado en términos de PIB </w:t>
      </w:r>
      <w:r w:rsidRPr="00AD4C60">
        <w:rPr>
          <w:rFonts w:ascii="Times New Roman" w:hAnsi="Times New Roman"/>
          <w:i/>
          <w:iCs/>
          <w:color w:val="000000"/>
          <w:sz w:val="24"/>
          <w:szCs w:val="24"/>
        </w:rPr>
        <w:t>per cápita</w:t>
      </w:r>
      <w:r w:rsidRPr="00AD4C60">
        <w:rPr>
          <w:rFonts w:ascii="Times New Roman" w:hAnsi="Times New Roman"/>
          <w:color w:val="000000"/>
          <w:sz w:val="24"/>
          <w:szCs w:val="24"/>
        </w:rPr>
        <w:t>, sería del orden del 0,9 % en el período 2014-2020, frente al 1,8 % en el período 2001-2007.</w:t>
      </w:r>
    </w:p>
    <w:p w:rsidR="003545D1" w:rsidRPr="00AD4C60" w:rsidRDefault="003545D1" w:rsidP="003545D1">
      <w:pPr>
        <w:autoSpaceDE w:val="0"/>
        <w:autoSpaceDN w:val="0"/>
        <w:adjustRightInd w:val="0"/>
        <w:spacing w:after="0" w:line="240" w:lineRule="auto"/>
        <w:jc w:val="both"/>
        <w:rPr>
          <w:rFonts w:ascii="Times New Roman" w:hAnsi="Times New Roman"/>
          <w:color w:val="000000"/>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color w:val="000000"/>
          <w:sz w:val="24"/>
          <w:szCs w:val="24"/>
        </w:rPr>
        <w:t xml:space="preserve">Un primer paso esencial a la hora de concebir la estrategia de crecimiento postcrisis de la UE es comprender con claridad todos los efectos de la crisis y compartir el mismo diagnóstico sobre la situación actual de la UE. A tal efecto, es importante tener </w:t>
      </w:r>
      <w:r w:rsidRPr="00AD4C60">
        <w:rPr>
          <w:rFonts w:ascii="Times New Roman" w:hAnsi="Times New Roman"/>
          <w:sz w:val="24"/>
          <w:szCs w:val="24"/>
        </w:rPr>
        <w:t>en cuenta que intentar volver al “modelo” de crecimiento de la década anterior sería tan ilusorio como perjudicial: desequilibrios presupuestarios burbujas inmobiliarias; aumento de las desigualdades sociales; falta de espíritu empresarial e innovación; disfunción de los sistemas financieros; aumento de la dependencia energética; múltiples presiones sobre los recursos y el medio ambiente; aumento pronunciado del desempleo; sistemas de educación y formación deficientes ; administraciones públicas poco eficaces   -fueron fenómenos que se detectaron, pero que no se solucionaron en el pasado. Todos ellos contribuyeron al colapso de partes de nuestras economías cuando la crisis se hizo sentir en toda su dureza.</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 xml:space="preserve">Más allá de las cifras principales sobre el PIB, también es esencial observar, y a veces redescubrir, las tendencias subyacentes y los cambios estructurales que determinan la </w:t>
      </w:r>
      <w:r w:rsidRPr="00AD4C60">
        <w:rPr>
          <w:rFonts w:ascii="Times New Roman" w:hAnsi="Times New Roman"/>
          <w:sz w:val="24"/>
          <w:szCs w:val="24"/>
        </w:rPr>
        <w:lastRenderedPageBreak/>
        <w:t>capacidad de Europa para crecer. Por este motivo, conocer y estimular los factores que favorecen el logro de los objetivos de Europa 2020 reviste, asimismo, una importancia vital.</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pStyle w:val="Prrafodelista"/>
        <w:numPr>
          <w:ilvl w:val="1"/>
          <w:numId w:val="18"/>
        </w:numPr>
        <w:autoSpaceDE w:val="0"/>
        <w:autoSpaceDN w:val="0"/>
        <w:adjustRightInd w:val="0"/>
        <w:spacing w:after="0" w:line="240" w:lineRule="auto"/>
        <w:jc w:val="both"/>
        <w:rPr>
          <w:rFonts w:ascii="Times New Roman" w:hAnsi="Times New Roman"/>
          <w:b/>
          <w:bCs/>
          <w:sz w:val="24"/>
          <w:szCs w:val="24"/>
        </w:rPr>
      </w:pPr>
      <w:r w:rsidRPr="00AD4C60">
        <w:rPr>
          <w:rFonts w:ascii="Times New Roman" w:hAnsi="Times New Roman"/>
          <w:b/>
          <w:bCs/>
          <w:sz w:val="24"/>
          <w:szCs w:val="24"/>
        </w:rPr>
        <w:t>Efectos de la crisis</w:t>
      </w:r>
    </w:p>
    <w:p w:rsidR="003545D1" w:rsidRPr="00AD4C60" w:rsidRDefault="003545D1" w:rsidP="003545D1">
      <w:pPr>
        <w:pStyle w:val="Prrafodelista"/>
        <w:autoSpaceDE w:val="0"/>
        <w:autoSpaceDN w:val="0"/>
        <w:adjustRightInd w:val="0"/>
        <w:spacing w:after="0" w:line="240" w:lineRule="auto"/>
        <w:ind w:left="420"/>
        <w:jc w:val="both"/>
        <w:rPr>
          <w:rFonts w:ascii="Times New Roman" w:hAnsi="Times New Roman"/>
          <w:b/>
          <w:b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Incertidumbre sobre la sostenibilidad de las finanzas públicas y privadas</w:t>
      </w: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media de los déficits públicos de la UE que llegó a ser del 6,5 % del PIB en 2010 debería, en principio, disminuir hasta el 2,7 % en 2015. Esta previsión refleja los denodados esfuerzos realizados por varios Estados miembros, en particular en 2011 y 2012, para restablecer la sostenibilidad de sus finanzas públicas. Sin embargo, como consecuencia de la acumulación de déficits y de la ralentización del crecimiento, los niveles de la deuda soberana han aumentado notablemente, pasando de una media del 60 % del PIB antes de la crisis al 80 % en 2010 y, probablemente, al 89,5 % en 2015. Con la vuelta al crecimiento y la reducción de los déficits, se espera que la deuda pública bruta comience a disminuir en 2015. La mejora de la calidad del gasto público, un mayor énfasis en la eficiencia de las administraciones públicas y el establecimiento de unos sistemas fiscales que favorezcan en mayor medida el crecimiento, por ejemplo, desplazando la carga fiscal desde el trabajo hacia otras formas de fiscalidad que graven el consumo, la propiedad y la contaminación, serán cada vez más importantes a la hora preservar y configurar el futuro de los modelos social y de crecimiento de la UE.</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deuda privada -hogares y empresa- alcanzó también un nivel altísimo en algunos países antes de la crisis, nivel que subió aún más como consecuencia de esta. La reducción de la exposición a los riesgos financieros es una prioridad para muchos de los operadores económicos privados. No obstante, puede tener el efecto secundario desfavorable de ralentizar el crecimiento durante algún tiempo, particularmente en un contexto de bajo crecimiento y baja inflación.</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Persistencia de un acceso limitado a la financiación en algunas partes de la UE, pese a una cierta estabilización</w:t>
      </w: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situación general de los mercados financieros ha evolucionado de manera positiva en los últimos meses, aunque esa evolución aún tiene que hacerse sentir en la economía real; además persisten algunas de las debilidades del sector financiero. Tras 24 trimestres sucesivos de restricción, que comenzaron en 2008, la concesión de préstamos bancarios a las pequeñas y medianas empresas (PYME), ha comenzado a dar los primeros signos de relajación en el primer trimestre de 2014. No obstante, el acceso a la financiación sigue siendo un problema en amplias zonas de la UE y varía de unos Estados miembros a otros, lo que parece indicar un problema de fragmentación del mercado.</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Aumento de los niveles de desempleo y pobreza</w:t>
      </w: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tasa de desempleo ha aumentado considerablemente en Europa como consecuencia de la crisis, pasando de un 7,1 % en 2008 a su nivel máximo del 10,9 % en 2013. Habida cuenta del lapso de tiempo que media entre recuperación y creación neta de empleo, se espera que el desempleo disminuya solo ligeramente en un futuro próximo</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(10,4 % en 2015).</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lastRenderedPageBreak/>
        <w:t>Con el paso del tiempo el problema se ha enquistado. El desempleo de larga duración</w:t>
      </w:r>
      <w:r w:rsidR="00F46174">
        <w:rPr>
          <w:rFonts w:ascii="Times New Roman" w:hAnsi="Times New Roman"/>
          <w:sz w:val="24"/>
          <w:szCs w:val="24"/>
        </w:rPr>
        <w:t xml:space="preserve"> </w:t>
      </w:r>
      <w:r w:rsidRPr="00AD4C60">
        <w:rPr>
          <w:rFonts w:ascii="Times New Roman" w:hAnsi="Times New Roman"/>
          <w:sz w:val="24"/>
          <w:szCs w:val="24"/>
        </w:rPr>
        <w:t>-es decir, el porcentaje de población activa en paro desde hace más de un año- creció un 2,1 % entre 2008 y 2012 (del 2,6 % al 4,7 %). Este dato puede indicar un aumento del nivel de desempleo estructural, que tiene graves consecuencias para la mano de obra y el potencial de crecimiento de la economía, y también para el tejido social y político de la UE - especialmente en términos de aumento de los niveles de pobreza y exclusión social.</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situación varía considerablemente según el país o la región de que se trate, con tasas de desempleo que, en 2013, oscilaban entre el 5,0 % en Austria y el 27,6 % en Grecia. Aunque el desempleo de larga duración afecta a todos los grupos de edad, la situación es especialmente difícil en el caso de las personas de más de 55 años y en el de los jóvenes, con tasas de desempleo juvenil -el porcentaje de jóvenes desempleados con una edad comprendida entre 15 y 24 años- que, en 2013, ascendió al 23,3 % de media en la UE, y nada menos que al 59,2 % en Grecia y al 55,7 % en España. El aumento del porcentaje de jóvenes que ni estudian, ni trabajan, ni siguen una formación (generación “ni-ni”), que alcanzó el 13,2 % en 2012, es otra fuente de preocupación importante.</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Diversidad de situaciones en la UE</w:t>
      </w: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Aunque ya existían diferencias significativas en la UE antes de la crisis, la gravedad de esta ha puesto al descubierto una serie de desequilibrios que se han ido acumulando con el paso de los años. La crisis ha ampliado las diferencias entre Estados miembros y, a menudo, también las diferencias dentro de ellos. Distinguir entre tendencias cíclicas y estructurales es especialmente difícil cuando las circunstancias son extremadamente adversas, y existe el peligro de que algunos de los efectos de la crisis se dejen sentir durante bastante tiempo. Uno de estos es que se agudicen las diferencias en la UE en términos de situación y resultados económicos. Esa diversidad se hace también evidente cuando se analizan los progresos hacia los objetivos de la Estrategia Europa 2020).</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pStyle w:val="Prrafodelista"/>
        <w:numPr>
          <w:ilvl w:val="1"/>
          <w:numId w:val="18"/>
        </w:numPr>
        <w:autoSpaceDE w:val="0"/>
        <w:autoSpaceDN w:val="0"/>
        <w:adjustRightInd w:val="0"/>
        <w:spacing w:after="0" w:line="240" w:lineRule="auto"/>
        <w:jc w:val="both"/>
        <w:rPr>
          <w:rFonts w:ascii="Times New Roman" w:hAnsi="Times New Roman"/>
          <w:b/>
          <w:bCs/>
          <w:sz w:val="24"/>
          <w:szCs w:val="24"/>
        </w:rPr>
      </w:pPr>
      <w:r w:rsidRPr="00AD4C60">
        <w:rPr>
          <w:rFonts w:ascii="Times New Roman" w:hAnsi="Times New Roman"/>
          <w:b/>
          <w:bCs/>
          <w:sz w:val="24"/>
          <w:szCs w:val="24"/>
        </w:rPr>
        <w:t>Tendencias a largo plazo que afectan al crecimiento</w:t>
      </w:r>
    </w:p>
    <w:p w:rsidR="003545D1" w:rsidRPr="00AD4C60" w:rsidRDefault="003545D1" w:rsidP="003545D1">
      <w:pPr>
        <w:pStyle w:val="Prrafodelista"/>
        <w:autoSpaceDE w:val="0"/>
        <w:autoSpaceDN w:val="0"/>
        <w:adjustRightInd w:val="0"/>
        <w:spacing w:after="0" w:line="240" w:lineRule="auto"/>
        <w:ind w:left="420"/>
        <w:jc w:val="both"/>
        <w:rPr>
          <w:rFonts w:ascii="Times New Roman" w:hAnsi="Times New Roman"/>
          <w:b/>
          <w:b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Desde sus inicios, la Estrategia Europa 2020 pretende abordar los retos a largo plazo a los que se enfrenta la UE. Algunos de estos retos se pusieron claramente de manifiesto durante la crisis, a otros quizás no se les haya prestado suficiente atención debido a la existencia de otras muchas cuestiones apremiantes a nivel político. La mayor parte de los retos señalados en 2010 no han desaparecido y algunos incluso se han intensificado.</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Los cambios sociales</w:t>
      </w: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p>
    <w:p w:rsidR="00F46174"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la transformación de la sociedad europea intervienen factores endógenos y exógenos a los que todos nos estamos adaptando: nuevos estilos de vida tanto en la ciudad como en las zonas rurales, nuevos hábitos de consumo y de movilidad, nuevos y más diversos entornos familiares, una presencia cada vez mayor de la tecnología en la vida diaria, etc.</w:t>
      </w:r>
    </w:p>
    <w:p w:rsidR="003545D1"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 xml:space="preserve">Dos tendencias, en particular, marcarán la Estrategia Europa 2020. </w:t>
      </w:r>
    </w:p>
    <w:p w:rsidR="00F46174" w:rsidRPr="00AD4C60" w:rsidRDefault="00F46174"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 xml:space="preserve">En primer lugar, el envejecimiento de la población europea crea un nuevo contexto, en el que se plantean tanto oportunidades como desafíos. El envejecimiento de la población es un fenómeno gradual, pero muy tangible: la edad media en Europa -es decir, la edad que divide la población en dos mitades- pasó de 37,5 años en 1992 a 41,5 en 2012 y </w:t>
      </w:r>
      <w:r w:rsidRPr="00AD4C60">
        <w:rPr>
          <w:rFonts w:ascii="Times New Roman" w:hAnsi="Times New Roman"/>
          <w:sz w:val="24"/>
          <w:szCs w:val="24"/>
        </w:rPr>
        <w:lastRenderedPageBreak/>
        <w:t>podría alcanzar 52,3 años en 2050. Se prevé que la población con 65 o más años se duplicará en la UE de 1990 a 2050.</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El envejecimiento de la población tiene una enorme influencia en la sociedad y en la economía europea. La migración neta es y será necesaria habida cuenta de la evolución demográfica. La migración neta supera el crecimiento natural de la población (la diferencia entre nacimientos y muertes) desde 1992 y actualmente representa dos tercios del crecimiento de la población europea. La dependencia económica -la relación entre el número de personas sin empleo y quienes trabajan- se espera que pase de 1,32 en 2010 a 1,47 en 2030: La dependencia de las personas de edad avanzada planteará retos sin precedentes en lo tocante a la adecuación social y la viabilidad financiera de los sistemas de protección social. La población en edad de trabajar está en declive y se nutrirá, cada vez más, de trabajadores de mayor edad. Ello limitará el potencial de crecimiento de Europa, a menos que la UE sea capaz de dar empleo a un mayor número de personas y lograr que estas trabajen de manera más productiva y durante más tiempo, en consonancia con el aumento de la esperanza de vida con buena salud.</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segundo lugar, la crisis ha puesto de relieve el sempiterno asunto de si la riqueza generada por el crecimiento es eficaz y se distribuye equitativamente. Aunque, en general, en Europa el PIB y la riqueza han seguido creciendo, las desigualdades también lo han hecho -como en otros países desarrollados- desde mediados de la década de los ochenta del siglo pasado. En la UE se dan actualmente grandes desigualdades en la distribución de los ingresos; por ejemplo, en 2012, el 20 % con mayores ingresos ganó, de media, 5,1 veces más que el 20 % con menos ingresos.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Esta ratio varía de forma significativa dentro de la UE, yendo de 3,4 en Eslovenia, y</w:t>
      </w:r>
      <w:r w:rsidR="008E217C">
        <w:rPr>
          <w:rFonts w:ascii="Times New Roman" w:hAnsi="Times New Roman"/>
          <w:sz w:val="24"/>
          <w:szCs w:val="24"/>
        </w:rPr>
        <w:t xml:space="preserve"> </w:t>
      </w:r>
      <w:r w:rsidRPr="00AD4C60">
        <w:rPr>
          <w:rFonts w:ascii="Times New Roman" w:hAnsi="Times New Roman"/>
          <w:sz w:val="24"/>
          <w:szCs w:val="24"/>
        </w:rPr>
        <w:t>3,5 en la República Checa, a más de 6,0 en Grecia, Rumanía, Letonia y Bulgaria, alcanzando su máximo, 7,2, en España. Se cree que la crisis ha hecho crecer las desigualdades y limitado aún más el efecto de los sistemas redistributivos. Por su parte, la cuestión de la equidad de la distribución de la riqueza supone una dificultad añadida a la hora de abordar los retos a los que se enfrentan las economías europeas.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Mundialización y comercio</w:t>
      </w: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UE es el principal exportador y el mayor operador comercial del mundo. También es el mayor proveedor de servicios a escala mundial, conservando un gran potencial de crecimiento en este ámbito. Se calcula que, en los próximos quince o veinte años, el 90 % del crecimiento mundial se generará fuera de la UE, por lo que la esta tiene el máximo interés en velar por que sus empresas sigan siendo muy competitivas y puedan acceder a nuevos mercados y beneficiarse de estas fuentes de crecimiento.</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mundialización no consiste únicamente en facilitar el comercio y los intercambios.</w:t>
      </w:r>
      <w:r w:rsidR="00F46174">
        <w:rPr>
          <w:rFonts w:ascii="Times New Roman" w:hAnsi="Times New Roman"/>
          <w:sz w:val="24"/>
          <w:szCs w:val="24"/>
        </w:rPr>
        <w:t xml:space="preserve"> </w:t>
      </w:r>
      <w:r w:rsidRPr="00AD4C60">
        <w:rPr>
          <w:rFonts w:ascii="Times New Roman" w:hAnsi="Times New Roman"/>
          <w:sz w:val="24"/>
          <w:szCs w:val="24"/>
        </w:rPr>
        <w:t>Se trata de acceder a cadenas de valor mundiales y de suministrar productos, servicios</w:t>
      </w:r>
      <w:r w:rsidR="00F46174">
        <w:rPr>
          <w:rFonts w:ascii="Times New Roman" w:hAnsi="Times New Roman"/>
          <w:sz w:val="24"/>
          <w:szCs w:val="24"/>
        </w:rPr>
        <w:t xml:space="preserve"> </w:t>
      </w:r>
      <w:r w:rsidRPr="00AD4C60">
        <w:rPr>
          <w:rFonts w:ascii="Times New Roman" w:hAnsi="Times New Roman"/>
          <w:sz w:val="24"/>
          <w:szCs w:val="24"/>
        </w:rPr>
        <w:t>y tecnologías que ningún país es capaz de producir por sí solo. Se trata, también, de crear las condiciones que propicien una asociación equilibrada y el desarrollo de todos los países, empezando por los países vecinos de Europa.</w:t>
      </w:r>
    </w:p>
    <w:p w:rsidR="00F46174" w:rsidRPr="00AD4C60" w:rsidRDefault="00F46174"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 xml:space="preserve">La capacidad de la UE para competir a nivel internacional empieza dentro de sus fronteras. La UE se beneficia considerablemente de su integración en la economía mundial, que se asienta en su propio mercado interior: dos tercios del comercio de </w:t>
      </w:r>
      <w:r w:rsidRPr="00AD4C60">
        <w:rPr>
          <w:rFonts w:ascii="Times New Roman" w:hAnsi="Times New Roman"/>
          <w:sz w:val="24"/>
          <w:szCs w:val="24"/>
        </w:rPr>
        <w:lastRenderedPageBreak/>
        <w:t>mercancías de la UE se lleva a cabo dentro de ellas. Por lo tanto, el éxito generalizado de las empresas europeas en el comercio internacional se debe no solo a su fortaleza a nivel nacional, sino también a la implicación, a través de las cadenas de valor internacionales, de proveedores establecidos en otros países de la UE, que contribuyen de manera importante a su competitividad. Además, existen pruebas que demuestran que las PYME que operan en los mercados internacionales son más innovadoras y crecen más deprisa que las que circunscriben sus actividades a los mercados locales.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Durante la crisis, el comercio ha sido para la UE un motor de crecimiento y le ha permitido mantener una posición sólida en los mercados mundiales. Se espera que, en 2015, a pesar de su gran dependencia de las importaciones de energía, la economía de la UE registre un superávit en su balanza por cuenta corriente de aproximadamente el 1,5 % del PIB (teniendo en cuenta el comercio intra-UE), frente a un déficit del 0,5 %</w:t>
      </w:r>
      <w:r w:rsidR="00F46174">
        <w:rPr>
          <w:rFonts w:ascii="Times New Roman" w:hAnsi="Times New Roman"/>
          <w:sz w:val="24"/>
          <w:szCs w:val="24"/>
        </w:rPr>
        <w:t xml:space="preserve"> </w:t>
      </w:r>
      <w:r w:rsidRPr="00AD4C60">
        <w:rPr>
          <w:rFonts w:ascii="Times New Roman" w:hAnsi="Times New Roman"/>
          <w:sz w:val="24"/>
          <w:szCs w:val="24"/>
        </w:rPr>
        <w:t>del PIB en 2010. Esta tendencia también refleja el hecho de que muchos Estados miembros han conseguido recuperar competitividad y aumentar sus exportaciones.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Evolución de la productividad y uso de las tecnologías de la información y la comunicación (TIC)</w:t>
      </w: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los últimos treinta años el crecimiento de Europa ha ido perdiendo fuelle en comparación con el de otras economías avanzadas y la diferencia cada vez mayor que los separa se debe en gran medida al débil crecimiento de su productividad. La producción de la zona del euro llegó a equivaler al 90 % del PIB per cápita de Estados Unidos en 1980, aunque en la actualidad se sitúa en torno al 70 %, y en el caso de varias de las economías de la zona del euro no llega al 60 %. Con frecuencia se afirma que una reforma de los mercados de productos, servicios y de trabajo bien calibrada y escalonada a las necesidades de la economía, podría bastar para desencadenar un aumento importante de la productividad a largo plazo. Los beneficios serían mayores en los países de la periferia debido a que en ellos la reforma sería más amplia y también a sus efectos colaterales positivos en el núcleo de la zona del euro. Mejorar la calidad del capital humano y el rendimiento de la investigación, los sistemas de educación y formación y su capacidad para estimular la innovación es también clave para fomentar la productividad. El envejecimiento de la población europea y la disminución de la población en edad laboral hace aún más acuciante la necesidad de estimular el aumento de la productividad como fuente de crecimiento futuro.</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Las comunicaciones electrónicas modernas y los servicios en línea, en particular la administración electrónica, son, por derecho propio, sectores económicos importantes, pero también motores cruciales del crecimiento y la productividad de la economía en su conjunto. El hecho de que Europa invierta menos en TIC y las utilice también menos justifica en buena medida la diferencia de productividad de la mano de obra d</w:t>
      </w:r>
      <w:r w:rsidR="00F46174">
        <w:rPr>
          <w:rFonts w:ascii="Times New Roman" w:hAnsi="Times New Roman"/>
          <w:sz w:val="24"/>
          <w:szCs w:val="24"/>
        </w:rPr>
        <w:t>e la UE con respecto a la de EE</w:t>
      </w:r>
      <w:r w:rsidRPr="00AD4C60">
        <w:rPr>
          <w:rFonts w:ascii="Times New Roman" w:hAnsi="Times New Roman"/>
          <w:sz w:val="24"/>
          <w:szCs w:val="24"/>
        </w:rPr>
        <w:t>UU. La inversión de la UE en infraestructuras de comunicación de vanguardia también queda lejos de la de sus principales competidores, especialmente en lo que se refiere a las infraestructuras de telefonía móvil. La velocidad media de transmisión de datos a través de telefonía móvil en la UE es la mitad de la de los Estados Unidos</w:t>
      </w:r>
      <w:r w:rsidRPr="00AD4C60">
        <w:rPr>
          <w:rFonts w:ascii="Times New Roman" w:hAnsi="Times New Roman"/>
          <w:sz w:val="16"/>
          <w:szCs w:val="16"/>
        </w:rPr>
        <w:t xml:space="preserve"> </w:t>
      </w:r>
      <w:r w:rsidRPr="00AD4C60">
        <w:rPr>
          <w:rFonts w:ascii="Times New Roman" w:hAnsi="Times New Roman"/>
          <w:sz w:val="24"/>
          <w:szCs w:val="24"/>
        </w:rPr>
        <w:t xml:space="preserve">y Europa aporta solo con el 6 % de los abonados de telefonía móvil de 4G. En Corea del Sur, el 58 % de los hogares están conectados por fibra óptica frente a solo un 5 % en Europa. Un 54 % de los hogares europeos tienen acceso a las redes de nueva generación, capaz de ofrecer 30 Mbps. En la nueva economía basada en la </w:t>
      </w:r>
      <w:r w:rsidRPr="00AD4C60">
        <w:rPr>
          <w:rFonts w:ascii="Times New Roman" w:hAnsi="Times New Roman"/>
          <w:sz w:val="24"/>
          <w:szCs w:val="24"/>
        </w:rPr>
        <w:lastRenderedPageBreak/>
        <w:t>información, la presencia de empresas europeas en la cadena de valor es prácticamente inexistente.</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Presión sobre los recursos y problemas ambientales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A lo largo del siglo XX, la utilización de combustibles fósiles en el mundo se multiplicó por doce y la extracción de recursos materiales por treinta y cuatro. Cada ciudadano de la Unión Europea consume hoy en día quince toneladas de materiales al año, de las cuales cinco se desechan, descargándose la mitad en vertederos. Las empresas se enfrentan al aumento de los costes de las materias primas, la energía y los minerales esenciales y la falta de seguridad del abastecimiento y la volatilidad de los precios tienen efectos perjudiciales sobre la economía. Las fuentes de minerales, metales y energía, así como las reservas pesqueras, la madera, el agua, los suelos fértiles, el aire limpio, la biomasa y la biodiversidad, están sometidos a presión, y lo mismo puede decirse de la estabilidad del sistema climático. Mientras la demanda de alimentos, piensos y fibra podría aumentar en un 70 % de aquí a 2050, el 60 % de los principales ecosistemas del mundo que contribuyen a la producción de estos recursos ya se ha degradado o se está utilizando de manera insostenible. La calidad del agua y los niveles de contaminación atmosférica sigue siendo causa de preocupación en muchas partes de Europa. El uso insostenible del suelo está acabando con los terrenos fértiles, mientras que continúa la degradación del suelo, y el uso de infraestructuras verdes sigue estando por debajo del nivel óptimo. Del mismo modo, el uso insostenible de los mares amenaza el frágil equilibrio de los ecosistemas marinos, y afecta a las actividades económicas relacionadas, como la pesca y el turismo.</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Nuestro sistema económico sigue fomentando el uso ineficiente de los recursos, pues los precios de algunos de ellos se fijan por debajo de sus costes reales. Según estimaciones del Consejo Empresarial Mundial de Desarrollo Sostenible (WBCSD), de aquí a 2050 la eficiencia de los recursos deberá ser entre cuatro y diez veces mayor, y en 2020 ya deberían haberse introducido mejoras significativas. Promover un uso más eficiente de los recursos tiene mucho sentido desde el punto de vista comercial y debería contribuir a aumentar la competitividad y rentabilidad de las empresas. También puede impulsar el empleo y el crecimiento económico: durante la crisis, las medidas para mejorar la eficiencia energética en el sector residencial resultaron de gran ayuda para fomentar el empleo de proximidad y lograr economías financieras en su día.</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pStyle w:val="Prrafodelista"/>
        <w:numPr>
          <w:ilvl w:val="1"/>
          <w:numId w:val="18"/>
        </w:numPr>
        <w:autoSpaceDE w:val="0"/>
        <w:autoSpaceDN w:val="0"/>
        <w:adjustRightInd w:val="0"/>
        <w:spacing w:after="0" w:line="240" w:lineRule="auto"/>
        <w:jc w:val="both"/>
        <w:rPr>
          <w:rFonts w:ascii="Times New Roman" w:hAnsi="Times New Roman"/>
          <w:b/>
          <w:bCs/>
          <w:sz w:val="24"/>
          <w:szCs w:val="24"/>
        </w:rPr>
      </w:pPr>
      <w:r w:rsidRPr="00AD4C60">
        <w:rPr>
          <w:rFonts w:ascii="Times New Roman" w:hAnsi="Times New Roman"/>
          <w:b/>
          <w:bCs/>
          <w:sz w:val="24"/>
          <w:szCs w:val="24"/>
        </w:rPr>
        <w:t>Avances hacia el logro de los objetivos de la Estrategia Europa 2020</w:t>
      </w:r>
    </w:p>
    <w:p w:rsidR="003545D1" w:rsidRPr="00AD4C60" w:rsidRDefault="003545D1" w:rsidP="003545D1">
      <w:pPr>
        <w:pStyle w:val="Prrafodelista"/>
        <w:autoSpaceDE w:val="0"/>
        <w:autoSpaceDN w:val="0"/>
        <w:adjustRightInd w:val="0"/>
        <w:spacing w:after="0" w:line="240" w:lineRule="auto"/>
        <w:ind w:left="420"/>
        <w:jc w:val="both"/>
        <w:rPr>
          <w:rFonts w:ascii="Times New Roman" w:hAnsi="Times New Roman"/>
          <w:b/>
          <w:b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este contexto, los avances hacia el logro de los objetivos de la Estrategia Europa 2020 han sido, como no podía ser de otra manera, desiguales. La crisis ha tenido un claro impacto, en particular sobre el empleo y los niveles de pobreza, y ha limitado los avances hacia la consecución de los demás objetivos, con la excepción de su efecto en la reducción de las emisiones de gases de efecto invernadero. Además, ha ampliado las diferencias en los resultados entre Estados miembros en diversos ámbitos, como el empleo y la I+D. En esos avances también han influido las diferencias en cuanto al grado de respuesta política en la UE.</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 xml:space="preserve">A pesar de la crisis, se han observado tendencias estructurales más positivas, por ejemplo en los niveles de educación, en el uso de una combinación de energías más sostenible y en la reducción de la intensidad de carbono de la economía. La relativa </w:t>
      </w:r>
      <w:r w:rsidRPr="00AD4C60">
        <w:rPr>
          <w:rFonts w:ascii="Times New Roman" w:hAnsi="Times New Roman"/>
          <w:sz w:val="24"/>
          <w:szCs w:val="24"/>
        </w:rPr>
        <w:lastRenderedPageBreak/>
        <w:t>resistencia de la tasa de empleo durante la crisis en algunos países, junto con los progresos realizados en el período anterior, también puede interpretarse como un signo de la mejoría del mercado laboral en comparación con el pasado.</w:t>
      </w:r>
    </w:p>
    <w:p w:rsidR="003545D1" w:rsidRPr="00AD4C60" w:rsidRDefault="003545D1" w:rsidP="003545D1">
      <w:pPr>
        <w:autoSpaceDE w:val="0"/>
        <w:autoSpaceDN w:val="0"/>
        <w:adjustRightInd w:val="0"/>
        <w:spacing w:after="0" w:line="240" w:lineRule="auto"/>
        <w:jc w:val="both"/>
        <w:rPr>
          <w:rFonts w:ascii="Times New Roman" w:hAnsi="Times New Roman"/>
          <w:sz w:val="13"/>
          <w:szCs w:val="13"/>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la siguiente sección se exponen los principales avances en cada uno de los cinco</w:t>
      </w:r>
      <w:r>
        <w:rPr>
          <w:rFonts w:ascii="Times New Roman" w:hAnsi="Times New Roman"/>
          <w:sz w:val="24"/>
          <w:szCs w:val="24"/>
        </w:rPr>
        <w:t xml:space="preserve"> </w:t>
      </w:r>
      <w:r w:rsidRPr="00AD4C60">
        <w:rPr>
          <w:rFonts w:ascii="Times New Roman" w:hAnsi="Times New Roman"/>
          <w:sz w:val="24"/>
          <w:szCs w:val="24"/>
        </w:rPr>
        <w:t>objetivos fijados.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Aumentar la tasa de empleo de la población de 20 y 64 años de edad al menos hasta el 75 %</w:t>
      </w: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tasa de empleo de la UE se situó en el 68,4 % en 2012, frente al 68,5 % en 2010 y el 70,3 % en 2008, el año con mayor tasa. Teniendo en cuenta las tendencias recientes, se espera que crezca hasta situarse en torno al 72 % en 2020. El cumplimiento de los objetivos nacionales la situaría en el 74 %, justo por debajo del objetivo fijado para 2020.</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Los resultados nacionales son muy diferentes, mientras que en Suecia y Alemania las tasas de empleo son elevadas y se acercan a sus objetivos nacionales, las tasas en España, Grecia, Bulgaria y Hungría están bastante más lejos de sus objetivos. La mayoría de los países con mejores resultados en materia de empleo vienen registrando progresos notables desde 2000. Sin embargo, el fuerte descenso del empleo entre 2000 y 2012 afectó a la mayoría de los Estados miembros que hoy en día tienen las tasas de empleo más bajas. La situación del empleo también varía mucho entre regiones, lo que parece indicar la existencia de desajustes y de una movilidad geográfica limitada en la UE. No obstante, durante la crisis, muchos Estados miembros acometieron reformas del mercado laboral, que les permitirá resistir mejor en el futuro, aunque habrá que esperar algún tiempo para ver los resultados.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Habrá que aumentar en aproximadamente 16 millones el número de hombres y mujeres empelados para alcanzar el objetivo del 75 %. Una gran cantidad de jóvenes bien instruidos estará disponible para trabajar, a pesar de lo cual, para llegar al objetivo marcado, habrá que contar asimismo con otra fuente potencial de mano de obra compuesta en gran medida por mujeres, personas de edad avanzada, así como por personas adultas que ahora no trabajan, incluidos los inmigrantes. El nivel de formación de estos dos últimos grupos suele ser inferior al de la media del resto de la población activa. Esto significa que puede resultar difícil incorporar a esas personas al mundo del trabajo, pero también que probablemente pasen a formar parte de la mano de obra menos cualificada, a pesar de que existen indicios que sugieren que la futura demanda de empleo se centrará en los trabajos que requieren una alta cualificación y no en los menos cualificados. Así pues, para cumplir los objetivos en esta materia seguirán siendo esenciales unas políticas activas de empleo, unas estrategias de aprendizaje permanente y unas políticas de integración generales.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Aumentar el nivel combinado de la inversión pública y privada en I+D hasta el 3 % del PIB</w:t>
      </w: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Con un nivel del 2,06 % en 2012, y unos progresos limitados a lo largo de estos años, parece poco probable que se alcance el objetivo del 3 % fijado para 2020. Se prevé que la inversión en I+D crezca hasta llegar a un 2,2 % en 2020. Si los Estados miembros cumplen sus objetivos nacionales, este porcentaje podría alcanzar el 2,6 %.</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lastRenderedPageBreak/>
        <w:t>Desde 2000, la mayoría de los Estados miembros ha aumentado su nivel de inversión pública y privada en I+D (con excepción de algunos países como Croacia, Luxemburgo, el Reino Unido y Suecia). Estonia es el país que registró un mayor crecimiento entre 2000 y 2012 y, en la actualidad, está por encima de la media de la UE en este ámbito.</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Reducir las emisiones de gases de efecto invernadero como mínimo en un 20 % en comparación con los niveles de 1990, aumentar al 20 % la cuota de las energías renovables en el consumo final de energía e incrementar en un 20 % la eficiencia energética</w:t>
      </w: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términos generales estos objetivos pueden alcanzarse de aquí a 2020 y los progresos realizados son ya evidentes: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w:t>
      </w:r>
      <w:r w:rsidRPr="00AD4C60">
        <w:rPr>
          <w:rFonts w:ascii="Times New Roman" w:hAnsi="Times New Roman"/>
          <w:sz w:val="24"/>
          <w:szCs w:val="24"/>
        </w:rPr>
        <w:t>En 2012, la UE ya había conseguido reducir en un 18 % sus emisiones de gases de efecto invernadero. Las actuales políticas sobre clima y energía han permitido realizar avances, y la ralentización de la actividad económica también ha contribuido considerablemente a la reducción de las emisiones. A pesar de la actual recuperación, gracias a las mejoras estructurales introducidas aún se puede avanzar más de aquí a 2020 y llegar a una reducción de las emisiones de gases del efecto invernadero de un 24 % en relación con 1990, lo que supondría superar el objetivo. Sin embargo, de acuerdo con las previsiones nacionales, en trece Estados miembros las políticas actuales no bastarán para cumplir los objetivos nacionales fijados para 2020.</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w:t>
      </w:r>
      <w:r w:rsidRPr="00AD4C60">
        <w:rPr>
          <w:rFonts w:ascii="Times New Roman" w:hAnsi="Times New Roman"/>
          <w:sz w:val="24"/>
          <w:szCs w:val="24"/>
        </w:rPr>
        <w:t>La cuota de las energías renovables en el consumo final de energía pasó del 7,5 % en el año 2000</w:t>
      </w:r>
      <w:r w:rsidRPr="00AD4C60">
        <w:rPr>
          <w:rFonts w:ascii="Times New Roman" w:hAnsi="Times New Roman"/>
          <w:sz w:val="16"/>
          <w:szCs w:val="16"/>
        </w:rPr>
        <w:t xml:space="preserve"> </w:t>
      </w:r>
      <w:r w:rsidRPr="00AD4C60">
        <w:rPr>
          <w:rFonts w:ascii="Times New Roman" w:hAnsi="Times New Roman"/>
          <w:sz w:val="24"/>
          <w:szCs w:val="24"/>
        </w:rPr>
        <w:t>al 14,4 % en 2012. El objetivo de llegar a una cuota del 20 % en 2020 parece factible y puede llegar a superarse (en torno al 21 %). Los progresos realizados han convertido a la UE en el líder mundial en términos de inversión global en el sector de las energías renovables. A guisa de ejemplo, a finales de 2012, la UE producía aproximadamente el 44 % de la electricidad mundial de origen renovable (exceptuando la energía hidroeléctrica).</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w:t>
      </w:r>
      <w:r w:rsidRPr="00AD4C60">
        <w:rPr>
          <w:rFonts w:ascii="Times New Roman" w:hAnsi="Times New Roman"/>
          <w:sz w:val="24"/>
          <w:szCs w:val="24"/>
        </w:rPr>
        <w:t>El consumo de energía primaria cayó alrededor del 8 % entre 2006 (en que alcanzó su máximo) y 2012. Se precisaría una nueva reducción del 6,3 % de ahora a 2020 para alcanzar el objetivo fijado para ese año. Una gran parte de la reducción del consumo se debe a la ralentización de la actividad económica y, por lo tanto, la recuperación podría complicar el logro de este objetivo. No obstante, se están produciendo también algunos cambios estructurales: la intensidad energética de la UE disminuyó un 24 % entre 1995 y 2011, mientras que en el sector industrial la mejora fue del 30 %.</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conjunto, más allá del impacto a corto plazo de la crisis, la UE se esfuerza por disociar el crecimiento de la actividad económica de las emisiones de gases de efecto invernadero: entre 1990 y 2012, el PIB de la UE creció un 45 % y las emisiones disminuyeron un 18 %.</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Reducir las tasas de abandono escolar prematuro por debajo del 10 % y aumentar hasta el 40 %, como mínimo, el porcentaje de la población de 30 a 34 años que finaliza la enseñanza superior</w:t>
      </w:r>
    </w:p>
    <w:p w:rsidR="00F46174" w:rsidRPr="00AD4C60" w:rsidRDefault="00F46174" w:rsidP="003545D1">
      <w:pPr>
        <w:autoSpaceDE w:val="0"/>
        <w:autoSpaceDN w:val="0"/>
        <w:adjustRightInd w:val="0"/>
        <w:spacing w:after="0" w:line="240" w:lineRule="auto"/>
        <w:jc w:val="both"/>
        <w:rPr>
          <w:rFonts w:ascii="Times New Roman" w:hAnsi="Times New Roman"/>
          <w:i/>
          <w:i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términos generales estos objetivos pueden alcanzarse de aquí a 2020:</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lastRenderedPageBreak/>
        <w:t>􀂃</w:t>
      </w:r>
      <w:r w:rsidRPr="00AD4C60">
        <w:rPr>
          <w:rFonts w:ascii="Times New Roman" w:hAnsi="Times New Roman"/>
          <w:sz w:val="24"/>
          <w:szCs w:val="24"/>
        </w:rPr>
        <w:t>El porcentaje de abandono escolar prematuro ha disminuido, pasando del 15,7 % en 2005 al 12,7 % en 2012, y la mitad de los Estados miembros ya han alcanzado sus objetivos o están a punto de hacerlo. Si bien una parte de esta reducción puede atribuirse a las dificultades para encontrar un empleo, también hay indicios de mejoras estructurales y parece que esta tendencia se mantendrá, aunque a un ritmo más lento.</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w:t>
      </w:r>
      <w:r w:rsidRPr="00AD4C60">
        <w:rPr>
          <w:rFonts w:ascii="Times New Roman" w:hAnsi="Times New Roman"/>
          <w:sz w:val="24"/>
          <w:szCs w:val="24"/>
        </w:rPr>
        <w:t>La proporción de jóvenes que han finalizado la educación superior aumentó del 27,9 % en 2005 al 35,7 % en 2012. A pesar de que esta situación puede variar de un país a otro, la tendencia se considera estructural y se espera alcanzar el objetivo fijado para 2020.</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r w:rsidRPr="00AD4C60">
        <w:rPr>
          <w:rFonts w:ascii="Times New Roman" w:hAnsi="Times New Roman"/>
          <w:i/>
          <w:iCs/>
          <w:sz w:val="24"/>
          <w:szCs w:val="24"/>
        </w:rPr>
        <w:t>Librar a al menos veinte millones de personas del riesgo de pobreza o exclusión social</w:t>
      </w:r>
    </w:p>
    <w:p w:rsidR="003545D1" w:rsidRPr="00AD4C60" w:rsidRDefault="003545D1" w:rsidP="003545D1">
      <w:pPr>
        <w:autoSpaceDE w:val="0"/>
        <w:autoSpaceDN w:val="0"/>
        <w:adjustRightInd w:val="0"/>
        <w:spacing w:after="0" w:line="240" w:lineRule="auto"/>
        <w:jc w:val="both"/>
        <w:rPr>
          <w:rFonts w:ascii="Times New Roman" w:hAnsi="Times New Roman"/>
          <w:i/>
          <w:iCs/>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El número de personas al borde de la pobreza y la exclusión social en la UE (incluidas las personas en riesgo de pobreza económica, que sufren privaciones materiales o que viven en hogares en los que todos sus miembros están desempleados) pasó de 114 millones en 2009</w:t>
      </w:r>
      <w:r w:rsidRPr="00AD4C60">
        <w:rPr>
          <w:rFonts w:ascii="Times New Roman" w:hAnsi="Times New Roman"/>
          <w:sz w:val="16"/>
          <w:szCs w:val="16"/>
        </w:rPr>
        <w:t xml:space="preserve"> </w:t>
      </w:r>
      <w:r w:rsidRPr="00AD4C60">
        <w:rPr>
          <w:rFonts w:ascii="Times New Roman" w:hAnsi="Times New Roman"/>
          <w:sz w:val="24"/>
          <w:szCs w:val="24"/>
        </w:rPr>
        <w:t>a 124 millones en 2012.</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Por tanto, la UE se ha alejado del objetivo marcado -96,4 millones de personas en</w:t>
      </w:r>
      <w:r w:rsidR="008E217C">
        <w:rPr>
          <w:rFonts w:ascii="Times New Roman" w:hAnsi="Times New Roman"/>
          <w:sz w:val="24"/>
          <w:szCs w:val="24"/>
        </w:rPr>
        <w:t xml:space="preserve"> </w:t>
      </w:r>
      <w:r w:rsidRPr="00AD4C60">
        <w:rPr>
          <w:rFonts w:ascii="Times New Roman" w:hAnsi="Times New Roman"/>
          <w:sz w:val="24"/>
          <w:szCs w:val="24"/>
        </w:rPr>
        <w:t>2020- sin que haya visos de que esta situación pueda mejorar rápidamente, ya que el número de personas al borde de la pobreza podría seguir rondando los 100 millones en 2020. El problema es especialmente grave en determinados Estados miembros, habiendo contribuido a exacerbarlo el aumento de las privaciones materiales graves y el número de hogares en los que todos sus miembros están desempleados. La crisis ha puesto de manifiesto la necesidad de disponer de sistemas de protección social eficaces…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3545D1" w:rsidRDefault="003545D1" w:rsidP="003545D1">
      <w:pPr>
        <w:autoSpaceDE w:val="0"/>
        <w:autoSpaceDN w:val="0"/>
        <w:adjustRightInd w:val="0"/>
        <w:spacing w:after="0" w:line="240" w:lineRule="auto"/>
        <w:rPr>
          <w:rFonts w:ascii="Times New Roman" w:hAnsi="Times New Roman"/>
          <w:b/>
          <w:bCs/>
          <w:sz w:val="24"/>
          <w:szCs w:val="24"/>
        </w:rPr>
      </w:pPr>
      <w:r w:rsidRPr="003545D1">
        <w:rPr>
          <w:rFonts w:ascii="Times New Roman" w:hAnsi="Times New Roman"/>
          <w:b/>
          <w:bCs/>
          <w:sz w:val="24"/>
          <w:szCs w:val="24"/>
        </w:rPr>
        <w:t>C</w:t>
      </w:r>
      <w:r>
        <w:rPr>
          <w:rFonts w:ascii="Times New Roman" w:hAnsi="Times New Roman"/>
          <w:b/>
          <w:bCs/>
          <w:sz w:val="24"/>
          <w:szCs w:val="24"/>
        </w:rPr>
        <w:t>onclusión</w:t>
      </w:r>
    </w:p>
    <w:p w:rsidR="003545D1" w:rsidRPr="00AD4C60" w:rsidRDefault="003545D1" w:rsidP="003545D1">
      <w:pPr>
        <w:autoSpaceDE w:val="0"/>
        <w:autoSpaceDN w:val="0"/>
        <w:adjustRightInd w:val="0"/>
        <w:spacing w:after="0" w:line="240" w:lineRule="auto"/>
        <w:rPr>
          <w:rFonts w:ascii="Times New Roman" w:hAnsi="Times New Roman"/>
          <w:b/>
          <w:bCs/>
          <w:sz w:val="19"/>
          <w:szCs w:val="19"/>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Las razones que llevaron a adoptar la Estrategia Europa 2020 son igual de imperiosas en 2014 que en 2010.</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Durante varias décadas, la UE ha sido un ejemplo de profunda integración económica, que se ha traducido en un incremento de los flujos de mercancías, servicios, mano de obra y financiación en toda la UE. Esa integración ha favorecido la convergencia de los niveles de vida y renta entre países, por lo que se ha calificado a la UE de “máquina de convergencia única en el mundo”. Este proceso de convergencia ha perdido ímpetu e incluso ha retrocedido en algunas partes de Europa como consecuencia de la acumulación de desequilibrios y la presión de la crisis.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UE, que está saliendo de la peor crisis económica y financiera en una generación, necesita fortalecer su estrategia de crecimiento inteligente, sostenible e integrador, para poder responder a las expectativas de sus ciudadanos y mantener su papel en el mundo. Este es un buen momento para revisar la Estrategia y que la UE fije unas prioridades políticas postcrisis correctas que le permitan encarar con éxito la segunda mitad de la década que concluirá en 2020.</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 xml:space="preserve">El análisis expuesto en la presente Comunicación pone de manifiesto las luces y las sombras de los objetivos e iniciativas emblemáticas de la Estrategia Europa 2020. La UE está en vías de cumplir o se acerca a los objetivos que se fijó en materia de educación, clima y energía, pero no los relativos al empleo, la investigación y el </w:t>
      </w:r>
      <w:r w:rsidRPr="00AD4C60">
        <w:rPr>
          <w:rFonts w:ascii="Times New Roman" w:hAnsi="Times New Roman"/>
          <w:sz w:val="24"/>
          <w:szCs w:val="24"/>
        </w:rPr>
        <w:lastRenderedPageBreak/>
        <w:t>desarrollo o la reducción de la pobreza. Sin embargo, haberse fijado unos objetivos ha contribuido a que la UE se centrase en aspectos estructurales, a más largo plazo, que son cruciales para el futuro de la sociedad y la economía de la UE. Traducir esos objetivos establecidos para la UE en su conjunto en objetivos nacionales ha ayudado a detectar varias tendencias indeseables -una diferencia cada vez mayor entre los Estados miembros con mejores y peores resultados y la agudización de las diferencias entre regiones tanto dentro de los Estados miembros como a nivel de la UE. La crisis ha puesto asimismo de manifiesto unas desigualdades crecientes en la distribución de la riqueza y de la renta. La experiencia demuestra que la implicación y la participación de las regiones y las ciudades -que se encargan de aplicar muchas de las políticas de la UE - es esencial para alcanzar los objetivos de Europa 2020. Se trata de retos que deben abordarse al proceder a la revisión y subsiguiente adaptación de la Estrategia.</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gobernanza económica de la UE, ejecutada anualmente a través del Semestre Europeo, se ha visto reforzada considerablemente en estos últimos y, hoy en día, constituye un instrumento en potencia poderoso para responder a las prioridades postcrisis que serán necesarias para alcanzar los objetivos de la Estrategia Europa 2020. Políticas fundamentales de la UE como el marco financiero plurianual 2014-2020, y sus diferentes programas, han sido elaborados para sacar fruto de las lecciones deparadas por el Semestre Europeo y contribuir al logro de los objetivos de la Estrategia Europa 2020, proporcionando una base sobre la que se podrán elaborar las políticas futuras, tanto las de la UE como las nacionales.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En la presente Comunicación, la Comisión expone su análisis de los hechos más sobresalientes hasta la fecha de la Estrategia Europa 2020. En muchos aspectos, este período ha servido para sentar las bases que permitirán obtener resultados en los próximos años. La Comisión también ha intentado mostrar de qué manera ha afectado la crisis a los resultados previstos.</w:t>
      </w:r>
    </w:p>
    <w:p w:rsidR="003545D1" w:rsidRPr="00AD4C60" w:rsidRDefault="003545D1" w:rsidP="003545D1">
      <w:pPr>
        <w:autoSpaceDE w:val="0"/>
        <w:autoSpaceDN w:val="0"/>
        <w:adjustRightInd w:val="0"/>
        <w:spacing w:after="0" w:line="240" w:lineRule="auto"/>
        <w:jc w:val="both"/>
        <w:rPr>
          <w:rFonts w:ascii="Times New Roman" w:hAnsi="Times New Roman"/>
          <w:sz w:val="24"/>
          <w:szCs w:val="24"/>
        </w:rPr>
      </w:pPr>
    </w:p>
    <w:p w:rsidR="003545D1" w:rsidRDefault="003545D1" w:rsidP="003545D1">
      <w:pPr>
        <w:autoSpaceDE w:val="0"/>
        <w:autoSpaceDN w:val="0"/>
        <w:adjustRightInd w:val="0"/>
        <w:spacing w:after="0" w:line="240" w:lineRule="auto"/>
        <w:jc w:val="both"/>
        <w:rPr>
          <w:rFonts w:ascii="Times New Roman" w:hAnsi="Times New Roman"/>
          <w:sz w:val="24"/>
          <w:szCs w:val="24"/>
        </w:rPr>
      </w:pPr>
      <w:r w:rsidRPr="00AD4C60">
        <w:rPr>
          <w:rFonts w:ascii="Times New Roman" w:hAnsi="Times New Roman"/>
          <w:sz w:val="24"/>
          <w:szCs w:val="24"/>
        </w:rPr>
        <w:t>La Comisión no ha extraído conclusiones polític</w:t>
      </w:r>
      <w:r>
        <w:rPr>
          <w:rFonts w:ascii="Times New Roman" w:hAnsi="Times New Roman"/>
          <w:sz w:val="24"/>
          <w:szCs w:val="24"/>
        </w:rPr>
        <w:t xml:space="preserve">as, ni formulado recomendaciones </w:t>
      </w:r>
      <w:r w:rsidRPr="00AD4C60">
        <w:rPr>
          <w:rFonts w:ascii="Times New Roman" w:hAnsi="Times New Roman"/>
          <w:sz w:val="24"/>
          <w:szCs w:val="24"/>
        </w:rPr>
        <w:t>políticas en esta fase. Habida cuenta de la magnitud de los cambios que han experimentado la UE, los Estados miembros, las regiones y las ciudades como consecuencia de la crisis, la Comisión considera necesario realizar una consulta a nivel de la UE para recabar la opinión de todas las partes interesadas sobre las lecciones que deben sacarse y sobre los principales factores que deberían configurar las próximas etapas de la estrategia de crecimiento postcrisis de la UE. La Comisión organizará una consulta pública, basada en el análisis expuesto en la presente Comunicación, en la que se invitara a todas las partes interesadas a exponer sus puntos de vista. Tras la consulta, la Comisión presentará, a comienzos de 2015, una serie de propuestas sobre el rumbo futuro de la Estrategia.</w:t>
      </w:r>
    </w:p>
    <w:p w:rsidR="008E217C" w:rsidRDefault="008E217C" w:rsidP="003545D1">
      <w:pPr>
        <w:autoSpaceDE w:val="0"/>
        <w:autoSpaceDN w:val="0"/>
        <w:adjustRightInd w:val="0"/>
        <w:spacing w:after="0" w:line="240" w:lineRule="auto"/>
        <w:jc w:val="both"/>
        <w:rPr>
          <w:rFonts w:ascii="Times New Roman" w:hAnsi="Times New Roman"/>
          <w:sz w:val="24"/>
          <w:szCs w:val="24"/>
        </w:rPr>
      </w:pPr>
    </w:p>
    <w:p w:rsidR="000D6944" w:rsidRDefault="008E217C" w:rsidP="008E217C">
      <w:pPr>
        <w:spacing w:after="0" w:line="240" w:lineRule="auto"/>
        <w:jc w:val="both"/>
        <w:rPr>
          <w:rFonts w:ascii="Times New Roman" w:hAnsi="Times New Roman"/>
          <w:sz w:val="20"/>
          <w:szCs w:val="20"/>
        </w:rPr>
      </w:pPr>
      <w:r w:rsidRPr="008E217C">
        <w:rPr>
          <w:rFonts w:ascii="Times New Roman" w:hAnsi="Times New Roman"/>
          <w:sz w:val="20"/>
          <w:szCs w:val="20"/>
        </w:rPr>
        <w:t>(</w:t>
      </w:r>
      <w:r w:rsidRPr="008E217C">
        <w:rPr>
          <w:rFonts w:ascii="Times New Roman" w:hAnsi="Times New Roman"/>
          <w:b/>
          <w:sz w:val="20"/>
          <w:szCs w:val="20"/>
        </w:rPr>
        <w:t>No comment</w:t>
      </w:r>
      <w:r w:rsidRPr="008E217C">
        <w:rPr>
          <w:rFonts w:ascii="Times New Roman" w:hAnsi="Times New Roman"/>
          <w:sz w:val="20"/>
          <w:szCs w:val="20"/>
        </w:rPr>
        <w:t xml:space="preserve">: mientras esperamos el “éxito” de la Estrategia Europa 2020, veamos </w:t>
      </w:r>
      <w:r w:rsidR="00F46174">
        <w:rPr>
          <w:rFonts w:ascii="Times New Roman" w:hAnsi="Times New Roman"/>
          <w:sz w:val="20"/>
          <w:szCs w:val="20"/>
        </w:rPr>
        <w:t>en que situación están los que esperan</w:t>
      </w:r>
      <w:r w:rsidRPr="008E217C">
        <w:rPr>
          <w:rFonts w:ascii="Times New Roman" w:hAnsi="Times New Roman"/>
          <w:sz w:val="20"/>
          <w:szCs w:val="20"/>
        </w:rPr>
        <w:t xml:space="preserve"> a las “puertas del Paraíso”: En el informe </w:t>
      </w:r>
      <w:r w:rsidRPr="008E217C">
        <w:rPr>
          <w:rFonts w:ascii="Times New Roman" w:hAnsi="Times New Roman"/>
          <w:i/>
          <w:iCs/>
          <w:sz w:val="20"/>
          <w:szCs w:val="20"/>
        </w:rPr>
        <w:t>Los niños de la recesión. El impacto de la crisis económica en el bienestar infantil en los países ricos</w:t>
      </w:r>
      <w:r w:rsidRPr="008E217C">
        <w:rPr>
          <w:rFonts w:ascii="Times New Roman" w:hAnsi="Times New Roman"/>
          <w:sz w:val="20"/>
          <w:szCs w:val="20"/>
        </w:rPr>
        <w:t xml:space="preserve">, presentado el 28/10/14 en Roma, Unicef asegura que las familias con hijos en España perdieron durante la recesión el </w:t>
      </w:r>
      <w:r w:rsidRPr="008E217C">
        <w:rPr>
          <w:rFonts w:ascii="Times New Roman" w:hAnsi="Times New Roman"/>
          <w:bCs/>
          <w:sz w:val="20"/>
          <w:szCs w:val="20"/>
        </w:rPr>
        <w:t>equivalente a “diez años de esfuerzo y progreso”,</w:t>
      </w:r>
      <w:r w:rsidRPr="008E217C">
        <w:rPr>
          <w:rFonts w:ascii="Times New Roman" w:hAnsi="Times New Roman"/>
          <w:sz w:val="20"/>
          <w:szCs w:val="20"/>
        </w:rPr>
        <w:t xml:space="preserve"> al igual que ocurrió Irlanda y Luxemburgo. El estudio alerta de que el mayor costo de esta pérdida de potencial puede apreciarse en “la</w:t>
      </w:r>
      <w:r w:rsidRPr="008E217C">
        <w:rPr>
          <w:rFonts w:ascii="Times New Roman" w:hAnsi="Times New Roman"/>
          <w:bCs/>
          <w:sz w:val="20"/>
          <w:szCs w:val="20"/>
        </w:rPr>
        <w:t xml:space="preserve"> cada vez mayor alienación social</w:t>
      </w:r>
      <w:r w:rsidRPr="008E217C">
        <w:rPr>
          <w:rFonts w:ascii="Times New Roman" w:hAnsi="Times New Roman"/>
          <w:sz w:val="20"/>
          <w:szCs w:val="20"/>
        </w:rPr>
        <w:t xml:space="preserve"> y en el menor crecimiento demográfico”. De hecho, recuerda que las</w:t>
      </w:r>
      <w:r w:rsidRPr="008E217C">
        <w:rPr>
          <w:rFonts w:ascii="Times New Roman" w:hAnsi="Times New Roman"/>
          <w:bCs/>
          <w:sz w:val="20"/>
          <w:szCs w:val="20"/>
        </w:rPr>
        <w:t xml:space="preserve"> tasas de fertilidad se han ralentizado por primera vez en diez años </w:t>
      </w:r>
      <w:r w:rsidRPr="008E217C">
        <w:rPr>
          <w:rFonts w:ascii="Times New Roman" w:hAnsi="Times New Roman"/>
          <w:sz w:val="20"/>
          <w:szCs w:val="20"/>
        </w:rPr>
        <w:t>y que, en parte, se debe “a que los jóvenes adultos postergan la formación de una familia a causa de la situación económica”. Se trata de un problema que magnifica los perjuicios de la pobreza y que reduce las posibilidades de obtener logros educativos y profesionales y que, si no recibe una respuesta, “puede tener repercusiones negativas a largo plazo en las sociedades”</w:t>
      </w:r>
      <w:r>
        <w:rPr>
          <w:rFonts w:ascii="Times New Roman" w:hAnsi="Times New Roman"/>
          <w:sz w:val="20"/>
          <w:szCs w:val="20"/>
        </w:rPr>
        <w:t>)</w:t>
      </w:r>
      <w:r w:rsidR="00F46174">
        <w:rPr>
          <w:rFonts w:ascii="Times New Roman" w:hAnsi="Times New Roman"/>
          <w:sz w:val="20"/>
          <w:szCs w:val="20"/>
        </w:rPr>
        <w:t xml:space="preserve">. </w:t>
      </w:r>
    </w:p>
    <w:p w:rsidR="00F46174" w:rsidRPr="000D6944" w:rsidRDefault="001B19AA" w:rsidP="008E217C">
      <w:pPr>
        <w:spacing w:after="0" w:line="240" w:lineRule="auto"/>
        <w:jc w:val="both"/>
        <w:rPr>
          <w:rFonts w:ascii="Times New Roman" w:hAnsi="Times New Roman"/>
          <w:sz w:val="20"/>
          <w:szCs w:val="20"/>
        </w:rPr>
      </w:pPr>
      <w:r>
        <w:rPr>
          <w:rFonts w:ascii="Times New Roman" w:hAnsi="Times New Roman"/>
          <w:b/>
          <w:sz w:val="24"/>
          <w:szCs w:val="24"/>
        </w:rPr>
        <w:lastRenderedPageBreak/>
        <w:t xml:space="preserve">- </w:t>
      </w:r>
      <w:r w:rsidR="00F46174">
        <w:rPr>
          <w:rFonts w:ascii="Times New Roman" w:hAnsi="Times New Roman"/>
          <w:b/>
          <w:sz w:val="24"/>
          <w:szCs w:val="24"/>
        </w:rPr>
        <w:t>Euro punto de vista (en mi modesta opinión)</w:t>
      </w:r>
      <w:r w:rsidR="00E00FBC">
        <w:rPr>
          <w:rFonts w:ascii="Times New Roman" w:hAnsi="Times New Roman"/>
          <w:b/>
          <w:sz w:val="24"/>
          <w:szCs w:val="24"/>
        </w:rPr>
        <w:t>: la era del desorden</w:t>
      </w:r>
    </w:p>
    <w:p w:rsidR="00CF09A7" w:rsidRDefault="00CF09A7" w:rsidP="008E217C">
      <w:pPr>
        <w:spacing w:after="0" w:line="240" w:lineRule="auto"/>
        <w:jc w:val="both"/>
        <w:rPr>
          <w:rFonts w:ascii="Times New Roman" w:hAnsi="Times New Roman"/>
          <w:b/>
          <w:sz w:val="24"/>
          <w:szCs w:val="24"/>
        </w:rPr>
      </w:pPr>
    </w:p>
    <w:p w:rsidR="00CF09A7" w:rsidRDefault="00CF09A7" w:rsidP="008E217C">
      <w:pPr>
        <w:spacing w:after="0"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3132CFF5" wp14:editId="0560B5AF">
            <wp:extent cx="5397500" cy="38544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397500" cy="3854450"/>
                    </a:xfrm>
                    <a:prstGeom prst="rect">
                      <a:avLst/>
                    </a:prstGeom>
                    <a:noFill/>
                    <a:ln>
                      <a:noFill/>
                    </a:ln>
                  </pic:spPr>
                </pic:pic>
              </a:graphicData>
            </a:graphic>
          </wp:inline>
        </w:drawing>
      </w:r>
    </w:p>
    <w:p w:rsidR="00AA277C" w:rsidRDefault="00AA277C" w:rsidP="00AA277C">
      <w:pPr>
        <w:pStyle w:val="NormalWeb"/>
        <w:jc w:val="both"/>
        <w:rPr>
          <w:color w:val="000000"/>
        </w:rPr>
      </w:pPr>
      <w:r w:rsidRPr="00AA277C">
        <w:rPr>
          <w:color w:val="000000"/>
        </w:rPr>
        <w:t>No es fácil reconocer las eras históricas antes de que terminen. La razón es simple: ante cualquier acontecimiento, sea prometedor o preocupante, es imposible saber si es un hecho aislado o señal del inicio de una tendencia duradera.</w:t>
      </w:r>
    </w:p>
    <w:p w:rsidR="007F4234" w:rsidRDefault="007F4234" w:rsidP="00AA277C">
      <w:pPr>
        <w:pStyle w:val="NormalWeb"/>
        <w:jc w:val="both"/>
        <w:rPr>
          <w:color w:val="000000"/>
        </w:rPr>
      </w:pPr>
      <w:r>
        <w:rPr>
          <w:color w:val="000000"/>
        </w:rPr>
        <w:t>Puede resultar más sen</w:t>
      </w:r>
      <w:r w:rsidR="006173EB">
        <w:rPr>
          <w:color w:val="000000"/>
        </w:rPr>
        <w:t xml:space="preserve">cillo analizar los errores cometidos en el devenir histórico. Revisar lo actuado, hacer una patología del pasado. </w:t>
      </w:r>
      <w:r w:rsidR="00242399">
        <w:rPr>
          <w:color w:val="000000"/>
        </w:rPr>
        <w:t>Mirar las “fuerzas” y “debilidades”</w:t>
      </w:r>
      <w:r w:rsidR="004D6A0F">
        <w:rPr>
          <w:color w:val="000000"/>
        </w:rPr>
        <w:t xml:space="preserve"> que condicionaron las decisi</w:t>
      </w:r>
      <w:r w:rsidR="00242399">
        <w:rPr>
          <w:color w:val="000000"/>
        </w:rPr>
        <w:t xml:space="preserve">ones tomadas. </w:t>
      </w:r>
      <w:r w:rsidR="000024A3">
        <w:rPr>
          <w:color w:val="000000"/>
        </w:rPr>
        <w:t xml:space="preserve">Sin un profundo </w:t>
      </w:r>
      <w:r w:rsidR="00242399">
        <w:rPr>
          <w:color w:val="000000"/>
        </w:rPr>
        <w:t>“</w:t>
      </w:r>
      <w:r w:rsidR="000024A3">
        <w:rPr>
          <w:color w:val="000000"/>
        </w:rPr>
        <w:t>examen</w:t>
      </w:r>
      <w:r w:rsidR="00242399">
        <w:rPr>
          <w:color w:val="000000"/>
        </w:rPr>
        <w:t>”</w:t>
      </w:r>
      <w:r w:rsidR="000024A3">
        <w:rPr>
          <w:color w:val="000000"/>
        </w:rPr>
        <w:t xml:space="preserve"> de conciencia, </w:t>
      </w:r>
      <w:r w:rsidR="00242399">
        <w:rPr>
          <w:color w:val="000000"/>
        </w:rPr>
        <w:t xml:space="preserve">(bienaventuranzas), es </w:t>
      </w:r>
      <w:r w:rsidR="000024A3">
        <w:rPr>
          <w:color w:val="000000"/>
        </w:rPr>
        <w:t xml:space="preserve">difícil </w:t>
      </w:r>
      <w:r w:rsidR="00242399">
        <w:rPr>
          <w:color w:val="000000"/>
        </w:rPr>
        <w:t>“</w:t>
      </w:r>
      <w:r w:rsidR="000024A3">
        <w:rPr>
          <w:color w:val="000000"/>
        </w:rPr>
        <w:t>expiar</w:t>
      </w:r>
      <w:r w:rsidR="00242399">
        <w:rPr>
          <w:color w:val="000000"/>
        </w:rPr>
        <w:t>”</w:t>
      </w:r>
      <w:r w:rsidR="004D6A0F">
        <w:rPr>
          <w:color w:val="000000"/>
        </w:rPr>
        <w:t xml:space="preserve"> los pecados. Sin arrepentimiento no hay perdón.</w:t>
      </w:r>
    </w:p>
    <w:p w:rsidR="00A2156A" w:rsidRDefault="008A20D2" w:rsidP="00AA277C">
      <w:pPr>
        <w:pStyle w:val="NormalWeb"/>
        <w:jc w:val="both"/>
        <w:rPr>
          <w:color w:val="000000"/>
        </w:rPr>
      </w:pPr>
      <w:r>
        <w:rPr>
          <w:color w:val="000000"/>
        </w:rPr>
        <w:t xml:space="preserve">Con esa intención, me propongo realizar en las próximas páginas, una “auditoría” (a tumba abierta) de las estadísticas y ratios presentados en algunas de las Tablas y Gráficos anteriores, una “patología forense” (a estas alturas de la “soirée”, </w:t>
      </w:r>
      <w:r w:rsidR="0054108D">
        <w:rPr>
          <w:color w:val="000000"/>
        </w:rPr>
        <w:t xml:space="preserve">no </w:t>
      </w:r>
      <w:r>
        <w:rPr>
          <w:color w:val="000000"/>
        </w:rPr>
        <w:t>tengo claro si realizar una biopsia o pasar a la autopsia directamente), para finalizar con un “juego de números”</w:t>
      </w:r>
      <w:r w:rsidR="00744DB0">
        <w:rPr>
          <w:color w:val="000000"/>
        </w:rPr>
        <w:t xml:space="preserve"> (antes que sea un</w:t>
      </w:r>
      <w:r>
        <w:rPr>
          <w:color w:val="000000"/>
        </w:rPr>
        <w:t xml:space="preserve"> “juego de lágrimas”)</w:t>
      </w:r>
      <w:r w:rsidR="00744DB0">
        <w:rPr>
          <w:color w:val="000000"/>
        </w:rPr>
        <w:t>, con algunas propuestas</w:t>
      </w:r>
      <w:r w:rsidR="0054108D">
        <w:rPr>
          <w:color w:val="000000"/>
        </w:rPr>
        <w:t xml:space="preserve"> económicas</w:t>
      </w:r>
      <w:r w:rsidR="00744DB0">
        <w:rPr>
          <w:color w:val="000000"/>
        </w:rPr>
        <w:t xml:space="preserve"> para el debate.</w:t>
      </w:r>
    </w:p>
    <w:p w:rsidR="00A2156A" w:rsidRPr="000D6944" w:rsidRDefault="00744DB0" w:rsidP="00AA277C">
      <w:pPr>
        <w:pStyle w:val="NormalWeb"/>
        <w:jc w:val="both"/>
      </w:pPr>
      <w:r w:rsidRPr="009F08A2">
        <w:rPr>
          <w:b/>
          <w:color w:val="000000"/>
        </w:rPr>
        <w:t>Volvamos al DAFO</w:t>
      </w:r>
      <w:r>
        <w:rPr>
          <w:color w:val="000000"/>
        </w:rPr>
        <w:t>. Ante el espejo, los fríos (ahora, feos) datos de la historia. Esa cruda realida</w:t>
      </w:r>
      <w:r w:rsidR="00F2194F">
        <w:rPr>
          <w:color w:val="000000"/>
        </w:rPr>
        <w:t xml:space="preserve">d que los políticos no quieren </w:t>
      </w:r>
      <w:r>
        <w:rPr>
          <w:color w:val="000000"/>
        </w:rPr>
        <w:t>ver. Esas ev</w:t>
      </w:r>
      <w:r w:rsidR="00F2194F">
        <w:rPr>
          <w:color w:val="000000"/>
        </w:rPr>
        <w:t>idencias que no se pueden negar</w:t>
      </w:r>
      <w:r>
        <w:rPr>
          <w:color w:val="000000"/>
        </w:rPr>
        <w:t xml:space="preserve">. </w:t>
      </w:r>
      <w:r w:rsidR="0044361B">
        <w:rPr>
          <w:color w:val="000000"/>
        </w:rPr>
        <w:t>Sin olvidar</w:t>
      </w:r>
      <w:r w:rsidR="0054108D">
        <w:rPr>
          <w:color w:val="000000"/>
        </w:rPr>
        <w:t xml:space="preserve"> (jamás) que detrás de las</w:t>
      </w:r>
      <w:r>
        <w:rPr>
          <w:color w:val="000000"/>
        </w:rPr>
        <w:t xml:space="preserve"> cifras</w:t>
      </w:r>
      <w:r w:rsidR="0054108D">
        <w:rPr>
          <w:color w:val="000000"/>
        </w:rPr>
        <w:t xml:space="preserve"> hay personas. Que los números </w:t>
      </w:r>
      <w:r w:rsidR="000D6944">
        <w:rPr>
          <w:color w:val="000000"/>
        </w:rPr>
        <w:t>representan</w:t>
      </w:r>
      <w:r>
        <w:rPr>
          <w:color w:val="000000"/>
        </w:rPr>
        <w:t xml:space="preserve"> la lucha, las ilusiones</w:t>
      </w:r>
      <w:r w:rsidR="0054108D">
        <w:rPr>
          <w:color w:val="000000"/>
        </w:rPr>
        <w:t xml:space="preserve"> o el fracaso</w:t>
      </w:r>
      <w:r w:rsidR="00F2194F">
        <w:rPr>
          <w:color w:val="000000"/>
        </w:rPr>
        <w:t>,</w:t>
      </w:r>
      <w:r w:rsidR="0054108D">
        <w:rPr>
          <w:color w:val="000000"/>
        </w:rPr>
        <w:t xml:space="preserve"> de muchos ciudadanos</w:t>
      </w:r>
      <w:r w:rsidR="008B63E8">
        <w:rPr>
          <w:color w:val="000000"/>
        </w:rPr>
        <w:t>. No son cobayos</w:t>
      </w:r>
      <w:r w:rsidR="0054108D">
        <w:rPr>
          <w:color w:val="000000"/>
        </w:rPr>
        <w:t xml:space="preserve"> de laboratorio, </w:t>
      </w:r>
      <w:r w:rsidR="005612FB">
        <w:rPr>
          <w:color w:val="000000"/>
        </w:rPr>
        <w:t xml:space="preserve">variables de </w:t>
      </w:r>
      <w:r w:rsidR="0054108D">
        <w:rPr>
          <w:color w:val="000000"/>
        </w:rPr>
        <w:t>modelos académicos o</w:t>
      </w:r>
      <w:r w:rsidR="005612FB">
        <w:rPr>
          <w:color w:val="000000"/>
        </w:rPr>
        <w:t xml:space="preserve"> piezas de </w:t>
      </w:r>
      <w:r w:rsidR="0054108D">
        <w:rPr>
          <w:color w:val="000000"/>
        </w:rPr>
        <w:t xml:space="preserve">ingeniería social. Son individuos que </w:t>
      </w:r>
      <w:r w:rsidR="0044361B">
        <w:rPr>
          <w:color w:val="000000"/>
        </w:rPr>
        <w:t xml:space="preserve">tratan de vivir con la mayor dignidad posible y dejar a sus hijos un futuro mejor. </w:t>
      </w:r>
      <w:r w:rsidR="008B63E8">
        <w:rPr>
          <w:color w:val="000000"/>
        </w:rPr>
        <w:t>A t</w:t>
      </w:r>
      <w:r w:rsidR="0044361B">
        <w:rPr>
          <w:color w:val="000000"/>
        </w:rPr>
        <w:t xml:space="preserve">odos esos seres humanos </w:t>
      </w:r>
      <w:r w:rsidR="008B63E8">
        <w:rPr>
          <w:color w:val="000000"/>
        </w:rPr>
        <w:t xml:space="preserve">(con humildad y </w:t>
      </w:r>
      <w:r w:rsidR="0044361B">
        <w:rPr>
          <w:color w:val="000000"/>
        </w:rPr>
        <w:t>respeto),</w:t>
      </w:r>
      <w:r w:rsidR="008B63E8">
        <w:rPr>
          <w:color w:val="000000"/>
        </w:rPr>
        <w:t xml:space="preserve"> dirijo mi</w:t>
      </w:r>
      <w:r w:rsidR="000D6944">
        <w:rPr>
          <w:color w:val="000000"/>
        </w:rPr>
        <w:t>s</w:t>
      </w:r>
      <w:r w:rsidR="008B63E8">
        <w:rPr>
          <w:color w:val="000000"/>
        </w:rPr>
        <w:t xml:space="preserve"> análisis y propuesta</w:t>
      </w:r>
      <w:r w:rsidR="000D6944">
        <w:rPr>
          <w:color w:val="000000"/>
        </w:rPr>
        <w:t>s</w:t>
      </w:r>
      <w:r w:rsidR="0044361B">
        <w:rPr>
          <w:color w:val="000000"/>
        </w:rPr>
        <w:t>.</w:t>
      </w:r>
      <w:r w:rsidR="008B63E8">
        <w:rPr>
          <w:color w:val="000000"/>
        </w:rPr>
        <w:t xml:space="preserve"> </w:t>
      </w:r>
      <w:r w:rsidR="001A7A95">
        <w:rPr>
          <w:color w:val="000000"/>
        </w:rPr>
        <w:t>Haciendo</w:t>
      </w:r>
      <w:r w:rsidR="006D0AAA">
        <w:rPr>
          <w:color w:val="000000"/>
        </w:rPr>
        <w:t xml:space="preserve"> unos</w:t>
      </w:r>
      <w:r w:rsidR="001A7A95">
        <w:rPr>
          <w:color w:val="000000"/>
        </w:rPr>
        <w:t xml:space="preserve"> juicios de valor social</w:t>
      </w:r>
      <w:r w:rsidR="006D0AAA">
        <w:rPr>
          <w:color w:val="000000"/>
        </w:rPr>
        <w:t xml:space="preserve"> que, compatibilizando</w:t>
      </w:r>
      <w:r w:rsidR="001A7A95">
        <w:rPr>
          <w:color w:val="000000"/>
        </w:rPr>
        <w:t xml:space="preserve"> los argumentos de eficiencia</w:t>
      </w:r>
      <w:r w:rsidR="006D0AAA">
        <w:rPr>
          <w:color w:val="000000"/>
        </w:rPr>
        <w:t>, den prioridad a la</w:t>
      </w:r>
      <w:r w:rsidR="001A7A95">
        <w:rPr>
          <w:color w:val="000000"/>
        </w:rPr>
        <w:t xml:space="preserve"> equidad, </w:t>
      </w:r>
      <w:r w:rsidR="006D0AAA">
        <w:t xml:space="preserve">en </w:t>
      </w:r>
      <w:r w:rsidR="001A7A95" w:rsidRPr="001A7A95">
        <w:t>las decisiones</w:t>
      </w:r>
      <w:r w:rsidR="006D0AAA">
        <w:t xml:space="preserve"> de crecimiento y distribución</w:t>
      </w:r>
      <w:r w:rsidR="001A7A95" w:rsidRPr="001A7A95">
        <w:t>.</w:t>
      </w:r>
    </w:p>
    <w:tbl>
      <w:tblPr>
        <w:tblW w:w="9600" w:type="dxa"/>
        <w:tblInd w:w="55" w:type="dxa"/>
        <w:tblCellMar>
          <w:left w:w="70" w:type="dxa"/>
          <w:right w:w="70" w:type="dxa"/>
        </w:tblCellMar>
        <w:tblLook w:val="04A0" w:firstRow="1" w:lastRow="0" w:firstColumn="1" w:lastColumn="0" w:noHBand="0" w:noVBand="1"/>
      </w:tblPr>
      <w:tblGrid>
        <w:gridCol w:w="2400"/>
        <w:gridCol w:w="944"/>
        <w:gridCol w:w="236"/>
        <w:gridCol w:w="20"/>
        <w:gridCol w:w="1180"/>
        <w:gridCol w:w="20"/>
        <w:gridCol w:w="1180"/>
        <w:gridCol w:w="20"/>
        <w:gridCol w:w="1180"/>
        <w:gridCol w:w="20"/>
        <w:gridCol w:w="1180"/>
        <w:gridCol w:w="20"/>
        <w:gridCol w:w="1180"/>
        <w:gridCol w:w="20"/>
      </w:tblGrid>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lastRenderedPageBreak/>
              <w:t>Proyecciones FMI</w:t>
            </w: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Crecimiento del PIB</w:t>
            </w: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EEUU</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Zona Euro</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Alemania</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Japón</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China</w:t>
            </w: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2,3</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-0,7</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0,9</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1,5</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7,7</w:t>
            </w: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2013</w:t>
            </w: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2.2</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-0,4</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0,5</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1,5</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7,7</w:t>
            </w: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2014</w:t>
            </w: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2,2</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0,8</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1,4</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0,9</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7,4</w:t>
            </w: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2015</w:t>
            </w: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3,1</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1,3</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1,5</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0,8</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7,1</w:t>
            </w: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0D6944" w:rsidRPr="000D6944" w:rsidRDefault="004D39BB" w:rsidP="004D39BB">
            <w:pPr>
              <w:spacing w:after="0" w:line="240" w:lineRule="auto"/>
              <w:jc w:val="both"/>
              <w:rPr>
                <w:rFonts w:ascii="Times New Roman" w:eastAsia="Times New Roman" w:hAnsi="Times New Roman" w:cs="Times New Roman"/>
                <w:bCs/>
                <w:color w:val="000000"/>
                <w:sz w:val="24"/>
                <w:szCs w:val="24"/>
                <w:lang w:eastAsia="es-ES"/>
              </w:rPr>
            </w:pPr>
            <w:r>
              <w:rPr>
                <w:rFonts w:ascii="Times New Roman" w:eastAsia="Times New Roman" w:hAnsi="Times New Roman" w:cs="Times New Roman"/>
                <w:bCs/>
                <w:color w:val="000000"/>
                <w:sz w:val="24"/>
                <w:szCs w:val="24"/>
                <w:lang w:eastAsia="es-ES"/>
              </w:rPr>
              <w:t xml:space="preserve"> </w:t>
            </w:r>
          </w:p>
          <w:p w:rsidR="00A2156A" w:rsidRPr="00A2156A" w:rsidRDefault="00A2156A" w:rsidP="00A2156A">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Riesgo de Recesión</w:t>
            </w: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2014 T3 / 2015 T2</w:t>
            </w: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&lt; 15%</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40%</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25%</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0%</w:t>
            </w:r>
          </w:p>
        </w:tc>
      </w:tr>
      <w:tr w:rsidR="00A2156A" w:rsidRPr="00A2156A" w:rsidTr="00A2156A">
        <w:trPr>
          <w:trHeight w:val="315"/>
        </w:trPr>
        <w:tc>
          <w:tcPr>
            <w:tcW w:w="24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r>
      <w:tr w:rsidR="00A2156A" w:rsidRPr="00A2156A" w:rsidTr="00A2156A">
        <w:trPr>
          <w:gridAfter w:val="1"/>
          <w:wAfter w:w="20" w:type="dxa"/>
          <w:trHeight w:val="315"/>
        </w:trPr>
        <w:tc>
          <w:tcPr>
            <w:tcW w:w="3580" w:type="dxa"/>
            <w:gridSpan w:val="3"/>
            <w:tcBorders>
              <w:top w:val="nil"/>
              <w:left w:val="nil"/>
              <w:bottom w:val="nil"/>
              <w:right w:val="nil"/>
            </w:tcBorders>
            <w:shd w:val="clear" w:color="auto" w:fill="auto"/>
            <w:noWrap/>
            <w:vAlign w:val="bottom"/>
            <w:hideMark/>
          </w:tcPr>
          <w:p w:rsidR="00A2156A" w:rsidRPr="004D39BB" w:rsidRDefault="00A2156A" w:rsidP="00A2156A">
            <w:pPr>
              <w:spacing w:after="0" w:line="240" w:lineRule="auto"/>
              <w:rPr>
                <w:rFonts w:ascii="Times New Roman" w:eastAsia="Times New Roman" w:hAnsi="Times New Roman" w:cs="Times New Roman"/>
                <w:bCs/>
                <w:color w:val="000000"/>
                <w:sz w:val="24"/>
                <w:szCs w:val="24"/>
                <w:lang w:eastAsia="es-ES"/>
              </w:rPr>
            </w:pPr>
          </w:p>
          <w:p w:rsidR="00A2156A" w:rsidRPr="00A2156A" w:rsidRDefault="00A2156A" w:rsidP="00A2156A">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Employment Rate (Eurostat)</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A2156A" w:rsidTr="00A2156A">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b/>
                <w:bCs/>
                <w:color w:val="000000"/>
                <w:sz w:val="24"/>
                <w:szCs w:val="24"/>
                <w:lang w:eastAsia="es-ES"/>
              </w:rPr>
            </w:pPr>
          </w:p>
        </w:tc>
        <w:tc>
          <w:tcPr>
            <w:tcW w:w="236"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b/>
                <w:bCs/>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A2156A" w:rsidTr="00A2156A">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236"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EEUU</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Zona Euro</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Alemania</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Japón</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China</w:t>
            </w:r>
          </w:p>
        </w:tc>
      </w:tr>
      <w:tr w:rsidR="00A2156A" w:rsidRPr="00A2156A" w:rsidTr="00A2156A">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236"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r>
      <w:tr w:rsidR="00A2156A" w:rsidRPr="00A2156A" w:rsidTr="00A2156A">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236"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71,1</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68,1</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76,7</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75,4</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A2156A" w:rsidRPr="00A2156A" w:rsidTr="00A2156A">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2013</w:t>
            </w:r>
          </w:p>
        </w:tc>
        <w:tc>
          <w:tcPr>
            <w:tcW w:w="236"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67,7</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77,1</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A2156A" w:rsidRPr="00A2156A" w:rsidTr="00A2156A">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236"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r>
      <w:tr w:rsidR="00A2156A" w:rsidRPr="00A2156A" w:rsidTr="00A2156A">
        <w:trPr>
          <w:gridAfter w:val="1"/>
          <w:wAfter w:w="20" w:type="dxa"/>
          <w:trHeight w:val="315"/>
        </w:trPr>
        <w:tc>
          <w:tcPr>
            <w:tcW w:w="4780" w:type="dxa"/>
            <w:gridSpan w:val="5"/>
            <w:tcBorders>
              <w:top w:val="nil"/>
              <w:left w:val="nil"/>
              <w:bottom w:val="nil"/>
              <w:right w:val="nil"/>
            </w:tcBorders>
            <w:shd w:val="clear" w:color="auto" w:fill="auto"/>
            <w:noWrap/>
            <w:vAlign w:val="bottom"/>
            <w:hideMark/>
          </w:tcPr>
          <w:p w:rsidR="00A2156A" w:rsidRDefault="00A2156A" w:rsidP="00A2156A">
            <w:pPr>
              <w:spacing w:after="0" w:line="240" w:lineRule="auto"/>
              <w:rPr>
                <w:rFonts w:ascii="Times New Roman" w:eastAsia="Times New Roman" w:hAnsi="Times New Roman" w:cs="Times New Roman"/>
                <w:b/>
                <w:bCs/>
                <w:color w:val="000000"/>
                <w:sz w:val="24"/>
                <w:szCs w:val="24"/>
                <w:lang w:eastAsia="es-ES"/>
              </w:rPr>
            </w:pPr>
          </w:p>
          <w:p w:rsidR="00A2156A" w:rsidRPr="00A2156A" w:rsidRDefault="00A2156A" w:rsidP="00A2156A">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Dependency Ratio 2012 to 2060 (Eurostat)</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A2156A" w:rsidTr="00A2156A">
        <w:trPr>
          <w:gridAfter w:val="1"/>
          <w:wAfter w:w="20" w:type="dxa"/>
          <w:trHeight w:val="315"/>
        </w:trPr>
        <w:tc>
          <w:tcPr>
            <w:tcW w:w="3580" w:type="dxa"/>
            <w:gridSpan w:val="3"/>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(Old-age Dependency Ratio)</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EU-27</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A2156A" w:rsidTr="00A2156A">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236"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 xml:space="preserve"> </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 xml:space="preserve"> </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 xml:space="preserve"> </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 xml:space="preserve"> </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 xml:space="preserve"> </w:t>
            </w:r>
          </w:p>
        </w:tc>
      </w:tr>
      <w:tr w:rsidR="00A2156A" w:rsidRPr="00A2156A" w:rsidTr="00A2156A">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236"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20,4</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26,7</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39</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11,8</w:t>
            </w:r>
          </w:p>
        </w:tc>
      </w:tr>
      <w:tr w:rsidR="00A2156A" w:rsidRPr="00A2156A" w:rsidTr="00A2156A">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2040</w:t>
            </w:r>
          </w:p>
        </w:tc>
        <w:tc>
          <w:tcPr>
            <w:tcW w:w="236"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35</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45,5</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64,7</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34,8</w:t>
            </w:r>
          </w:p>
        </w:tc>
      </w:tr>
      <w:tr w:rsidR="00A2156A" w:rsidRPr="00A2156A" w:rsidTr="00A2156A">
        <w:trPr>
          <w:gridAfter w:val="1"/>
          <w:wAfter w:w="20" w:type="dxa"/>
          <w:trHeight w:val="315"/>
        </w:trPr>
        <w:tc>
          <w:tcPr>
            <w:tcW w:w="3344"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2060</w:t>
            </w:r>
          </w:p>
        </w:tc>
        <w:tc>
          <w:tcPr>
            <w:tcW w:w="236"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37,6</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52,6</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73,3</w:t>
            </w:r>
          </w:p>
        </w:tc>
        <w:tc>
          <w:tcPr>
            <w:tcW w:w="1200" w:type="dxa"/>
            <w:gridSpan w:val="2"/>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49</w:t>
            </w:r>
          </w:p>
        </w:tc>
      </w:tr>
    </w:tbl>
    <w:p w:rsidR="00A2156A" w:rsidRPr="00AA277C" w:rsidRDefault="00A2156A" w:rsidP="00AA277C">
      <w:pPr>
        <w:pStyle w:val="NormalWeb"/>
        <w:jc w:val="both"/>
        <w:rPr>
          <w:color w:val="000000"/>
        </w:rPr>
      </w:pPr>
    </w:p>
    <w:tbl>
      <w:tblPr>
        <w:tblW w:w="8441" w:type="dxa"/>
        <w:tblInd w:w="55" w:type="dxa"/>
        <w:tblCellMar>
          <w:left w:w="70" w:type="dxa"/>
          <w:right w:w="70" w:type="dxa"/>
        </w:tblCellMar>
        <w:tblLook w:val="04A0" w:firstRow="1" w:lastRow="0" w:firstColumn="1" w:lastColumn="0" w:noHBand="0" w:noVBand="1"/>
      </w:tblPr>
      <w:tblGrid>
        <w:gridCol w:w="3030"/>
        <w:gridCol w:w="862"/>
        <w:gridCol w:w="1351"/>
        <w:gridCol w:w="1239"/>
        <w:gridCol w:w="759"/>
        <w:gridCol w:w="1200"/>
      </w:tblGrid>
      <w:tr w:rsidR="00A2156A" w:rsidRPr="00B324C0" w:rsidTr="00A2156A">
        <w:trPr>
          <w:trHeight w:val="315"/>
        </w:trPr>
        <w:tc>
          <w:tcPr>
            <w:tcW w:w="7241" w:type="dxa"/>
            <w:gridSpan w:val="5"/>
            <w:tcBorders>
              <w:top w:val="nil"/>
              <w:left w:val="nil"/>
              <w:bottom w:val="nil"/>
              <w:right w:val="nil"/>
            </w:tcBorders>
            <w:shd w:val="clear" w:color="auto" w:fill="auto"/>
            <w:noWrap/>
            <w:vAlign w:val="bottom"/>
            <w:hideMark/>
          </w:tcPr>
          <w:p w:rsidR="00A2156A" w:rsidRPr="00A2156A" w:rsidRDefault="00661390" w:rsidP="00A2156A">
            <w:pPr>
              <w:spacing w:after="0" w:line="240" w:lineRule="auto"/>
              <w:rPr>
                <w:rFonts w:ascii="Times New Roman" w:eastAsia="Times New Roman" w:hAnsi="Times New Roman" w:cs="Times New Roman"/>
                <w:b/>
                <w:bCs/>
                <w:color w:val="000000"/>
                <w:sz w:val="24"/>
                <w:szCs w:val="24"/>
                <w:lang w:val="en-US" w:eastAsia="es-ES"/>
              </w:rPr>
            </w:pPr>
            <w:r>
              <w:rPr>
                <w:rFonts w:ascii="Times New Roman" w:eastAsia="Times New Roman" w:hAnsi="Times New Roman" w:cs="Times New Roman"/>
                <w:b/>
                <w:bCs/>
                <w:color w:val="000000"/>
                <w:sz w:val="24"/>
                <w:szCs w:val="24"/>
                <w:lang w:val="en-US" w:eastAsia="es-ES"/>
              </w:rPr>
              <w:t>General Government Reve</w:t>
            </w:r>
            <w:r w:rsidR="00A2156A" w:rsidRPr="00A2156A">
              <w:rPr>
                <w:rFonts w:ascii="Times New Roman" w:eastAsia="Times New Roman" w:hAnsi="Times New Roman" w:cs="Times New Roman"/>
                <w:b/>
                <w:bCs/>
                <w:color w:val="000000"/>
                <w:sz w:val="24"/>
                <w:szCs w:val="24"/>
                <w:lang w:val="en-US" w:eastAsia="es-ES"/>
              </w:rPr>
              <w:t>nues and Expenditures (2012) (OCDE)</w:t>
            </w:r>
          </w:p>
        </w:tc>
        <w:tc>
          <w:tcPr>
            <w:tcW w:w="12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val="en-US" w:eastAsia="es-ES"/>
              </w:rPr>
            </w:pPr>
          </w:p>
        </w:tc>
      </w:tr>
      <w:tr w:rsidR="00A2156A" w:rsidRPr="00A2156A" w:rsidTr="00A2156A">
        <w:trPr>
          <w:trHeight w:val="315"/>
        </w:trPr>
        <w:tc>
          <w:tcPr>
            <w:tcW w:w="303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(As percentage of GDP)</w:t>
            </w:r>
          </w:p>
        </w:tc>
        <w:tc>
          <w:tcPr>
            <w:tcW w:w="862"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351"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39"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759"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A2156A" w:rsidTr="00A2156A">
        <w:trPr>
          <w:trHeight w:val="315"/>
        </w:trPr>
        <w:tc>
          <w:tcPr>
            <w:tcW w:w="303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862"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EEUU</w:t>
            </w:r>
          </w:p>
        </w:tc>
        <w:tc>
          <w:tcPr>
            <w:tcW w:w="1351"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Zona Euro</w:t>
            </w:r>
          </w:p>
        </w:tc>
        <w:tc>
          <w:tcPr>
            <w:tcW w:w="1239"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Alemania</w:t>
            </w:r>
          </w:p>
        </w:tc>
        <w:tc>
          <w:tcPr>
            <w:tcW w:w="759"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Japón</w:t>
            </w:r>
          </w:p>
        </w:tc>
        <w:tc>
          <w:tcPr>
            <w:tcW w:w="1200" w:type="dxa"/>
            <w:tcBorders>
              <w:top w:val="nil"/>
              <w:left w:val="nil"/>
              <w:bottom w:val="nil"/>
              <w:right w:val="nil"/>
            </w:tcBorders>
            <w:shd w:val="clear" w:color="auto" w:fill="auto"/>
            <w:noWrap/>
            <w:vAlign w:val="bottom"/>
            <w:hideMark/>
          </w:tcPr>
          <w:p w:rsidR="00A2156A" w:rsidRPr="00A2156A" w:rsidRDefault="003C4C2C" w:rsidP="00A2156A">
            <w:pPr>
              <w:spacing w:after="0"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00A2156A" w:rsidRPr="00A2156A">
              <w:rPr>
                <w:rFonts w:ascii="Times New Roman" w:eastAsia="Times New Roman" w:hAnsi="Times New Roman" w:cs="Times New Roman"/>
                <w:color w:val="000000"/>
                <w:sz w:val="24"/>
                <w:szCs w:val="24"/>
                <w:lang w:eastAsia="es-ES"/>
              </w:rPr>
              <w:t>China</w:t>
            </w:r>
          </w:p>
        </w:tc>
      </w:tr>
      <w:tr w:rsidR="00A2156A" w:rsidRPr="00A2156A" w:rsidTr="00A2156A">
        <w:trPr>
          <w:trHeight w:val="315"/>
        </w:trPr>
        <w:tc>
          <w:tcPr>
            <w:tcW w:w="303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862"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351"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39"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759"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A2156A" w:rsidTr="00A2156A">
        <w:trPr>
          <w:trHeight w:val="315"/>
        </w:trPr>
        <w:tc>
          <w:tcPr>
            <w:tcW w:w="303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Revenues</w:t>
            </w:r>
          </w:p>
        </w:tc>
        <w:tc>
          <w:tcPr>
            <w:tcW w:w="862"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30.8</w:t>
            </w:r>
          </w:p>
        </w:tc>
        <w:tc>
          <w:tcPr>
            <w:tcW w:w="1351"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46,3</w:t>
            </w:r>
          </w:p>
        </w:tc>
        <w:tc>
          <w:tcPr>
            <w:tcW w:w="1239"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44,8</w:t>
            </w:r>
          </w:p>
        </w:tc>
        <w:tc>
          <w:tcPr>
            <w:tcW w:w="759"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33,3</w:t>
            </w:r>
          </w:p>
        </w:tc>
        <w:tc>
          <w:tcPr>
            <w:tcW w:w="12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A2156A" w:rsidRPr="00A2156A" w:rsidTr="00A2156A">
        <w:trPr>
          <w:trHeight w:val="315"/>
        </w:trPr>
        <w:tc>
          <w:tcPr>
            <w:tcW w:w="303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Expenditures</w:t>
            </w:r>
          </w:p>
        </w:tc>
        <w:tc>
          <w:tcPr>
            <w:tcW w:w="862"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40</w:t>
            </w:r>
          </w:p>
        </w:tc>
        <w:tc>
          <w:tcPr>
            <w:tcW w:w="1351"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49,9</w:t>
            </w:r>
          </w:p>
        </w:tc>
        <w:tc>
          <w:tcPr>
            <w:tcW w:w="1239"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44,7</w:t>
            </w:r>
          </w:p>
        </w:tc>
        <w:tc>
          <w:tcPr>
            <w:tcW w:w="759"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42</w:t>
            </w:r>
          </w:p>
        </w:tc>
        <w:tc>
          <w:tcPr>
            <w:tcW w:w="1200" w:type="dxa"/>
            <w:tcBorders>
              <w:top w:val="nil"/>
              <w:left w:val="nil"/>
              <w:bottom w:val="nil"/>
              <w:right w:val="nil"/>
            </w:tcBorders>
            <w:shd w:val="clear" w:color="auto" w:fill="auto"/>
            <w:noWrap/>
            <w:vAlign w:val="bottom"/>
            <w:hideMark/>
          </w:tcPr>
          <w:p w:rsidR="00A2156A" w:rsidRPr="00A2156A" w:rsidRDefault="00A2156A" w:rsidP="00A2156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bl>
    <w:p w:rsidR="00AA277C" w:rsidRDefault="00AA277C" w:rsidP="008E217C">
      <w:pPr>
        <w:spacing w:after="0" w:line="240" w:lineRule="auto"/>
        <w:jc w:val="both"/>
        <w:rPr>
          <w:rFonts w:ascii="Times New Roman" w:hAnsi="Times New Roman"/>
          <w:sz w:val="24"/>
          <w:szCs w:val="24"/>
        </w:rPr>
      </w:pPr>
    </w:p>
    <w:p w:rsidR="00A2156A" w:rsidRDefault="004D39BB" w:rsidP="008E217C">
      <w:pPr>
        <w:spacing w:after="0" w:line="240" w:lineRule="auto"/>
        <w:jc w:val="both"/>
        <w:rPr>
          <w:rFonts w:ascii="Times New Roman" w:hAnsi="Times New Roman"/>
          <w:sz w:val="24"/>
          <w:szCs w:val="24"/>
        </w:rPr>
      </w:pPr>
      <w:r w:rsidRPr="004D39BB">
        <w:rPr>
          <w:rFonts w:ascii="Times New Roman" w:hAnsi="Times New Roman"/>
          <w:b/>
          <w:sz w:val="24"/>
          <w:szCs w:val="24"/>
        </w:rPr>
        <w:t>Al margen</w:t>
      </w:r>
      <w:r>
        <w:rPr>
          <w:rFonts w:ascii="Times New Roman" w:hAnsi="Times New Roman"/>
          <w:sz w:val="24"/>
          <w:szCs w:val="24"/>
        </w:rPr>
        <w:t xml:space="preserve">: Alemania presenta el menor ritmo de crecimiento del PIB (2012/2013) entre los países avanzados. </w:t>
      </w:r>
      <w:r w:rsidR="00661390">
        <w:rPr>
          <w:rFonts w:ascii="Times New Roman" w:hAnsi="Times New Roman"/>
          <w:sz w:val="24"/>
          <w:szCs w:val="24"/>
        </w:rPr>
        <w:t>La ZE, en vías de japonizarse. El mayor riesgo de recesión lo tiene la Zona Euro. El menor índice de empleo lo tiene la ZE. Alemania tiene un mayor índice de empleo</w:t>
      </w:r>
      <w:r w:rsidR="001E3EBC">
        <w:rPr>
          <w:rFonts w:ascii="Times New Roman" w:hAnsi="Times New Roman"/>
          <w:sz w:val="24"/>
          <w:szCs w:val="24"/>
        </w:rPr>
        <w:t>,</w:t>
      </w:r>
      <w:r w:rsidR="00661390">
        <w:rPr>
          <w:rFonts w:ascii="Times New Roman" w:hAnsi="Times New Roman"/>
          <w:sz w:val="24"/>
          <w:szCs w:val="24"/>
        </w:rPr>
        <w:t xml:space="preserve"> a costa de 8 millones de “minijobs”. El ratio de dependencia alerta de otro de los</w:t>
      </w:r>
      <w:r w:rsidR="001E3EBC">
        <w:rPr>
          <w:rFonts w:ascii="Times New Roman" w:hAnsi="Times New Roman"/>
          <w:sz w:val="24"/>
          <w:szCs w:val="24"/>
        </w:rPr>
        <w:t xml:space="preserve"> graves</w:t>
      </w:r>
      <w:r w:rsidR="00661390">
        <w:rPr>
          <w:rFonts w:ascii="Times New Roman" w:hAnsi="Times New Roman"/>
          <w:sz w:val="24"/>
          <w:szCs w:val="24"/>
        </w:rPr>
        <w:t xml:space="preserve"> problemas que tiene la EU-27, solo superado por Japón. La ZE y Alemania tienen mayores ingresos y gastos del sector públ</w:t>
      </w:r>
      <w:r w:rsidR="001E3EBC">
        <w:rPr>
          <w:rFonts w:ascii="Times New Roman" w:hAnsi="Times New Roman"/>
          <w:sz w:val="24"/>
          <w:szCs w:val="24"/>
        </w:rPr>
        <w:t>ico, otro síntoma</w:t>
      </w:r>
      <w:r w:rsidR="00661390">
        <w:rPr>
          <w:rFonts w:ascii="Times New Roman" w:hAnsi="Times New Roman"/>
          <w:sz w:val="24"/>
          <w:szCs w:val="24"/>
        </w:rPr>
        <w:t xml:space="preserve"> de pérdida de competitividad, de cara a los otros g</w:t>
      </w:r>
      <w:r w:rsidR="00242399">
        <w:rPr>
          <w:rFonts w:ascii="Times New Roman" w:hAnsi="Times New Roman"/>
          <w:sz w:val="24"/>
          <w:szCs w:val="24"/>
        </w:rPr>
        <w:t>randes países</w:t>
      </w:r>
      <w:r w:rsidR="001E3EBC">
        <w:rPr>
          <w:rFonts w:ascii="Times New Roman" w:hAnsi="Times New Roman"/>
          <w:sz w:val="24"/>
          <w:szCs w:val="24"/>
        </w:rPr>
        <w:t xml:space="preserve">. </w:t>
      </w:r>
    </w:p>
    <w:tbl>
      <w:tblPr>
        <w:tblW w:w="10335" w:type="dxa"/>
        <w:tblInd w:w="55" w:type="dxa"/>
        <w:tblCellMar>
          <w:left w:w="70" w:type="dxa"/>
          <w:right w:w="70" w:type="dxa"/>
        </w:tblCellMar>
        <w:tblLook w:val="04A0" w:firstRow="1" w:lastRow="0" w:firstColumn="1" w:lastColumn="0" w:noHBand="0" w:noVBand="1"/>
      </w:tblPr>
      <w:tblGrid>
        <w:gridCol w:w="3504"/>
        <w:gridCol w:w="803"/>
        <w:gridCol w:w="1222"/>
        <w:gridCol w:w="1121"/>
        <w:gridCol w:w="1285"/>
        <w:gridCol w:w="1200"/>
        <w:gridCol w:w="1200"/>
      </w:tblGrid>
      <w:tr w:rsidR="001E3EBC" w:rsidRPr="00A2156A" w:rsidTr="00CD3B4A">
        <w:trPr>
          <w:trHeight w:val="315"/>
        </w:trPr>
        <w:tc>
          <w:tcPr>
            <w:tcW w:w="5529" w:type="dxa"/>
            <w:gridSpan w:val="3"/>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lastRenderedPageBreak/>
              <w:t>General Government Debt (2012) (OCDE)</w:t>
            </w: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(As percentage of GDP)</w:t>
            </w: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1E3EBC" w:rsidRDefault="001E3EBC" w:rsidP="00CD3B4A">
            <w:pPr>
              <w:spacing w:after="0" w:line="240" w:lineRule="auto"/>
              <w:rPr>
                <w:rFonts w:ascii="Times New Roman" w:eastAsia="Times New Roman" w:hAnsi="Times New Roman" w:cs="Times New Roman"/>
                <w:color w:val="000000"/>
                <w:sz w:val="24"/>
                <w:szCs w:val="24"/>
                <w:lang w:eastAsia="es-ES"/>
              </w:rPr>
            </w:pPr>
          </w:p>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EEUU</w:t>
            </w: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Zona Euro</w:t>
            </w: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Alemania</w:t>
            </w: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A2156A">
              <w:rPr>
                <w:rFonts w:ascii="Times New Roman" w:eastAsia="Times New Roman" w:hAnsi="Times New Roman" w:cs="Times New Roman"/>
                <w:color w:val="000000"/>
                <w:sz w:val="24"/>
                <w:szCs w:val="24"/>
                <w:lang w:eastAsia="es-ES"/>
              </w:rPr>
              <w:t>Japón</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A2156A">
              <w:rPr>
                <w:rFonts w:ascii="Times New Roman" w:eastAsia="Times New Roman" w:hAnsi="Times New Roman" w:cs="Times New Roman"/>
                <w:color w:val="000000"/>
                <w:sz w:val="24"/>
                <w:szCs w:val="24"/>
                <w:lang w:eastAsia="es-ES"/>
              </w:rPr>
              <w:t>China</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122,5</w:t>
            </w: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88,5</w:t>
            </w: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A2156A">
              <w:rPr>
                <w:rFonts w:ascii="Times New Roman" w:eastAsia="Times New Roman" w:hAnsi="Times New Roman" w:cs="Times New Roman"/>
                <w:color w:val="000000"/>
                <w:sz w:val="24"/>
                <w:szCs w:val="24"/>
                <w:lang w:eastAsia="es-ES"/>
              </w:rPr>
              <w:t>228</w:t>
            </w:r>
            <w:r>
              <w:rPr>
                <w:rFonts w:ascii="Times New Roman" w:eastAsia="Times New Roman" w:hAnsi="Times New Roman" w:cs="Times New Roman"/>
                <w:color w:val="000000"/>
                <w:sz w:val="24"/>
                <w:szCs w:val="24"/>
                <w:lang w:eastAsia="es-ES"/>
              </w:rPr>
              <w:t xml:space="preserve"> </w:t>
            </w:r>
            <w:r w:rsidRPr="003C4C2C">
              <w:rPr>
                <w:rFonts w:ascii="Times New Roman" w:eastAsia="Times New Roman" w:hAnsi="Times New Roman" w:cs="Times New Roman"/>
                <w:color w:val="000000"/>
                <w:sz w:val="20"/>
                <w:szCs w:val="20"/>
                <w:lang w:eastAsia="es-ES"/>
              </w:rPr>
              <w:t>(2011)</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Default="001E3EBC" w:rsidP="00CD3B4A">
            <w:pPr>
              <w:spacing w:after="0" w:line="240" w:lineRule="auto"/>
              <w:jc w:val="center"/>
              <w:rPr>
                <w:rFonts w:ascii="Times New Roman" w:eastAsia="Times New Roman" w:hAnsi="Times New Roman" w:cs="Times New Roman"/>
                <w:color w:val="000000"/>
                <w:sz w:val="24"/>
                <w:szCs w:val="24"/>
                <w:lang w:eastAsia="es-ES"/>
              </w:rPr>
            </w:pPr>
          </w:p>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r w:rsidR="001E3EBC" w:rsidRPr="00A2156A" w:rsidTr="001E3EBC">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r>
      <w:tr w:rsidR="001E3EBC" w:rsidRPr="00B324C0" w:rsidTr="00CD3B4A">
        <w:trPr>
          <w:trHeight w:val="315"/>
        </w:trPr>
        <w:tc>
          <w:tcPr>
            <w:tcW w:w="9135" w:type="dxa"/>
            <w:gridSpan w:val="6"/>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b/>
                <w:bCs/>
                <w:color w:val="000000"/>
                <w:sz w:val="24"/>
                <w:szCs w:val="24"/>
                <w:lang w:val="en-US" w:eastAsia="es-ES"/>
              </w:rPr>
            </w:pPr>
            <w:r>
              <w:rPr>
                <w:rFonts w:ascii="Times New Roman" w:eastAsia="Times New Roman" w:hAnsi="Times New Roman" w:cs="Times New Roman"/>
                <w:b/>
                <w:bCs/>
                <w:color w:val="000000"/>
                <w:sz w:val="24"/>
                <w:szCs w:val="24"/>
                <w:lang w:val="en-US" w:eastAsia="es-ES"/>
              </w:rPr>
              <w:t>General Government Reve</w:t>
            </w:r>
            <w:r w:rsidR="00A73AE0">
              <w:rPr>
                <w:rFonts w:ascii="Times New Roman" w:eastAsia="Times New Roman" w:hAnsi="Times New Roman" w:cs="Times New Roman"/>
                <w:b/>
                <w:bCs/>
                <w:color w:val="000000"/>
                <w:sz w:val="24"/>
                <w:szCs w:val="24"/>
                <w:lang w:val="en-US" w:eastAsia="es-ES"/>
              </w:rPr>
              <w:t>nues and Expenditures Per Ca</w:t>
            </w:r>
            <w:r w:rsidRPr="00A2156A">
              <w:rPr>
                <w:rFonts w:ascii="Times New Roman" w:eastAsia="Times New Roman" w:hAnsi="Times New Roman" w:cs="Times New Roman"/>
                <w:b/>
                <w:bCs/>
                <w:color w:val="000000"/>
                <w:sz w:val="24"/>
                <w:szCs w:val="24"/>
                <w:lang w:val="en-US" w:eastAsia="es-ES"/>
              </w:rPr>
              <w:t>pita (2011) (OCDE)</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r>
      <w:tr w:rsidR="001E3EBC" w:rsidRPr="00B324C0" w:rsidTr="00CD3B4A">
        <w:trPr>
          <w:trHeight w:val="315"/>
        </w:trPr>
        <w:tc>
          <w:tcPr>
            <w:tcW w:w="4307" w:type="dxa"/>
            <w:gridSpan w:val="2"/>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r w:rsidRPr="00A2156A">
              <w:rPr>
                <w:rFonts w:ascii="Times New Roman" w:eastAsia="Times New Roman" w:hAnsi="Times New Roman" w:cs="Times New Roman"/>
                <w:color w:val="000000"/>
                <w:sz w:val="24"/>
                <w:szCs w:val="24"/>
                <w:lang w:val="en-US" w:eastAsia="es-ES"/>
              </w:rPr>
              <w:t>(US Dollars, current prices and PPPs)</w:t>
            </w: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r>
      <w:tr w:rsidR="001E3EBC" w:rsidRPr="00B324C0"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Revenues</w:t>
            </w: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15.171</w:t>
            </w: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17.580</w:t>
            </w: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11.195</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1.897</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Expenditures</w:t>
            </w: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20.034</w:t>
            </w: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17.879</w:t>
            </w: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14.217</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2.004</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r>
      <w:tr w:rsidR="001E3EBC" w:rsidRPr="00B324C0" w:rsidTr="00CD3B4A">
        <w:trPr>
          <w:trHeight w:val="315"/>
        </w:trPr>
        <w:tc>
          <w:tcPr>
            <w:tcW w:w="6650" w:type="dxa"/>
            <w:gridSpan w:val="4"/>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b/>
                <w:bCs/>
                <w:color w:val="000000"/>
                <w:sz w:val="24"/>
                <w:szCs w:val="24"/>
                <w:lang w:val="en-US" w:eastAsia="es-ES"/>
              </w:rPr>
            </w:pPr>
            <w:r w:rsidRPr="00A2156A">
              <w:rPr>
                <w:rFonts w:ascii="Times New Roman" w:eastAsia="Times New Roman" w:hAnsi="Times New Roman" w:cs="Times New Roman"/>
                <w:b/>
                <w:bCs/>
                <w:color w:val="000000"/>
                <w:sz w:val="24"/>
                <w:szCs w:val="24"/>
                <w:lang w:val="en-US" w:eastAsia="es-ES"/>
              </w:rPr>
              <w:t>Public, Private and Total Net Social Expenditure (2009) (OCDE)</w:t>
            </w: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r>
      <w:tr w:rsidR="001E3EBC" w:rsidRPr="00B324C0"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w:t>
            </w:r>
            <w:r w:rsidRPr="00A2156A">
              <w:rPr>
                <w:rFonts w:ascii="Times New Roman" w:eastAsia="Times New Roman" w:hAnsi="Times New Roman" w:cs="Times New Roman"/>
                <w:color w:val="000000"/>
                <w:sz w:val="24"/>
                <w:szCs w:val="24"/>
                <w:lang w:val="en-US" w:eastAsia="es-ES"/>
              </w:rPr>
              <w:t>e of GDP)</w:t>
            </w: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r>
      <w:tr w:rsidR="001E3EBC" w:rsidRPr="00B324C0"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Public Expenditure</w:t>
            </w: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19,2</w:t>
            </w: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27,8</w:t>
            </w: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22,2</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A2156A">
              <w:rPr>
                <w:rFonts w:ascii="Times New Roman" w:eastAsia="Times New Roman" w:hAnsi="Times New Roman" w:cs="Times New Roman"/>
                <w:color w:val="000000"/>
                <w:sz w:val="24"/>
                <w:szCs w:val="24"/>
                <w:lang w:eastAsia="es-ES"/>
              </w:rPr>
              <w:t>6,5</w:t>
            </w:r>
            <w:r>
              <w:rPr>
                <w:rFonts w:ascii="Times New Roman" w:eastAsia="Times New Roman" w:hAnsi="Times New Roman" w:cs="Times New Roman"/>
                <w:color w:val="000000"/>
                <w:sz w:val="24"/>
                <w:szCs w:val="24"/>
                <w:lang w:eastAsia="es-ES"/>
              </w:rPr>
              <w:t xml:space="preserve"> </w:t>
            </w:r>
            <w:r w:rsidRPr="003C4C2C">
              <w:rPr>
                <w:rFonts w:ascii="Times New Roman" w:eastAsia="Times New Roman" w:hAnsi="Times New Roman" w:cs="Times New Roman"/>
                <w:color w:val="000000"/>
                <w:sz w:val="20"/>
                <w:szCs w:val="20"/>
                <w:lang w:eastAsia="es-ES"/>
              </w:rPr>
              <w:t>(2008)</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Private Expenditure</w:t>
            </w: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10,5</w:t>
            </w: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3,2</w:t>
            </w: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Total Net Social Expenditure</w:t>
            </w: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28,8</w:t>
            </w: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27,5</w:t>
            </w: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28,8</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r w:rsidR="001E3EBC" w:rsidRPr="00B324C0" w:rsidTr="00CD3B4A">
        <w:trPr>
          <w:trHeight w:val="315"/>
        </w:trPr>
        <w:tc>
          <w:tcPr>
            <w:tcW w:w="6650" w:type="dxa"/>
            <w:gridSpan w:val="4"/>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b/>
                <w:bCs/>
                <w:color w:val="000000"/>
                <w:sz w:val="24"/>
                <w:szCs w:val="24"/>
                <w:lang w:val="en-US" w:eastAsia="es-ES"/>
              </w:rPr>
            </w:pPr>
            <w:r w:rsidRPr="00A2156A">
              <w:rPr>
                <w:rFonts w:ascii="Times New Roman" w:eastAsia="Times New Roman" w:hAnsi="Times New Roman" w:cs="Times New Roman"/>
                <w:b/>
                <w:bCs/>
                <w:color w:val="000000"/>
                <w:sz w:val="24"/>
                <w:szCs w:val="24"/>
                <w:lang w:val="en-US" w:eastAsia="es-ES"/>
              </w:rPr>
              <w:t>Public and Private Expenditure on Pension (2009) (OCDE)</w:t>
            </w: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r>
      <w:tr w:rsidR="001E3EBC" w:rsidRPr="00B324C0"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w:t>
            </w:r>
            <w:r w:rsidRPr="00A2156A">
              <w:rPr>
                <w:rFonts w:ascii="Times New Roman" w:eastAsia="Times New Roman" w:hAnsi="Times New Roman" w:cs="Times New Roman"/>
                <w:color w:val="000000"/>
                <w:sz w:val="24"/>
                <w:szCs w:val="24"/>
                <w:lang w:val="en-US" w:eastAsia="es-ES"/>
              </w:rPr>
              <w:t>e of GDP)</w:t>
            </w: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r>
      <w:tr w:rsidR="001E3EBC" w:rsidRPr="00B324C0"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rPr>
                <w:rFonts w:ascii="Times New Roman" w:eastAsia="Times New Roman" w:hAnsi="Times New Roman" w:cs="Times New Roman"/>
                <w:color w:val="000000"/>
                <w:sz w:val="24"/>
                <w:szCs w:val="24"/>
                <w:lang w:val="en-US"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A73AE0" w:rsidP="00CD3B4A">
            <w:pPr>
              <w:spacing w:after="0" w:line="240" w:lineRule="auto"/>
              <w:jc w:val="center"/>
              <w:rPr>
                <w:rFonts w:ascii="Times New Roman" w:eastAsia="Times New Roman" w:hAnsi="Times New Roman" w:cs="Times New Roman"/>
                <w:b/>
                <w:bCs/>
                <w:color w:val="000000"/>
                <w:sz w:val="24"/>
                <w:szCs w:val="24"/>
                <w:lang w:eastAsia="es-ES"/>
              </w:rPr>
            </w:pPr>
            <w:r>
              <w:rPr>
                <w:rFonts w:ascii="Times New Roman" w:eastAsia="Times New Roman" w:hAnsi="Times New Roman" w:cs="Times New Roman"/>
                <w:b/>
                <w:bCs/>
                <w:color w:val="000000"/>
                <w:sz w:val="24"/>
                <w:szCs w:val="24"/>
                <w:lang w:eastAsia="es-ES"/>
              </w:rPr>
              <w:t>Public Expe</w:t>
            </w:r>
            <w:r w:rsidR="001E3EBC" w:rsidRPr="00A2156A">
              <w:rPr>
                <w:rFonts w:ascii="Times New Roman" w:eastAsia="Times New Roman" w:hAnsi="Times New Roman" w:cs="Times New Roman"/>
                <w:b/>
                <w:bCs/>
                <w:color w:val="000000"/>
                <w:sz w:val="24"/>
                <w:szCs w:val="24"/>
                <w:lang w:eastAsia="es-ES"/>
              </w:rPr>
              <w:t>nditure</w:t>
            </w: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6,8</w:t>
            </w: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11,3</w:t>
            </w: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10,2</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Private Expenditure</w:t>
            </w: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2,9</w:t>
            </w: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0,3</w:t>
            </w: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r w:rsidR="001E3EBC" w:rsidRPr="00A2156A" w:rsidTr="00CD3B4A">
        <w:trPr>
          <w:trHeight w:val="315"/>
        </w:trPr>
        <w:tc>
          <w:tcPr>
            <w:tcW w:w="3504"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E3EBC" w:rsidRPr="00A2156A" w:rsidRDefault="001E3EBC" w:rsidP="00CD3B4A">
            <w:pPr>
              <w:spacing w:after="0" w:line="240" w:lineRule="auto"/>
              <w:jc w:val="center"/>
              <w:rPr>
                <w:rFonts w:ascii="Times New Roman" w:eastAsia="Times New Roman" w:hAnsi="Times New Roman" w:cs="Times New Roman"/>
                <w:color w:val="000000"/>
                <w:sz w:val="24"/>
                <w:szCs w:val="24"/>
                <w:lang w:eastAsia="es-ES"/>
              </w:rPr>
            </w:pPr>
          </w:p>
        </w:tc>
      </w:tr>
    </w:tbl>
    <w:p w:rsidR="001E3EBC" w:rsidRPr="00AA277C" w:rsidRDefault="001E3EBC" w:rsidP="001E3EBC">
      <w:pPr>
        <w:spacing w:after="0" w:line="240" w:lineRule="auto"/>
        <w:jc w:val="both"/>
        <w:rPr>
          <w:rFonts w:ascii="Times New Roman" w:hAnsi="Times New Roman"/>
          <w:sz w:val="24"/>
          <w:szCs w:val="24"/>
        </w:rPr>
      </w:pPr>
    </w:p>
    <w:p w:rsidR="001E3EBC" w:rsidRPr="001E3EBC" w:rsidRDefault="001E3EBC" w:rsidP="001E3EBC">
      <w:pPr>
        <w:spacing w:after="0" w:line="240" w:lineRule="auto"/>
        <w:jc w:val="both"/>
        <w:rPr>
          <w:rFonts w:ascii="Times New Roman" w:hAnsi="Times New Roman"/>
          <w:sz w:val="24"/>
          <w:szCs w:val="24"/>
        </w:rPr>
      </w:pPr>
      <w:r>
        <w:rPr>
          <w:rFonts w:ascii="Times New Roman" w:hAnsi="Times New Roman"/>
          <w:b/>
          <w:sz w:val="24"/>
          <w:szCs w:val="24"/>
        </w:rPr>
        <w:t xml:space="preserve">Al margen: </w:t>
      </w:r>
      <w:r w:rsidRPr="001E3EBC">
        <w:rPr>
          <w:rFonts w:ascii="Times New Roman" w:hAnsi="Times New Roman"/>
          <w:sz w:val="24"/>
          <w:szCs w:val="24"/>
        </w:rPr>
        <w:t>Alemania</w:t>
      </w:r>
      <w:r>
        <w:rPr>
          <w:rFonts w:ascii="Times New Roman" w:hAnsi="Times New Roman"/>
          <w:sz w:val="24"/>
          <w:szCs w:val="24"/>
        </w:rPr>
        <w:t xml:space="preserve"> tiene un porcentaje de deuda pública significativamente menor que EEUU y Japón (dando margen de maniobra para </w:t>
      </w:r>
      <w:r w:rsidR="00253DDB">
        <w:rPr>
          <w:rFonts w:ascii="Times New Roman" w:hAnsi="Times New Roman"/>
          <w:sz w:val="24"/>
          <w:szCs w:val="24"/>
        </w:rPr>
        <w:t>un incremento productivo de la misma). Alemania también muestra un alto grado de equilibrio de ingresos y gastos medidos en moneda corriente</w:t>
      </w:r>
      <w:r w:rsidR="00A912FC">
        <w:rPr>
          <w:rFonts w:ascii="Times New Roman" w:hAnsi="Times New Roman"/>
          <w:sz w:val="24"/>
          <w:szCs w:val="24"/>
        </w:rPr>
        <w:t xml:space="preserve"> (dando margen de maniobra, sin perder competitividad, ante EEUU y Japón)</w:t>
      </w:r>
      <w:r w:rsidR="00253DDB">
        <w:rPr>
          <w:rFonts w:ascii="Times New Roman" w:hAnsi="Times New Roman"/>
          <w:sz w:val="24"/>
          <w:szCs w:val="24"/>
        </w:rPr>
        <w:t>.</w:t>
      </w:r>
      <w:r>
        <w:rPr>
          <w:rFonts w:ascii="Times New Roman" w:hAnsi="Times New Roman"/>
          <w:sz w:val="24"/>
          <w:szCs w:val="24"/>
        </w:rPr>
        <w:t xml:space="preserve"> </w:t>
      </w:r>
      <w:r w:rsidR="00253DDB">
        <w:rPr>
          <w:rFonts w:ascii="Times New Roman" w:hAnsi="Times New Roman"/>
          <w:sz w:val="24"/>
          <w:szCs w:val="24"/>
        </w:rPr>
        <w:t>Alemania tiene una mayor participación del sector pú</w:t>
      </w:r>
      <w:r w:rsidR="00A912FC">
        <w:rPr>
          <w:rFonts w:ascii="Times New Roman" w:hAnsi="Times New Roman"/>
          <w:sz w:val="24"/>
          <w:szCs w:val="24"/>
        </w:rPr>
        <w:t>blico en el gasto social y el sistema de pensiones (restando margen de maniobra y competitividad, ante EEUU y Japón).</w:t>
      </w:r>
      <w:r>
        <w:rPr>
          <w:rFonts w:ascii="Times New Roman" w:hAnsi="Times New Roman"/>
          <w:sz w:val="24"/>
          <w:szCs w:val="24"/>
        </w:rPr>
        <w:t xml:space="preserve"> </w:t>
      </w:r>
    </w:p>
    <w:p w:rsidR="001E3EBC" w:rsidRPr="00F46174" w:rsidRDefault="001E3EBC" w:rsidP="001E3EBC">
      <w:pPr>
        <w:spacing w:after="0" w:line="240" w:lineRule="auto"/>
        <w:jc w:val="both"/>
        <w:rPr>
          <w:rFonts w:ascii="Times New Roman" w:hAnsi="Times New Roman"/>
          <w:sz w:val="24"/>
          <w:szCs w:val="24"/>
        </w:rPr>
      </w:pPr>
    </w:p>
    <w:p w:rsidR="001E3EBC" w:rsidRDefault="001E3EBC" w:rsidP="001E3EBC">
      <w:pPr>
        <w:spacing w:after="0" w:line="240" w:lineRule="auto"/>
        <w:jc w:val="both"/>
        <w:rPr>
          <w:rFonts w:ascii="Times New Roman" w:hAnsi="Times New Roman"/>
          <w:sz w:val="20"/>
          <w:szCs w:val="20"/>
        </w:rPr>
      </w:pPr>
    </w:p>
    <w:p w:rsidR="001E3EBC" w:rsidRDefault="001E3EBC" w:rsidP="001E3EBC">
      <w:pPr>
        <w:spacing w:after="0" w:line="240" w:lineRule="auto"/>
        <w:jc w:val="both"/>
        <w:rPr>
          <w:rFonts w:ascii="Times New Roman" w:hAnsi="Times New Roman"/>
          <w:sz w:val="20"/>
          <w:szCs w:val="20"/>
        </w:rPr>
      </w:pPr>
    </w:p>
    <w:p w:rsidR="001E3EBC" w:rsidRDefault="001E3EBC" w:rsidP="001E3EBC">
      <w:pPr>
        <w:spacing w:after="0" w:line="240" w:lineRule="auto"/>
        <w:jc w:val="both"/>
        <w:rPr>
          <w:rFonts w:ascii="Times New Roman" w:hAnsi="Times New Roman"/>
          <w:sz w:val="20"/>
          <w:szCs w:val="20"/>
        </w:rPr>
      </w:pPr>
    </w:p>
    <w:p w:rsidR="001E3EBC" w:rsidRDefault="001E3EBC" w:rsidP="001E3EBC">
      <w:pPr>
        <w:spacing w:after="0" w:line="240" w:lineRule="auto"/>
        <w:jc w:val="both"/>
        <w:rPr>
          <w:rFonts w:ascii="Times New Roman" w:hAnsi="Times New Roman"/>
          <w:sz w:val="20"/>
          <w:szCs w:val="20"/>
        </w:rPr>
      </w:pPr>
    </w:p>
    <w:p w:rsidR="00A912FC" w:rsidRDefault="00A912FC" w:rsidP="001E3EBC">
      <w:pPr>
        <w:spacing w:after="0" w:line="240" w:lineRule="auto"/>
        <w:jc w:val="both"/>
        <w:rPr>
          <w:rFonts w:ascii="Times New Roman" w:hAnsi="Times New Roman"/>
          <w:sz w:val="20"/>
          <w:szCs w:val="20"/>
        </w:rPr>
      </w:pPr>
    </w:p>
    <w:p w:rsidR="00A912FC" w:rsidRDefault="00A912FC" w:rsidP="001E3EBC">
      <w:pPr>
        <w:spacing w:after="0" w:line="240" w:lineRule="auto"/>
        <w:jc w:val="both"/>
        <w:rPr>
          <w:rFonts w:ascii="Times New Roman" w:hAnsi="Times New Roman"/>
          <w:sz w:val="20"/>
          <w:szCs w:val="20"/>
        </w:rPr>
      </w:pPr>
    </w:p>
    <w:p w:rsidR="00A912FC" w:rsidRDefault="00A912FC" w:rsidP="001E3EBC">
      <w:pPr>
        <w:spacing w:after="0" w:line="240" w:lineRule="auto"/>
        <w:jc w:val="both"/>
        <w:rPr>
          <w:rFonts w:ascii="Times New Roman" w:hAnsi="Times New Roman"/>
          <w:sz w:val="20"/>
          <w:szCs w:val="20"/>
        </w:rPr>
      </w:pPr>
    </w:p>
    <w:p w:rsidR="00A912FC" w:rsidRDefault="00A912FC" w:rsidP="001E3EBC">
      <w:pPr>
        <w:spacing w:after="0" w:line="240" w:lineRule="auto"/>
        <w:jc w:val="both"/>
        <w:rPr>
          <w:rFonts w:ascii="Times New Roman" w:hAnsi="Times New Roman"/>
          <w:sz w:val="20"/>
          <w:szCs w:val="20"/>
        </w:rPr>
      </w:pPr>
    </w:p>
    <w:tbl>
      <w:tblPr>
        <w:tblW w:w="8440" w:type="dxa"/>
        <w:tblInd w:w="55" w:type="dxa"/>
        <w:tblCellMar>
          <w:left w:w="70" w:type="dxa"/>
          <w:right w:w="70" w:type="dxa"/>
        </w:tblCellMar>
        <w:tblLook w:val="04A0" w:firstRow="1" w:lastRow="0" w:firstColumn="1" w:lastColumn="0" w:noHBand="0" w:noVBand="1"/>
      </w:tblPr>
      <w:tblGrid>
        <w:gridCol w:w="2881"/>
        <w:gridCol w:w="781"/>
        <w:gridCol w:w="1178"/>
        <w:gridCol w:w="1200"/>
        <w:gridCol w:w="1200"/>
        <w:gridCol w:w="1200"/>
      </w:tblGrid>
      <w:tr w:rsidR="00A912FC" w:rsidRPr="00B324C0" w:rsidTr="00CD3B4A">
        <w:trPr>
          <w:trHeight w:val="315"/>
        </w:trPr>
        <w:tc>
          <w:tcPr>
            <w:tcW w:w="4840" w:type="dxa"/>
            <w:gridSpan w:val="3"/>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b/>
                <w:bCs/>
                <w:color w:val="000000"/>
                <w:sz w:val="24"/>
                <w:szCs w:val="24"/>
                <w:lang w:val="en-US" w:eastAsia="es-ES"/>
              </w:rPr>
            </w:pPr>
            <w:r w:rsidRPr="00A2156A">
              <w:rPr>
                <w:rFonts w:ascii="Times New Roman" w:eastAsia="Times New Roman" w:hAnsi="Times New Roman" w:cs="Times New Roman"/>
                <w:b/>
                <w:bCs/>
                <w:color w:val="000000"/>
                <w:sz w:val="24"/>
                <w:szCs w:val="24"/>
                <w:lang w:val="en-US" w:eastAsia="es-ES"/>
              </w:rPr>
              <w:lastRenderedPageBreak/>
              <w:t>Taxes on the average worker (2012) (OCDE)</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r>
      <w:tr w:rsidR="00A912FC" w:rsidRPr="00B324C0" w:rsidTr="00CD3B4A">
        <w:trPr>
          <w:trHeight w:val="315"/>
        </w:trPr>
        <w:tc>
          <w:tcPr>
            <w:tcW w:w="3662" w:type="dxa"/>
            <w:gridSpan w:val="2"/>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percentage of labour cost</w:t>
            </w:r>
            <w:r w:rsidRPr="00A2156A">
              <w:rPr>
                <w:rFonts w:ascii="Times New Roman" w:eastAsia="Times New Roman" w:hAnsi="Times New Roman" w:cs="Times New Roman"/>
                <w:color w:val="000000"/>
                <w:sz w:val="24"/>
                <w:szCs w:val="24"/>
                <w:lang w:val="en-US" w:eastAsia="es-ES"/>
              </w:rPr>
              <w:t>)</w:t>
            </w: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val="en-US"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EEUU</w:t>
            </w:r>
          </w:p>
        </w:tc>
        <w:tc>
          <w:tcPr>
            <w:tcW w:w="1178" w:type="dxa"/>
            <w:tcBorders>
              <w:top w:val="nil"/>
              <w:left w:val="nil"/>
              <w:bottom w:val="nil"/>
              <w:right w:val="nil"/>
            </w:tcBorders>
            <w:shd w:val="clear" w:color="auto" w:fill="auto"/>
            <w:noWrap/>
            <w:vAlign w:val="bottom"/>
            <w:hideMark/>
          </w:tcPr>
          <w:p w:rsidR="00A912FC" w:rsidRPr="00A2156A" w:rsidRDefault="00242399" w:rsidP="00CD3B4A">
            <w:pPr>
              <w:spacing w:after="0" w:line="240" w:lineRule="auto"/>
              <w:jc w:val="center"/>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Zona E</w:t>
            </w:r>
            <w:r w:rsidR="00A912FC" w:rsidRPr="00A2156A">
              <w:rPr>
                <w:rFonts w:ascii="Times New Roman" w:eastAsia="Times New Roman" w:hAnsi="Times New Roman" w:cs="Times New Roman"/>
                <w:color w:val="000000"/>
                <w:sz w:val="24"/>
                <w:szCs w:val="24"/>
                <w:lang w:eastAsia="es-ES"/>
              </w:rPr>
              <w:t>uro</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Alemania</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Japón</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China</w:t>
            </w: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2008</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29,8</w:t>
            </w: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51,5</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29,5</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29,6</w:t>
            </w: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49,8</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31,2</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r>
      <w:tr w:rsidR="00A912FC" w:rsidRPr="00A2156A" w:rsidTr="00CD3B4A">
        <w:trPr>
          <w:trHeight w:val="315"/>
        </w:trPr>
        <w:tc>
          <w:tcPr>
            <w:tcW w:w="3662" w:type="dxa"/>
            <w:gridSpan w:val="2"/>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 xml:space="preserve">Total taxes revenue </w:t>
            </w:r>
            <w:r w:rsidR="00876D48">
              <w:rPr>
                <w:rFonts w:ascii="Times New Roman" w:eastAsia="Times New Roman" w:hAnsi="Times New Roman" w:cs="Times New Roman"/>
                <w:b/>
                <w:bCs/>
                <w:color w:val="000000"/>
                <w:sz w:val="24"/>
                <w:szCs w:val="24"/>
                <w:lang w:eastAsia="es-ES"/>
              </w:rPr>
              <w:t xml:space="preserve"> </w:t>
            </w:r>
            <w:r w:rsidRPr="00A2156A">
              <w:rPr>
                <w:rFonts w:ascii="Times New Roman" w:eastAsia="Times New Roman" w:hAnsi="Times New Roman" w:cs="Times New Roman"/>
                <w:b/>
                <w:bCs/>
                <w:color w:val="000000"/>
                <w:sz w:val="24"/>
                <w:szCs w:val="24"/>
                <w:lang w:eastAsia="es-ES"/>
              </w:rPr>
              <w:t>(2012) (OCDE)</w:t>
            </w: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r>
      <w:tr w:rsidR="00A912FC" w:rsidRPr="00B324C0"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w:t>
            </w:r>
            <w:r w:rsidRPr="00A2156A">
              <w:rPr>
                <w:rFonts w:ascii="Times New Roman" w:eastAsia="Times New Roman" w:hAnsi="Times New Roman" w:cs="Times New Roman"/>
                <w:color w:val="000000"/>
                <w:sz w:val="24"/>
                <w:szCs w:val="24"/>
                <w:lang w:val="en-US" w:eastAsia="es-ES"/>
              </w:rPr>
              <w:t>e of GDP)</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r>
      <w:tr w:rsidR="00A912FC" w:rsidRPr="00B324C0"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2008</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25,4</w:t>
            </w: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36,5</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28,5</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24,3</w:t>
            </w: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37,6</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28,6 (1)</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 (Año 2011)</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eastAsia="es-ES"/>
              </w:rPr>
            </w:pPr>
          </w:p>
        </w:tc>
      </w:tr>
      <w:tr w:rsidR="00A912FC" w:rsidRPr="00B324C0" w:rsidTr="00CD3B4A">
        <w:trPr>
          <w:trHeight w:val="315"/>
        </w:trPr>
        <w:tc>
          <w:tcPr>
            <w:tcW w:w="4840" w:type="dxa"/>
            <w:gridSpan w:val="3"/>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b/>
                <w:bCs/>
                <w:color w:val="000000"/>
                <w:sz w:val="24"/>
                <w:szCs w:val="24"/>
                <w:lang w:val="en-US" w:eastAsia="es-ES"/>
              </w:rPr>
            </w:pPr>
            <w:r w:rsidRPr="00A2156A">
              <w:rPr>
                <w:rFonts w:ascii="Times New Roman" w:eastAsia="Times New Roman" w:hAnsi="Times New Roman" w:cs="Times New Roman"/>
                <w:b/>
                <w:bCs/>
                <w:color w:val="000000"/>
                <w:sz w:val="24"/>
                <w:szCs w:val="24"/>
                <w:lang w:val="en-US" w:eastAsia="es-ES"/>
              </w:rPr>
              <w:t>Taxes on income and profits (2012) (OCDE)</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r>
      <w:tr w:rsidR="00A912FC" w:rsidRPr="00B324C0"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w:t>
            </w:r>
            <w:r w:rsidRPr="00A2156A">
              <w:rPr>
                <w:rFonts w:ascii="Times New Roman" w:eastAsia="Times New Roman" w:hAnsi="Times New Roman" w:cs="Times New Roman"/>
                <w:color w:val="000000"/>
                <w:sz w:val="24"/>
                <w:szCs w:val="24"/>
                <w:lang w:val="en-US" w:eastAsia="es-ES"/>
              </w:rPr>
              <w:t>e of GDP)</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r>
      <w:tr w:rsidR="00A912FC" w:rsidRPr="00B324C0"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2008</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11,6</w:t>
            </w: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11,5</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9,6</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11,6</w:t>
            </w: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11,4</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11,4</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r>
      <w:tr w:rsidR="00A912FC" w:rsidRPr="00B324C0" w:rsidTr="00CD3B4A">
        <w:trPr>
          <w:trHeight w:val="315"/>
        </w:trPr>
        <w:tc>
          <w:tcPr>
            <w:tcW w:w="4840" w:type="dxa"/>
            <w:gridSpan w:val="3"/>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b/>
                <w:bCs/>
                <w:color w:val="000000"/>
                <w:sz w:val="24"/>
                <w:szCs w:val="24"/>
                <w:lang w:val="en-US" w:eastAsia="es-ES"/>
              </w:rPr>
            </w:pPr>
            <w:r w:rsidRPr="00A2156A">
              <w:rPr>
                <w:rFonts w:ascii="Times New Roman" w:eastAsia="Times New Roman" w:hAnsi="Times New Roman" w:cs="Times New Roman"/>
                <w:b/>
                <w:bCs/>
                <w:color w:val="000000"/>
                <w:sz w:val="24"/>
                <w:szCs w:val="24"/>
                <w:lang w:val="en-US" w:eastAsia="es-ES"/>
              </w:rPr>
              <w:t>Taxes on goods and services (2012) (OCDE)</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r>
      <w:tr w:rsidR="00A912FC" w:rsidRPr="00B324C0"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r>
              <w:rPr>
                <w:rFonts w:ascii="Times New Roman" w:eastAsia="Times New Roman" w:hAnsi="Times New Roman" w:cs="Times New Roman"/>
                <w:color w:val="000000"/>
                <w:sz w:val="24"/>
                <w:szCs w:val="24"/>
                <w:lang w:val="en-US" w:eastAsia="es-ES"/>
              </w:rPr>
              <w:t>(As a percentag</w:t>
            </w:r>
            <w:r w:rsidRPr="00A2156A">
              <w:rPr>
                <w:rFonts w:ascii="Times New Roman" w:eastAsia="Times New Roman" w:hAnsi="Times New Roman" w:cs="Times New Roman"/>
                <w:color w:val="000000"/>
                <w:sz w:val="24"/>
                <w:szCs w:val="24"/>
                <w:lang w:val="en-US" w:eastAsia="es-ES"/>
              </w:rPr>
              <w:t>e of GDP)</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r>
      <w:tr w:rsidR="00A912FC" w:rsidRPr="00B324C0"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rPr>
                <w:rFonts w:ascii="Times New Roman" w:eastAsia="Times New Roman" w:hAnsi="Times New Roman" w:cs="Times New Roman"/>
                <w:color w:val="000000"/>
                <w:sz w:val="24"/>
                <w:szCs w:val="24"/>
                <w:lang w:val="en-US" w:eastAsia="es-ES"/>
              </w:rPr>
            </w:pP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2008</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4,4</w:t>
            </w: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10,6</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5,1</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b/>
                <w:bCs/>
                <w:color w:val="000000"/>
                <w:sz w:val="24"/>
                <w:szCs w:val="24"/>
                <w:lang w:eastAsia="es-ES"/>
              </w:rPr>
            </w:pPr>
            <w:r w:rsidRPr="00A2156A">
              <w:rPr>
                <w:rFonts w:ascii="Times New Roman" w:eastAsia="Times New Roman" w:hAnsi="Times New Roman" w:cs="Times New Roman"/>
                <w:b/>
                <w:bCs/>
                <w:color w:val="000000"/>
                <w:sz w:val="24"/>
                <w:szCs w:val="24"/>
                <w:lang w:eastAsia="es-ES"/>
              </w:rPr>
              <w:t>2012</w:t>
            </w: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4,4</w:t>
            </w: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10,7</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5,2</w:t>
            </w: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r w:rsidRPr="00A2156A">
              <w:rPr>
                <w:rFonts w:ascii="Times New Roman" w:eastAsia="Times New Roman" w:hAnsi="Times New Roman" w:cs="Times New Roman"/>
                <w:color w:val="000000"/>
                <w:sz w:val="24"/>
                <w:szCs w:val="24"/>
                <w:lang w:eastAsia="es-ES"/>
              </w:rPr>
              <w:t>N/D</w:t>
            </w:r>
          </w:p>
        </w:tc>
      </w:tr>
      <w:tr w:rsidR="00A912FC" w:rsidRPr="00A2156A" w:rsidTr="00CD3B4A">
        <w:trPr>
          <w:trHeight w:val="315"/>
        </w:trPr>
        <w:tc>
          <w:tcPr>
            <w:tcW w:w="28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781"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178"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A912FC" w:rsidRPr="00A2156A" w:rsidRDefault="00A912FC" w:rsidP="00CD3B4A">
            <w:pPr>
              <w:spacing w:after="0" w:line="240" w:lineRule="auto"/>
              <w:jc w:val="center"/>
              <w:rPr>
                <w:rFonts w:ascii="Times New Roman" w:eastAsia="Times New Roman" w:hAnsi="Times New Roman" w:cs="Times New Roman"/>
                <w:color w:val="000000"/>
                <w:sz w:val="24"/>
                <w:szCs w:val="24"/>
                <w:lang w:eastAsia="es-ES"/>
              </w:rPr>
            </w:pPr>
          </w:p>
        </w:tc>
      </w:tr>
    </w:tbl>
    <w:p w:rsidR="00A912FC" w:rsidRDefault="00A912FC" w:rsidP="00A912FC">
      <w:pPr>
        <w:spacing w:after="0" w:line="240" w:lineRule="auto"/>
        <w:jc w:val="both"/>
        <w:rPr>
          <w:rFonts w:ascii="Times New Roman" w:hAnsi="Times New Roman"/>
          <w:sz w:val="20"/>
          <w:szCs w:val="20"/>
        </w:rPr>
      </w:pPr>
    </w:p>
    <w:p w:rsidR="00A912FC" w:rsidRDefault="00A912FC" w:rsidP="00A912FC">
      <w:pPr>
        <w:spacing w:after="0" w:line="240" w:lineRule="auto"/>
        <w:jc w:val="both"/>
        <w:rPr>
          <w:rFonts w:ascii="Times New Roman" w:hAnsi="Times New Roman"/>
          <w:sz w:val="20"/>
          <w:szCs w:val="20"/>
        </w:rPr>
      </w:pPr>
    </w:p>
    <w:p w:rsidR="00845D2E" w:rsidRDefault="00A912FC" w:rsidP="008E217C">
      <w:pPr>
        <w:spacing w:after="0" w:line="240" w:lineRule="auto"/>
        <w:jc w:val="both"/>
        <w:rPr>
          <w:rFonts w:ascii="Times New Roman" w:hAnsi="Times New Roman"/>
          <w:sz w:val="24"/>
          <w:szCs w:val="24"/>
        </w:rPr>
      </w:pPr>
      <w:r w:rsidRPr="00A912FC">
        <w:rPr>
          <w:rFonts w:ascii="Times New Roman" w:hAnsi="Times New Roman"/>
          <w:b/>
          <w:sz w:val="24"/>
          <w:szCs w:val="24"/>
        </w:rPr>
        <w:t>Al margen:</w:t>
      </w:r>
      <w:r>
        <w:rPr>
          <w:rFonts w:ascii="Times New Roman" w:hAnsi="Times New Roman"/>
          <w:sz w:val="24"/>
          <w:szCs w:val="24"/>
        </w:rPr>
        <w:t xml:space="preserve"> Alemania presenta un alto costo fiscal para el trabajador, en comparación con EEUU y Japón (a todas vistas injustificado en función de los recortes en prestaciones sociales</w:t>
      </w:r>
      <w:r w:rsidR="00876D48">
        <w:rPr>
          <w:rFonts w:ascii="Times New Roman" w:hAnsi="Times New Roman"/>
          <w:sz w:val="24"/>
          <w:szCs w:val="24"/>
        </w:rPr>
        <w:t>,</w:t>
      </w:r>
      <w:r>
        <w:rPr>
          <w:rFonts w:ascii="Times New Roman" w:hAnsi="Times New Roman"/>
          <w:sz w:val="24"/>
          <w:szCs w:val="24"/>
        </w:rPr>
        <w:t xml:space="preserve"> y otros servicios públicos</w:t>
      </w:r>
      <w:r w:rsidR="00876D48">
        <w:rPr>
          <w:rFonts w:ascii="Times New Roman" w:hAnsi="Times New Roman"/>
          <w:sz w:val="24"/>
          <w:szCs w:val="24"/>
        </w:rPr>
        <w:t>, que ha sufrido</w:t>
      </w:r>
      <w:r>
        <w:rPr>
          <w:rFonts w:ascii="Times New Roman" w:hAnsi="Times New Roman"/>
          <w:sz w:val="24"/>
          <w:szCs w:val="24"/>
        </w:rPr>
        <w:t xml:space="preserve"> el trabajador durante la crisis). </w:t>
      </w:r>
      <w:r w:rsidR="00876D48">
        <w:rPr>
          <w:rFonts w:ascii="Times New Roman" w:hAnsi="Times New Roman"/>
          <w:sz w:val="24"/>
          <w:szCs w:val="24"/>
        </w:rPr>
        <w:t>Gravísima disminución de ingresos del trabajador: ¿a cambio de qué? El mismo come</w:t>
      </w:r>
      <w:r w:rsidR="00DC077C">
        <w:rPr>
          <w:rFonts w:ascii="Times New Roman" w:hAnsi="Times New Roman"/>
          <w:sz w:val="24"/>
          <w:szCs w:val="24"/>
        </w:rPr>
        <w:t>ntario se puede realizar respecto a</w:t>
      </w:r>
      <w:r w:rsidR="00876D48">
        <w:rPr>
          <w:rFonts w:ascii="Times New Roman" w:hAnsi="Times New Roman"/>
          <w:sz w:val="24"/>
          <w:szCs w:val="24"/>
        </w:rPr>
        <w:t>l costo fiscal total (como porc</w:t>
      </w:r>
      <w:r w:rsidR="00845D2E">
        <w:rPr>
          <w:rFonts w:ascii="Times New Roman" w:hAnsi="Times New Roman"/>
          <w:sz w:val="24"/>
          <w:szCs w:val="24"/>
        </w:rPr>
        <w:t>entaje sobre PIB): una notable</w:t>
      </w:r>
      <w:r w:rsidR="00876D48">
        <w:rPr>
          <w:rFonts w:ascii="Times New Roman" w:hAnsi="Times New Roman"/>
          <w:sz w:val="24"/>
          <w:szCs w:val="24"/>
        </w:rPr>
        <w:t xml:space="preserve"> pérdida de competitividad</w:t>
      </w:r>
      <w:r w:rsidR="00845D2E">
        <w:rPr>
          <w:rFonts w:ascii="Times New Roman" w:hAnsi="Times New Roman"/>
          <w:sz w:val="24"/>
          <w:szCs w:val="24"/>
        </w:rPr>
        <w:t>, a cambio de nada o de muy poco</w:t>
      </w:r>
      <w:r w:rsidR="00876D48">
        <w:rPr>
          <w:rFonts w:ascii="Times New Roman" w:hAnsi="Times New Roman"/>
          <w:sz w:val="24"/>
          <w:szCs w:val="24"/>
        </w:rPr>
        <w:t>,</w:t>
      </w:r>
      <w:r w:rsidR="00845D2E">
        <w:rPr>
          <w:rFonts w:ascii="Times New Roman" w:hAnsi="Times New Roman"/>
          <w:sz w:val="24"/>
          <w:szCs w:val="24"/>
        </w:rPr>
        <w:t xml:space="preserve"> y sobre la que el sector público no  da explicaciones, y tampoco demuestra espíritu de enmienda. Donde sí se muestra “competitiva” Alemania es a la hora de gravar los ingresos y ganancias de las empresas, volviendo nuevamente a la “andadas” cuando se trata de gravar los “consumos” (mercancías y servicios). Entre minijobs, vuelta al trabajo de los pensionistas (por necesidad y urgencia), salarios menores a los 9 euros la hora… el “milagro” alemán se está tornando un “suplicio” social para sus ciudadanos, y con ellos para toda la Unión Europea que marcha al “dictat” de la locomotora germana. </w:t>
      </w:r>
    </w:p>
    <w:tbl>
      <w:tblPr>
        <w:tblW w:w="16810" w:type="dxa"/>
        <w:tblInd w:w="55" w:type="dxa"/>
        <w:tblCellMar>
          <w:left w:w="70" w:type="dxa"/>
          <w:right w:w="70" w:type="dxa"/>
        </w:tblCellMar>
        <w:tblLook w:val="04A0" w:firstRow="1" w:lastRow="0" w:firstColumn="1" w:lastColumn="0" w:noHBand="0" w:noVBand="1"/>
      </w:tblPr>
      <w:tblGrid>
        <w:gridCol w:w="9979"/>
        <w:gridCol w:w="803"/>
        <w:gridCol w:w="1222"/>
        <w:gridCol w:w="1121"/>
        <w:gridCol w:w="1285"/>
        <w:gridCol w:w="1200"/>
        <w:gridCol w:w="1200"/>
      </w:tblGrid>
      <w:tr w:rsidR="00A2156A" w:rsidRPr="00C817FE" w:rsidTr="00776983">
        <w:trPr>
          <w:trHeight w:val="315"/>
        </w:trPr>
        <w:tc>
          <w:tcPr>
            <w:tcW w:w="9979" w:type="dxa"/>
            <w:tcBorders>
              <w:top w:val="nil"/>
              <w:left w:val="nil"/>
              <w:bottom w:val="nil"/>
              <w:right w:val="nil"/>
            </w:tcBorders>
            <w:shd w:val="clear" w:color="auto" w:fill="auto"/>
            <w:noWrap/>
            <w:vAlign w:val="bottom"/>
          </w:tcPr>
          <w:p w:rsidR="00814E0B" w:rsidRPr="00147DF6" w:rsidRDefault="00876D48" w:rsidP="00814E0B">
            <w:pPr>
              <w:spacing w:after="0" w:line="240" w:lineRule="auto"/>
              <w:jc w:val="both"/>
              <w:rPr>
                <w:rFonts w:ascii="Times New Roman" w:hAnsi="Times New Roman"/>
                <w:b/>
                <w:sz w:val="20"/>
                <w:szCs w:val="20"/>
              </w:rPr>
            </w:pPr>
            <w:r w:rsidRPr="00147DF6">
              <w:rPr>
                <w:rFonts w:ascii="Times New Roman" w:hAnsi="Times New Roman"/>
                <w:b/>
                <w:sz w:val="24"/>
                <w:szCs w:val="24"/>
              </w:rPr>
              <w:t xml:space="preserve"> </w:t>
            </w:r>
          </w:p>
          <w:p w:rsidR="00814E0B" w:rsidRPr="00147DF6" w:rsidRDefault="00814E0B" w:rsidP="00814E0B">
            <w:pPr>
              <w:spacing w:after="0" w:line="240" w:lineRule="auto"/>
              <w:jc w:val="both"/>
              <w:rPr>
                <w:rFonts w:ascii="Times New Roman" w:hAnsi="Times New Roman"/>
                <w:b/>
                <w:sz w:val="20"/>
                <w:szCs w:val="20"/>
              </w:rPr>
            </w:pPr>
          </w:p>
          <w:tbl>
            <w:tblPr>
              <w:tblW w:w="9784" w:type="dxa"/>
              <w:tblInd w:w="55" w:type="dxa"/>
              <w:tblCellMar>
                <w:left w:w="70" w:type="dxa"/>
                <w:right w:w="70" w:type="dxa"/>
              </w:tblCellMar>
              <w:tblLook w:val="04A0" w:firstRow="1" w:lastRow="0" w:firstColumn="1" w:lastColumn="0" w:noHBand="0" w:noVBand="1"/>
            </w:tblPr>
            <w:tblGrid>
              <w:gridCol w:w="3114"/>
              <w:gridCol w:w="973"/>
              <w:gridCol w:w="1060"/>
              <w:gridCol w:w="973"/>
              <w:gridCol w:w="1200"/>
              <w:gridCol w:w="1264"/>
              <w:gridCol w:w="1200"/>
            </w:tblGrid>
            <w:tr w:rsidR="00814E0B" w:rsidRPr="00B324C0" w:rsidTr="00CD3B4A">
              <w:trPr>
                <w:trHeight w:val="315"/>
              </w:trPr>
              <w:tc>
                <w:tcPr>
                  <w:tcW w:w="6120" w:type="dxa"/>
                  <w:gridSpan w:val="4"/>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val="en-US" w:eastAsia="es-ES"/>
                    </w:rPr>
                  </w:pPr>
                  <w:r w:rsidRPr="00147DF6">
                    <w:rPr>
                      <w:rFonts w:ascii="Times New Roman" w:eastAsia="Times New Roman" w:hAnsi="Times New Roman" w:cs="Times New Roman"/>
                      <w:b/>
                      <w:color w:val="000000"/>
                      <w:sz w:val="24"/>
                      <w:szCs w:val="24"/>
                      <w:lang w:val="en-US" w:eastAsia="es-ES"/>
                    </w:rPr>
                    <w:lastRenderedPageBreak/>
                    <w:t>G</w:t>
                  </w:r>
                  <w:r w:rsidRPr="00147DF6">
                    <w:rPr>
                      <w:rFonts w:ascii="Times New Roman" w:eastAsia="Times New Roman" w:hAnsi="Times New Roman" w:cs="Times New Roman"/>
                      <w:b/>
                      <w:bCs/>
                      <w:color w:val="000000"/>
                      <w:sz w:val="24"/>
                      <w:szCs w:val="24"/>
                      <w:lang w:val="en-US" w:eastAsia="es-ES"/>
                    </w:rPr>
                    <w:t>eneral Government Net Deficit / Surplus Eurostat (2013)</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val="en-US"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val="en-US"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of GDP)</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EEUU</w:t>
                  </w: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EU-28</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EA-18</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Alemania</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Japón</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China</w:t>
                  </w: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2008</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-6,5</w:t>
                  </w: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-2,4</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-2,1</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-4,1</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-0,7</w:t>
                  </w: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2012</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-8,3</w:t>
                  </w: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-3,9</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-3,7</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-10,1</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-2,2</w:t>
                  </w: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bCs/>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bCs/>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bCs/>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bCs/>
                      <w:color w:val="000000"/>
                      <w:sz w:val="24"/>
                      <w:szCs w:val="24"/>
                      <w:lang w:eastAsia="es-ES"/>
                    </w:rPr>
                  </w:pPr>
                </w:p>
              </w:tc>
            </w:tr>
            <w:tr w:rsidR="00814E0B" w:rsidRPr="00147DF6" w:rsidTr="00CD3B4A">
              <w:trPr>
                <w:trHeight w:val="315"/>
              </w:trPr>
              <w:tc>
                <w:tcPr>
                  <w:tcW w:w="9784" w:type="dxa"/>
                  <w:gridSpan w:val="7"/>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A qué se destinan los impuestos en la Unión Europea (Fuente: Cinco Días - Eurostat - 27/10/14)</w:t>
                  </w:r>
                </w:p>
              </w:tc>
            </w:tr>
            <w:tr w:rsidR="00814E0B" w:rsidRPr="00147DF6" w:rsidTr="00CD3B4A">
              <w:trPr>
                <w:trHeight w:val="315"/>
              </w:trPr>
              <w:tc>
                <w:tcPr>
                  <w:tcW w:w="4087" w:type="dxa"/>
                  <w:gridSpan w:val="2"/>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(Año 2012, en % del PIB, Base 2008)</w:t>
                  </w: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EU-28</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EA-18</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Alemania</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Reino Unido</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4087" w:type="dxa"/>
                  <w:gridSpan w:val="2"/>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Servicios Generales de las AAPP</w:t>
                  </w: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6,8</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6,7</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6,1</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5,8</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Defensa</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1,8</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1,3</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2,4</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4087" w:type="dxa"/>
                  <w:gridSpan w:val="2"/>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Orden Público y Seguridad</w:t>
                  </w: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1,8</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1,6</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2,4</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Asuntos Económicos</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4,1</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4,3</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3,4</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2,8</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4087" w:type="dxa"/>
                  <w:gridSpan w:val="2"/>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Protección del Medio Ambiente</w:t>
                  </w: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0,8</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0,8</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0,6</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0,9</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4087" w:type="dxa"/>
                  <w:gridSpan w:val="2"/>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Vivienda y Servicios Comunitarios</w:t>
                  </w: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0,8</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0,8</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0,5</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0,8</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Salud</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7,3</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7,4</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8</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4087" w:type="dxa"/>
                  <w:gridSpan w:val="2"/>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Act. Recreativas, Cultura y Religión</w:t>
                  </w: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0,8</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Educación</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5,3</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4,3</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6,1</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Protección social</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19,9</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20,5</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19,4</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18</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9784" w:type="dxa"/>
                  <w:gridSpan w:val="7"/>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El peso de la Administración Pública en 2013 (Fuente: Cinco Días - Eurostat - 27/10/14)</w:t>
                  </w: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Gasto Público</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48,5</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49,4</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44,3</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45,3</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r w:rsidR="00814E0B" w:rsidRPr="00147DF6" w:rsidTr="00CD3B4A">
              <w:trPr>
                <w:trHeight w:val="315"/>
              </w:trPr>
              <w:tc>
                <w:tcPr>
                  <w:tcW w:w="311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Ingresos Públicos</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rPr>
                      <w:rFonts w:ascii="Times New Roman" w:eastAsia="Times New Roman" w:hAnsi="Times New Roman" w:cs="Times New Roman"/>
                      <w:b/>
                      <w:color w:val="000000"/>
                      <w:sz w:val="24"/>
                      <w:szCs w:val="24"/>
                      <w:lang w:eastAsia="es-ES"/>
                    </w:rPr>
                  </w:pPr>
                </w:p>
              </w:tc>
              <w:tc>
                <w:tcPr>
                  <w:tcW w:w="106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45,3</w:t>
                  </w:r>
                </w:p>
              </w:tc>
              <w:tc>
                <w:tcPr>
                  <w:tcW w:w="973"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46,5</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44,5</w:t>
                  </w:r>
                </w:p>
              </w:tc>
              <w:tc>
                <w:tcPr>
                  <w:tcW w:w="1264"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39,5</w:t>
                  </w:r>
                </w:p>
              </w:tc>
              <w:tc>
                <w:tcPr>
                  <w:tcW w:w="1200" w:type="dxa"/>
                  <w:tcBorders>
                    <w:top w:val="nil"/>
                    <w:left w:val="nil"/>
                    <w:bottom w:val="nil"/>
                    <w:right w:val="nil"/>
                  </w:tcBorders>
                  <w:shd w:val="clear" w:color="auto" w:fill="auto"/>
                  <w:noWrap/>
                  <w:vAlign w:val="bottom"/>
                  <w:hideMark/>
                </w:tcPr>
                <w:p w:rsidR="00814E0B" w:rsidRPr="00147DF6" w:rsidRDefault="00814E0B" w:rsidP="00CD3B4A">
                  <w:pPr>
                    <w:spacing w:after="0" w:line="240" w:lineRule="auto"/>
                    <w:jc w:val="center"/>
                    <w:rPr>
                      <w:rFonts w:ascii="Times New Roman" w:eastAsia="Times New Roman" w:hAnsi="Times New Roman" w:cs="Times New Roman"/>
                      <w:b/>
                      <w:color w:val="000000"/>
                      <w:sz w:val="24"/>
                      <w:szCs w:val="24"/>
                      <w:lang w:eastAsia="es-ES"/>
                    </w:rPr>
                  </w:pPr>
                </w:p>
              </w:tc>
            </w:tr>
          </w:tbl>
          <w:p w:rsidR="00911BD9" w:rsidRDefault="00814E0B" w:rsidP="00814E0B">
            <w:pPr>
              <w:spacing w:after="0" w:line="240" w:lineRule="auto"/>
              <w:jc w:val="both"/>
              <w:rPr>
                <w:rFonts w:ascii="Times New Roman" w:hAnsi="Times New Roman"/>
                <w:sz w:val="24"/>
                <w:szCs w:val="24"/>
              </w:rPr>
            </w:pPr>
            <w:r w:rsidRPr="00147DF6">
              <w:rPr>
                <w:rFonts w:ascii="Times New Roman" w:hAnsi="Times New Roman"/>
                <w:b/>
                <w:sz w:val="20"/>
                <w:szCs w:val="20"/>
              </w:rPr>
              <w:br/>
            </w:r>
            <w:r w:rsidRPr="00147DF6">
              <w:rPr>
                <w:rFonts w:ascii="Times New Roman" w:hAnsi="Times New Roman"/>
                <w:b/>
                <w:sz w:val="24"/>
                <w:szCs w:val="24"/>
              </w:rPr>
              <w:br/>
              <w:t>Al margen</w:t>
            </w:r>
            <w:r w:rsidRPr="00147DF6">
              <w:rPr>
                <w:rFonts w:ascii="Times New Roman" w:hAnsi="Times New Roman"/>
                <w:sz w:val="24"/>
                <w:szCs w:val="24"/>
              </w:rPr>
              <w:t>: El déficit público para el conjunto de la EU-28 y de la EA-18, siendo importante</w:t>
            </w:r>
            <w:r w:rsidR="001903DA" w:rsidRPr="00147DF6">
              <w:rPr>
                <w:rFonts w:ascii="Times New Roman" w:hAnsi="Times New Roman"/>
                <w:sz w:val="24"/>
                <w:szCs w:val="24"/>
              </w:rPr>
              <w:t xml:space="preserve">, </w:t>
            </w:r>
            <w:r w:rsidRPr="00147DF6">
              <w:rPr>
                <w:rFonts w:ascii="Times New Roman" w:hAnsi="Times New Roman"/>
                <w:sz w:val="24"/>
                <w:szCs w:val="24"/>
              </w:rPr>
              <w:t xml:space="preserve">no resulta significativo en comparación con el de EEUU o Japón. No se podría atribuir a este </w:t>
            </w:r>
            <w:r w:rsidR="001903DA" w:rsidRPr="00147DF6">
              <w:rPr>
                <w:rFonts w:ascii="Times New Roman" w:hAnsi="Times New Roman"/>
                <w:sz w:val="24"/>
                <w:szCs w:val="24"/>
              </w:rPr>
              <w:t xml:space="preserve"> </w:t>
            </w:r>
            <w:r w:rsidRPr="00147DF6">
              <w:rPr>
                <w:rFonts w:ascii="Times New Roman" w:hAnsi="Times New Roman"/>
                <w:sz w:val="24"/>
                <w:szCs w:val="24"/>
              </w:rPr>
              <w:t>factor motivos para la pérdida de competitividad. La ortodoxia fiscal</w:t>
            </w:r>
            <w:r w:rsidR="00D97BB9" w:rsidRPr="00147DF6">
              <w:rPr>
                <w:rFonts w:ascii="Times New Roman" w:hAnsi="Times New Roman"/>
                <w:sz w:val="24"/>
                <w:szCs w:val="24"/>
              </w:rPr>
              <w:t xml:space="preserve"> europea (made in Germany</w:t>
            </w:r>
            <w:r w:rsidRPr="00147DF6">
              <w:rPr>
                <w:rFonts w:ascii="Times New Roman" w:hAnsi="Times New Roman"/>
                <w:sz w:val="24"/>
                <w:szCs w:val="24"/>
              </w:rPr>
              <w:t>)</w:t>
            </w:r>
            <w:r w:rsidR="001903DA" w:rsidRPr="00147DF6">
              <w:rPr>
                <w:rFonts w:ascii="Times New Roman" w:hAnsi="Times New Roman"/>
                <w:sz w:val="24"/>
                <w:szCs w:val="24"/>
              </w:rPr>
              <w:t xml:space="preserve"> </w:t>
            </w:r>
            <w:r w:rsidRPr="00147DF6">
              <w:rPr>
                <w:rFonts w:ascii="Times New Roman" w:hAnsi="Times New Roman"/>
                <w:sz w:val="24"/>
                <w:szCs w:val="24"/>
              </w:rPr>
              <w:t xml:space="preserve">resta margen de maniobra para sacar provecho de un mayor gasto público (en inversiones </w:t>
            </w:r>
            <w:r w:rsidR="001903DA" w:rsidRPr="00147DF6">
              <w:rPr>
                <w:rFonts w:ascii="Times New Roman" w:hAnsi="Times New Roman"/>
                <w:sz w:val="24"/>
                <w:szCs w:val="24"/>
              </w:rPr>
              <w:t>que f</w:t>
            </w:r>
            <w:r w:rsidR="00D97BB9" w:rsidRPr="00147DF6">
              <w:rPr>
                <w:rFonts w:ascii="Times New Roman" w:hAnsi="Times New Roman"/>
                <w:sz w:val="24"/>
                <w:szCs w:val="24"/>
              </w:rPr>
              <w:t>avorezca</w:t>
            </w:r>
            <w:r w:rsidR="00D1354A" w:rsidRPr="00147DF6">
              <w:rPr>
                <w:rFonts w:ascii="Times New Roman" w:hAnsi="Times New Roman"/>
                <w:sz w:val="24"/>
                <w:szCs w:val="24"/>
              </w:rPr>
              <w:t>n</w:t>
            </w:r>
            <w:r w:rsidR="00D97BB9" w:rsidRPr="00147DF6">
              <w:rPr>
                <w:rFonts w:ascii="Times New Roman" w:hAnsi="Times New Roman"/>
                <w:sz w:val="24"/>
                <w:szCs w:val="24"/>
              </w:rPr>
              <w:t xml:space="preserve"> la demanda y la producción</w:t>
            </w:r>
            <w:r w:rsidRPr="00147DF6">
              <w:rPr>
                <w:rFonts w:ascii="Times New Roman" w:hAnsi="Times New Roman"/>
                <w:sz w:val="24"/>
                <w:szCs w:val="24"/>
              </w:rPr>
              <w:t>)</w:t>
            </w:r>
            <w:r w:rsidR="00D97BB9" w:rsidRPr="00147DF6">
              <w:rPr>
                <w:rFonts w:ascii="Times New Roman" w:hAnsi="Times New Roman"/>
                <w:sz w:val="24"/>
                <w:szCs w:val="24"/>
              </w:rPr>
              <w:t xml:space="preserve">. </w:t>
            </w:r>
            <w:r w:rsidR="00D1354A" w:rsidRPr="00147DF6">
              <w:rPr>
                <w:rFonts w:ascii="Times New Roman" w:hAnsi="Times New Roman"/>
                <w:sz w:val="24"/>
                <w:szCs w:val="24"/>
              </w:rPr>
              <w:t xml:space="preserve">Al no disponer de los datos del destino de los impuestos </w:t>
            </w:r>
            <w:r w:rsidR="001903DA" w:rsidRPr="00147DF6">
              <w:rPr>
                <w:rFonts w:ascii="Times New Roman" w:hAnsi="Times New Roman"/>
                <w:sz w:val="24"/>
                <w:szCs w:val="24"/>
              </w:rPr>
              <w:t xml:space="preserve"> </w:t>
            </w:r>
            <w:r w:rsidR="00D1354A" w:rsidRPr="00147DF6">
              <w:rPr>
                <w:rFonts w:ascii="Times New Roman" w:hAnsi="Times New Roman"/>
                <w:sz w:val="24"/>
                <w:szCs w:val="24"/>
              </w:rPr>
              <w:t>en EEUU, se presentan</w:t>
            </w:r>
            <w:r w:rsidR="00F92F92" w:rsidRPr="00147DF6">
              <w:rPr>
                <w:rFonts w:ascii="Times New Roman" w:hAnsi="Times New Roman"/>
                <w:sz w:val="24"/>
                <w:szCs w:val="24"/>
              </w:rPr>
              <w:t xml:space="preserve"> los del Reino Unido (el primo hermano </w:t>
            </w:r>
            <w:r w:rsidR="00D1354A" w:rsidRPr="00147DF6">
              <w:rPr>
                <w:rFonts w:ascii="Times New Roman" w:hAnsi="Times New Roman"/>
                <w:sz w:val="24"/>
                <w:szCs w:val="24"/>
              </w:rPr>
              <w:t>WASP), y como se puede observar no son</w:t>
            </w:r>
            <w:r w:rsidR="001903DA" w:rsidRPr="00147DF6">
              <w:rPr>
                <w:rFonts w:ascii="Times New Roman" w:hAnsi="Times New Roman"/>
                <w:sz w:val="24"/>
                <w:szCs w:val="24"/>
              </w:rPr>
              <w:t xml:space="preserve"> </w:t>
            </w:r>
            <w:r w:rsidR="00D1354A" w:rsidRPr="00147DF6">
              <w:rPr>
                <w:rFonts w:ascii="Times New Roman" w:hAnsi="Times New Roman"/>
                <w:sz w:val="24"/>
                <w:szCs w:val="24"/>
              </w:rPr>
              <w:t xml:space="preserve">muy disímiles las aplicaciones en la EU-28, EA-18, Alemania </w:t>
            </w:r>
            <w:r w:rsidR="001903DA" w:rsidRPr="00147DF6">
              <w:rPr>
                <w:rFonts w:ascii="Times New Roman" w:hAnsi="Times New Roman"/>
                <w:sz w:val="24"/>
                <w:szCs w:val="24"/>
              </w:rPr>
              <w:t xml:space="preserve">y el Reino Unido. Probablemente </w:t>
            </w:r>
            <w:r w:rsidR="00D1354A" w:rsidRPr="00147DF6">
              <w:rPr>
                <w:rFonts w:ascii="Times New Roman" w:hAnsi="Times New Roman"/>
                <w:sz w:val="24"/>
                <w:szCs w:val="24"/>
              </w:rPr>
              <w:t>los gastos de protección social representen el mayor factor diferencial (pérdida de competit</w:t>
            </w:r>
            <w:r w:rsidR="00911BD9" w:rsidRPr="00147DF6">
              <w:rPr>
                <w:rFonts w:ascii="Times New Roman" w:hAnsi="Times New Roman"/>
                <w:sz w:val="24"/>
                <w:szCs w:val="24"/>
              </w:rPr>
              <w:t>i</w:t>
            </w:r>
            <w:r w:rsidR="00D1354A" w:rsidRPr="00147DF6">
              <w:rPr>
                <w:rFonts w:ascii="Times New Roman" w:hAnsi="Times New Roman"/>
                <w:sz w:val="24"/>
                <w:szCs w:val="24"/>
              </w:rPr>
              <w:t>vidad)</w:t>
            </w:r>
            <w:r w:rsidR="001903DA" w:rsidRPr="00147DF6">
              <w:rPr>
                <w:rFonts w:ascii="Times New Roman" w:hAnsi="Times New Roman"/>
                <w:sz w:val="24"/>
                <w:szCs w:val="24"/>
              </w:rPr>
              <w:t xml:space="preserve"> </w:t>
            </w:r>
            <w:r w:rsidR="00911BD9" w:rsidRPr="00147DF6">
              <w:rPr>
                <w:rFonts w:ascii="Times New Roman" w:hAnsi="Times New Roman"/>
                <w:sz w:val="24"/>
                <w:szCs w:val="24"/>
              </w:rPr>
              <w:t>de la Unión Europea con respecto de los EEUU.</w:t>
            </w:r>
            <w:r w:rsidR="00F92F92" w:rsidRPr="00147DF6">
              <w:rPr>
                <w:rFonts w:ascii="Times New Roman" w:hAnsi="Times New Roman"/>
                <w:sz w:val="24"/>
                <w:szCs w:val="24"/>
              </w:rPr>
              <w:t xml:space="preserve"> En la EU (aún), la pobreza y el paro, son un problema social. En EEUU, la pobreza y el paro son un proble</w:t>
            </w:r>
            <w:r w:rsidR="00147DF6" w:rsidRPr="00147DF6">
              <w:rPr>
                <w:rFonts w:ascii="Times New Roman" w:hAnsi="Times New Roman"/>
                <w:sz w:val="24"/>
                <w:szCs w:val="24"/>
              </w:rPr>
              <w:t>ma individual. En USA solo se “socializan” las pérdidas</w:t>
            </w:r>
            <w:r w:rsidR="009F08A2">
              <w:rPr>
                <w:rFonts w:ascii="Times New Roman" w:hAnsi="Times New Roman"/>
                <w:sz w:val="24"/>
                <w:szCs w:val="24"/>
              </w:rPr>
              <w:t xml:space="preserve"> de los bancos (</w:t>
            </w:r>
            <w:r w:rsidR="00147DF6" w:rsidRPr="00147DF6">
              <w:rPr>
                <w:rFonts w:ascii="Times New Roman" w:hAnsi="Times New Roman"/>
                <w:sz w:val="24"/>
                <w:szCs w:val="24"/>
              </w:rPr>
              <w:t>“too big to fail”),</w:t>
            </w:r>
            <w:r w:rsidR="00F92F92" w:rsidRPr="00147DF6">
              <w:rPr>
                <w:rFonts w:ascii="Times New Roman" w:hAnsi="Times New Roman"/>
                <w:sz w:val="24"/>
                <w:szCs w:val="24"/>
              </w:rPr>
              <w:t xml:space="preserve"> </w:t>
            </w:r>
            <w:r w:rsidR="00147DF6" w:rsidRPr="00147DF6">
              <w:rPr>
                <w:rFonts w:ascii="Times New Roman" w:hAnsi="Times New Roman"/>
                <w:sz w:val="24"/>
                <w:szCs w:val="24"/>
              </w:rPr>
              <w:t>y se “privatizan” las ganancias de W</w:t>
            </w:r>
            <w:r w:rsidR="009F08A2">
              <w:rPr>
                <w:rFonts w:ascii="Times New Roman" w:hAnsi="Times New Roman"/>
                <w:sz w:val="24"/>
                <w:szCs w:val="24"/>
              </w:rPr>
              <w:t xml:space="preserve">all </w:t>
            </w:r>
            <w:r w:rsidR="00147DF6" w:rsidRPr="00147DF6">
              <w:rPr>
                <w:rFonts w:ascii="Times New Roman" w:hAnsi="Times New Roman"/>
                <w:sz w:val="24"/>
                <w:szCs w:val="24"/>
              </w:rPr>
              <w:t>S</w:t>
            </w:r>
            <w:r w:rsidR="009F08A2">
              <w:rPr>
                <w:rFonts w:ascii="Times New Roman" w:hAnsi="Times New Roman"/>
                <w:sz w:val="24"/>
                <w:szCs w:val="24"/>
              </w:rPr>
              <w:t>treet</w:t>
            </w:r>
            <w:r w:rsidR="00147DF6" w:rsidRPr="00147DF6">
              <w:rPr>
                <w:rFonts w:ascii="Times New Roman" w:hAnsi="Times New Roman"/>
                <w:sz w:val="24"/>
                <w:szCs w:val="24"/>
              </w:rPr>
              <w:t xml:space="preserve"> (“too big to gail”).</w:t>
            </w:r>
            <w:r w:rsidR="00F92F92" w:rsidRPr="00147DF6">
              <w:rPr>
                <w:rFonts w:ascii="Times New Roman" w:hAnsi="Times New Roman"/>
                <w:sz w:val="24"/>
                <w:szCs w:val="24"/>
              </w:rPr>
              <w:t xml:space="preserve"> </w:t>
            </w:r>
          </w:p>
          <w:p w:rsidR="00147DF6" w:rsidRPr="00147DF6" w:rsidRDefault="00147DF6" w:rsidP="00814E0B">
            <w:pPr>
              <w:spacing w:after="0" w:line="240" w:lineRule="auto"/>
              <w:jc w:val="both"/>
              <w:rPr>
                <w:rFonts w:ascii="Times New Roman" w:hAnsi="Times New Roman"/>
                <w:sz w:val="24"/>
                <w:szCs w:val="24"/>
              </w:rPr>
            </w:pPr>
          </w:p>
          <w:tbl>
            <w:tblPr>
              <w:tblW w:w="9620" w:type="dxa"/>
              <w:tblInd w:w="55" w:type="dxa"/>
              <w:tblCellMar>
                <w:left w:w="70" w:type="dxa"/>
                <w:right w:w="70" w:type="dxa"/>
              </w:tblCellMar>
              <w:tblLook w:val="04A0" w:firstRow="1" w:lastRow="0" w:firstColumn="1" w:lastColumn="0" w:noHBand="0" w:noVBand="1"/>
            </w:tblPr>
            <w:tblGrid>
              <w:gridCol w:w="2420"/>
              <w:gridCol w:w="1200"/>
              <w:gridCol w:w="1200"/>
              <w:gridCol w:w="1200"/>
              <w:gridCol w:w="1200"/>
              <w:gridCol w:w="1200"/>
              <w:gridCol w:w="1200"/>
            </w:tblGrid>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lastRenderedPageBreak/>
                    <w:t>Trade in goods</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bCs/>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B324C0" w:rsidTr="00077596">
              <w:trPr>
                <w:trHeight w:val="315"/>
              </w:trPr>
              <w:tc>
                <w:tcPr>
                  <w:tcW w:w="6020" w:type="dxa"/>
                  <w:gridSpan w:val="4"/>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t>Share of UE in the World Trade (Eurostat - 2104)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r>
            <w:tr w:rsidR="00147DF6" w:rsidRPr="00B324C0"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431904" w:rsidP="00077596">
                  <w:pPr>
                    <w:spacing w:after="0" w:line="240" w:lineRule="auto"/>
                    <w:jc w:val="center"/>
                    <w:rPr>
                      <w:rFonts w:ascii="Times New Roman" w:eastAsia="Times New Roman" w:hAnsi="Times New Roman" w:cs="Times New Roman"/>
                      <w:b/>
                      <w:color w:val="000000"/>
                      <w:sz w:val="24"/>
                      <w:szCs w:val="24"/>
                      <w:lang w:eastAsia="es-ES"/>
                    </w:rPr>
                  </w:pPr>
                  <w:r w:rsidRPr="001B19AA">
                    <w:rPr>
                      <w:rFonts w:ascii="Times New Roman" w:eastAsia="Times New Roman" w:hAnsi="Times New Roman" w:cs="Times New Roman"/>
                      <w:b/>
                      <w:color w:val="000000"/>
                      <w:sz w:val="24"/>
                      <w:szCs w:val="24"/>
                      <w:lang w:val="en-US" w:eastAsia="es-ES"/>
                    </w:rPr>
                    <w:t xml:space="preserve">      </w:t>
                  </w:r>
                  <w:r w:rsidR="00147DF6" w:rsidRPr="00147DF6">
                    <w:rPr>
                      <w:rFonts w:ascii="Times New Roman" w:eastAsia="Times New Roman" w:hAnsi="Times New Roman" w:cs="Times New Roman"/>
                      <w:b/>
                      <w:color w:val="000000"/>
                      <w:sz w:val="24"/>
                      <w:szCs w:val="24"/>
                      <w:lang w:eastAsia="es-ES"/>
                    </w:rPr>
                    <w:t>EU-28</w:t>
                  </w:r>
                </w:p>
              </w:tc>
              <w:tc>
                <w:tcPr>
                  <w:tcW w:w="1200" w:type="dxa"/>
                  <w:tcBorders>
                    <w:top w:val="nil"/>
                    <w:left w:val="nil"/>
                    <w:bottom w:val="nil"/>
                    <w:right w:val="nil"/>
                  </w:tcBorders>
                  <w:shd w:val="clear" w:color="auto" w:fill="auto"/>
                  <w:noWrap/>
                  <w:vAlign w:val="bottom"/>
                  <w:hideMark/>
                </w:tcPr>
                <w:p w:rsidR="00147DF6" w:rsidRPr="00147DF6" w:rsidRDefault="00431904" w:rsidP="00077596">
                  <w:pPr>
                    <w:spacing w:after="0" w:line="240" w:lineRule="auto"/>
                    <w:jc w:val="center"/>
                    <w:rPr>
                      <w:rFonts w:ascii="Times New Roman" w:eastAsia="Times New Roman" w:hAnsi="Times New Roman" w:cs="Times New Roman"/>
                      <w:b/>
                      <w:color w:val="000000"/>
                      <w:sz w:val="24"/>
                      <w:szCs w:val="24"/>
                      <w:lang w:eastAsia="es-ES"/>
                    </w:rPr>
                  </w:pPr>
                  <w:r>
                    <w:rPr>
                      <w:rFonts w:ascii="Times New Roman" w:eastAsia="Times New Roman" w:hAnsi="Times New Roman" w:cs="Times New Roman"/>
                      <w:b/>
                      <w:color w:val="000000"/>
                      <w:sz w:val="24"/>
                      <w:szCs w:val="24"/>
                      <w:lang w:eastAsia="es-ES"/>
                    </w:rPr>
                    <w:t xml:space="preserve">      </w:t>
                  </w:r>
                  <w:r w:rsidR="00147DF6" w:rsidRPr="00147DF6">
                    <w:rPr>
                      <w:rFonts w:ascii="Times New Roman" w:eastAsia="Times New Roman" w:hAnsi="Times New Roman" w:cs="Times New Roman"/>
                      <w:b/>
                      <w:color w:val="000000"/>
                      <w:sz w:val="24"/>
                      <w:szCs w:val="24"/>
                      <w:lang w:eastAsia="es-ES"/>
                    </w:rPr>
                    <w:t>EEUU</w:t>
                  </w:r>
                </w:p>
              </w:tc>
              <w:tc>
                <w:tcPr>
                  <w:tcW w:w="1200" w:type="dxa"/>
                  <w:tcBorders>
                    <w:top w:val="nil"/>
                    <w:left w:val="nil"/>
                    <w:bottom w:val="nil"/>
                    <w:right w:val="nil"/>
                  </w:tcBorders>
                  <w:shd w:val="clear" w:color="auto" w:fill="auto"/>
                  <w:noWrap/>
                  <w:vAlign w:val="bottom"/>
                  <w:hideMark/>
                </w:tcPr>
                <w:p w:rsidR="00147DF6" w:rsidRPr="00147DF6" w:rsidRDefault="00431904" w:rsidP="00077596">
                  <w:pPr>
                    <w:spacing w:after="0" w:line="240" w:lineRule="auto"/>
                    <w:jc w:val="center"/>
                    <w:rPr>
                      <w:rFonts w:ascii="Times New Roman" w:eastAsia="Times New Roman" w:hAnsi="Times New Roman" w:cs="Times New Roman"/>
                      <w:b/>
                      <w:color w:val="000000"/>
                      <w:sz w:val="24"/>
                      <w:szCs w:val="24"/>
                      <w:lang w:eastAsia="es-ES"/>
                    </w:rPr>
                  </w:pPr>
                  <w:r>
                    <w:rPr>
                      <w:rFonts w:ascii="Times New Roman" w:eastAsia="Times New Roman" w:hAnsi="Times New Roman" w:cs="Times New Roman"/>
                      <w:b/>
                      <w:color w:val="000000"/>
                      <w:sz w:val="24"/>
                      <w:szCs w:val="24"/>
                      <w:lang w:eastAsia="es-ES"/>
                    </w:rPr>
                    <w:t xml:space="preserve">       </w:t>
                  </w:r>
                  <w:r w:rsidR="00147DF6" w:rsidRPr="00147DF6">
                    <w:rPr>
                      <w:rFonts w:ascii="Times New Roman" w:eastAsia="Times New Roman" w:hAnsi="Times New Roman" w:cs="Times New Roman"/>
                      <w:b/>
                      <w:color w:val="000000"/>
                      <w:sz w:val="24"/>
                      <w:szCs w:val="24"/>
                      <w:lang w:eastAsia="es-ES"/>
                    </w:rPr>
                    <w:t>Japón</w:t>
                  </w:r>
                </w:p>
              </w:tc>
              <w:tc>
                <w:tcPr>
                  <w:tcW w:w="1200" w:type="dxa"/>
                  <w:tcBorders>
                    <w:top w:val="nil"/>
                    <w:left w:val="nil"/>
                    <w:bottom w:val="nil"/>
                    <w:right w:val="nil"/>
                  </w:tcBorders>
                  <w:shd w:val="clear" w:color="auto" w:fill="auto"/>
                  <w:noWrap/>
                  <w:vAlign w:val="bottom"/>
                  <w:hideMark/>
                </w:tcPr>
                <w:p w:rsidR="00147DF6" w:rsidRPr="00147DF6" w:rsidRDefault="00431904" w:rsidP="00077596">
                  <w:pPr>
                    <w:spacing w:after="0" w:line="240" w:lineRule="auto"/>
                    <w:jc w:val="center"/>
                    <w:rPr>
                      <w:rFonts w:ascii="Times New Roman" w:eastAsia="Times New Roman" w:hAnsi="Times New Roman" w:cs="Times New Roman"/>
                      <w:b/>
                      <w:color w:val="000000"/>
                      <w:sz w:val="24"/>
                      <w:szCs w:val="24"/>
                      <w:lang w:eastAsia="es-ES"/>
                    </w:rPr>
                  </w:pPr>
                  <w:r>
                    <w:rPr>
                      <w:rFonts w:ascii="Times New Roman" w:eastAsia="Times New Roman" w:hAnsi="Times New Roman" w:cs="Times New Roman"/>
                      <w:b/>
                      <w:color w:val="000000"/>
                      <w:sz w:val="24"/>
                      <w:szCs w:val="24"/>
                      <w:lang w:eastAsia="es-ES"/>
                    </w:rPr>
                    <w:t xml:space="preserve">     </w:t>
                  </w:r>
                  <w:r w:rsidR="00147DF6" w:rsidRPr="00147DF6">
                    <w:rPr>
                      <w:rFonts w:ascii="Times New Roman" w:eastAsia="Times New Roman" w:hAnsi="Times New Roman" w:cs="Times New Roman"/>
                      <w:b/>
                      <w:color w:val="000000"/>
                      <w:sz w:val="24"/>
                      <w:szCs w:val="24"/>
                      <w:lang w:eastAsia="es-ES"/>
                    </w:rPr>
                    <w:t>China</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Exports</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18,9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13,1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9,1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9,5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18</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12,4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8,2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10,5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2006</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17,1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12,2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7,6</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2007</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17,3</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7,3</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12,5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2008</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16,7</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11,3</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6,8</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12,4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17,1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13,5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2010</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16</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14,1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15,9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10,9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15,5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5,7</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14,7</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B712A0" w:rsidRDefault="00147DF6" w:rsidP="00077596">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B712A0" w:rsidRDefault="00B712A0" w:rsidP="00B712A0">
                  <w:pPr>
                    <w:spacing w:after="0" w:line="240" w:lineRule="auto"/>
                    <w:rPr>
                      <w:rFonts w:ascii="Times New Roman" w:eastAsia="Times New Roman" w:hAnsi="Times New Roman" w:cs="Times New Roman"/>
                      <w:color w:val="000000"/>
                      <w:sz w:val="24"/>
                      <w:szCs w:val="24"/>
                      <w:lang w:eastAsia="es-ES"/>
                    </w:rPr>
                  </w:pPr>
                  <w:r w:rsidRPr="00B712A0">
                    <w:rPr>
                      <w:rFonts w:ascii="Times New Roman" w:eastAsia="Times New Roman" w:hAnsi="Times New Roman" w:cs="Times New Roman"/>
                      <w:color w:val="000000"/>
                      <w:sz w:val="24"/>
                      <w:szCs w:val="24"/>
                      <w:lang w:eastAsia="es-ES"/>
                    </w:rPr>
                    <w:t xml:space="preserve">        </w:t>
                  </w:r>
                  <w:r w:rsidR="00431904">
                    <w:rPr>
                      <w:rFonts w:ascii="Times New Roman" w:eastAsia="Times New Roman" w:hAnsi="Times New Roman" w:cs="Times New Roman"/>
                      <w:color w:val="000000"/>
                      <w:sz w:val="24"/>
                      <w:szCs w:val="24"/>
                      <w:lang w:eastAsia="es-ES"/>
                    </w:rPr>
                    <w:t xml:space="preserve">      </w:t>
                  </w:r>
                </w:p>
              </w:tc>
              <w:tc>
                <w:tcPr>
                  <w:tcW w:w="1200" w:type="dxa"/>
                  <w:tcBorders>
                    <w:top w:val="nil"/>
                    <w:left w:val="nil"/>
                    <w:bottom w:val="nil"/>
                    <w:right w:val="nil"/>
                  </w:tcBorders>
                  <w:shd w:val="clear" w:color="auto" w:fill="auto"/>
                  <w:noWrap/>
                  <w:vAlign w:val="bottom"/>
                  <w:hideMark/>
                </w:tcPr>
                <w:p w:rsidR="00147DF6" w:rsidRPr="00B712A0" w:rsidRDefault="00147DF6" w:rsidP="00077596">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431904" w:rsidRDefault="00147DF6" w:rsidP="00077596">
                  <w:pPr>
                    <w:spacing w:after="0" w:line="240" w:lineRule="auto"/>
                    <w:rPr>
                      <w:rFonts w:ascii="Times New Roman" w:eastAsia="Times New Roman" w:hAnsi="Times New Roman" w:cs="Times New Roman"/>
                      <w:color w:val="000000"/>
                      <w:sz w:val="20"/>
                      <w:szCs w:val="20"/>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Imports</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23,1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8,5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22,5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6,7</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8,6</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2006</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19,3</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21,6</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8,9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2007</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19,7</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9,4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2008</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19,3</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17,9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6,3</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9,4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18,5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17,2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10,8</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2010</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17,5</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16,9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17,2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16,1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12,4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16</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16,2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right"/>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12,6</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B324C0" w:rsidTr="00077596">
              <w:trPr>
                <w:trHeight w:val="315"/>
              </w:trPr>
              <w:tc>
                <w:tcPr>
                  <w:tcW w:w="3620" w:type="dxa"/>
                  <w:gridSpan w:val="2"/>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t>Trade in goods and services (2012)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val="en-US"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of GDP)</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EU-28</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EA-17</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EEUU</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Alemania</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Japón</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China</w:t>
                  </w: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Exports</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13,1</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9,7</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43,9</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13,3</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r>
            <w:tr w:rsidR="00147DF6" w:rsidRPr="00147DF6" w:rsidTr="00077596">
              <w:trPr>
                <w:trHeight w:val="315"/>
              </w:trPr>
              <w:tc>
                <w:tcPr>
                  <w:tcW w:w="242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Imports</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13,6</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14,4</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37,2</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13,7</w:t>
                  </w:r>
                </w:p>
              </w:tc>
              <w:tc>
                <w:tcPr>
                  <w:tcW w:w="1200" w:type="dxa"/>
                  <w:tcBorders>
                    <w:top w:val="nil"/>
                    <w:left w:val="nil"/>
                    <w:bottom w:val="nil"/>
                    <w:right w:val="nil"/>
                  </w:tcBorders>
                  <w:shd w:val="clear" w:color="auto" w:fill="auto"/>
                  <w:noWrap/>
                  <w:vAlign w:val="bottom"/>
                  <w:hideMark/>
                </w:tcPr>
                <w:p w:rsidR="00147DF6" w:rsidRPr="00147DF6" w:rsidRDefault="00147DF6"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r>
          </w:tbl>
          <w:p w:rsidR="00147DF6" w:rsidRPr="009F08A2" w:rsidRDefault="00147DF6" w:rsidP="00147DF6">
            <w:pPr>
              <w:spacing w:line="240" w:lineRule="auto"/>
              <w:jc w:val="both"/>
              <w:rPr>
                <w:rFonts w:ascii="Times New Roman" w:hAnsi="Times New Roman"/>
                <w:b/>
                <w:sz w:val="20"/>
                <w:szCs w:val="20"/>
              </w:rPr>
            </w:pPr>
          </w:p>
          <w:p w:rsidR="00911BD9" w:rsidRPr="009F08A2" w:rsidRDefault="00147DF6" w:rsidP="00911BD9">
            <w:pPr>
              <w:spacing w:line="240" w:lineRule="auto"/>
              <w:jc w:val="both"/>
              <w:rPr>
                <w:rFonts w:ascii="Times New Roman" w:hAnsi="Times New Roman"/>
                <w:sz w:val="24"/>
                <w:szCs w:val="24"/>
              </w:rPr>
            </w:pPr>
            <w:r w:rsidRPr="009F08A2">
              <w:rPr>
                <w:rFonts w:ascii="Times New Roman" w:hAnsi="Times New Roman"/>
                <w:b/>
                <w:sz w:val="24"/>
                <w:szCs w:val="24"/>
              </w:rPr>
              <w:t>Al margen</w:t>
            </w:r>
            <w:r w:rsidRPr="00147DF6">
              <w:rPr>
                <w:rFonts w:ascii="Times New Roman" w:hAnsi="Times New Roman"/>
                <w:sz w:val="24"/>
                <w:szCs w:val="24"/>
              </w:rPr>
              <w:t>: Los datos anteriores confirman la importancia de la EU-28 en el comercio exterior (que no se aprovecha en las negociaciones internacionales). La participación de las exportaciones en el PIB alemán alcanza unos porcentajes de país emergente o si se me permite, “subdesarrollado”. Una extraña paradoja condicionante: mientras Alemania se “chinifica”, la EU-28 se “japoniza”.</w:t>
            </w:r>
            <w:r w:rsidR="001903DA" w:rsidRPr="009F08A2">
              <w:rPr>
                <w:rFonts w:ascii="Times New Roman" w:hAnsi="Times New Roman"/>
                <w:sz w:val="24"/>
                <w:szCs w:val="24"/>
              </w:rPr>
              <w:t xml:space="preserve"> </w:t>
            </w:r>
          </w:p>
          <w:tbl>
            <w:tblPr>
              <w:tblW w:w="6020" w:type="dxa"/>
              <w:tblInd w:w="55" w:type="dxa"/>
              <w:tblCellMar>
                <w:left w:w="70" w:type="dxa"/>
                <w:right w:w="70" w:type="dxa"/>
              </w:tblCellMar>
              <w:tblLook w:val="04A0" w:firstRow="1" w:lastRow="0" w:firstColumn="1" w:lastColumn="0" w:noHBand="0" w:noVBand="1"/>
            </w:tblPr>
            <w:tblGrid>
              <w:gridCol w:w="1892"/>
              <w:gridCol w:w="1464"/>
              <w:gridCol w:w="1464"/>
              <w:gridCol w:w="1200"/>
            </w:tblGrid>
            <w:tr w:rsidR="001903DA" w:rsidRPr="00B324C0" w:rsidTr="00CD3B4A">
              <w:trPr>
                <w:trHeight w:val="315"/>
              </w:trPr>
              <w:tc>
                <w:tcPr>
                  <w:tcW w:w="4820" w:type="dxa"/>
                  <w:gridSpan w:val="3"/>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lastRenderedPageBreak/>
                    <w:t>Share of Trade with EU-28 (Eurostat 2014)</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val="en-US" w:eastAsia="es-ES"/>
                    </w:rPr>
                  </w:pPr>
                </w:p>
              </w:tc>
            </w:tr>
            <w:tr w:rsidR="001903DA" w:rsidRPr="00B324C0" w:rsidTr="00CD3B4A">
              <w:trPr>
                <w:trHeight w:val="315"/>
              </w:trPr>
              <w:tc>
                <w:tcPr>
                  <w:tcW w:w="6020" w:type="dxa"/>
                  <w:gridSpan w:val="4"/>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t>Share of Imports/Exports from EU in Total Imports (%)</w:t>
                  </w:r>
                </w:p>
              </w:tc>
            </w:tr>
            <w:tr w:rsidR="001903DA" w:rsidRPr="00B324C0"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val="en-US"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val="en-US"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val="en-US"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val="en-US" w:eastAsia="es-ES"/>
                    </w:rPr>
                  </w:pPr>
                  <w:r w:rsidRPr="00147DF6">
                    <w:rPr>
                      <w:rFonts w:ascii="Times New Roman" w:eastAsia="Times New Roman" w:hAnsi="Times New Roman" w:cs="Times New Roman"/>
                      <w:b/>
                      <w:color w:val="000000"/>
                      <w:sz w:val="24"/>
                      <w:szCs w:val="24"/>
                      <w:lang w:val="en-US" w:eastAsia="es-ES"/>
                    </w:rPr>
                    <w:t xml:space="preserve"> </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val="en-US" w:eastAsia="es-ES"/>
                    </w:rPr>
                    <w:t xml:space="preserve">    </w:t>
                  </w:r>
                  <w:r w:rsidRPr="00147DF6">
                    <w:rPr>
                      <w:rFonts w:ascii="Times New Roman" w:eastAsia="Times New Roman" w:hAnsi="Times New Roman" w:cs="Times New Roman"/>
                      <w:b/>
                      <w:color w:val="000000"/>
                      <w:sz w:val="24"/>
                      <w:szCs w:val="24"/>
                      <w:lang w:eastAsia="es-ES"/>
                    </w:rPr>
                    <w:t>Imports</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Exports</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Germany</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2003</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66,2</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65,2</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2004</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65,8</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64,9</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2005</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64,6</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64,6</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2006</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63,8</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63,9</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2007</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64,7</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65</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2008</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63,7</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63,6</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2099</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64,7</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62,6</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2010</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63,3</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60,3</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63,5</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59,5</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63,3</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56,9</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2013</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64,6</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57</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EU-28</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2003</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66,3</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69,1</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2004</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66,2</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68,8</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2005</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64,6</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68</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2006</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64,1</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68,6</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2007</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64,4</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68,5</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2008</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62,7</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67,7</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2099</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63,5</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66,9</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2010</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61,5</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65,4</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61,4</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64,5</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60,6</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62,8</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r w:rsidR="001903DA" w:rsidRPr="00147DF6" w:rsidTr="00CD3B4A">
              <w:trPr>
                <w:trHeight w:val="315"/>
              </w:trPr>
              <w:tc>
                <w:tcPr>
                  <w:tcW w:w="1892"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2013</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62,1</w:t>
                  </w:r>
                </w:p>
              </w:tc>
              <w:tc>
                <w:tcPr>
                  <w:tcW w:w="1464"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62</w:t>
                  </w:r>
                </w:p>
              </w:tc>
              <w:tc>
                <w:tcPr>
                  <w:tcW w:w="1200" w:type="dxa"/>
                  <w:tcBorders>
                    <w:top w:val="nil"/>
                    <w:left w:val="nil"/>
                    <w:bottom w:val="nil"/>
                    <w:right w:val="nil"/>
                  </w:tcBorders>
                  <w:shd w:val="clear" w:color="auto" w:fill="auto"/>
                  <w:noWrap/>
                  <w:vAlign w:val="bottom"/>
                  <w:hideMark/>
                </w:tcPr>
                <w:p w:rsidR="001903DA" w:rsidRPr="00147DF6" w:rsidRDefault="001903DA" w:rsidP="00CD3B4A">
                  <w:pPr>
                    <w:spacing w:after="0" w:line="240" w:lineRule="auto"/>
                    <w:rPr>
                      <w:rFonts w:ascii="Times New Roman" w:eastAsia="Times New Roman" w:hAnsi="Times New Roman" w:cs="Times New Roman"/>
                      <w:b/>
                      <w:color w:val="000000"/>
                      <w:sz w:val="24"/>
                      <w:szCs w:val="24"/>
                      <w:lang w:eastAsia="es-ES"/>
                    </w:rPr>
                  </w:pPr>
                </w:p>
              </w:tc>
            </w:tr>
          </w:tbl>
          <w:p w:rsidR="001903DA" w:rsidRPr="00147DF6" w:rsidRDefault="001903DA" w:rsidP="001903DA">
            <w:pPr>
              <w:spacing w:line="240" w:lineRule="auto"/>
              <w:jc w:val="both"/>
              <w:rPr>
                <w:rFonts w:ascii="Times New Roman" w:hAnsi="Times New Roman"/>
                <w:b/>
                <w:sz w:val="20"/>
                <w:szCs w:val="20"/>
              </w:rPr>
            </w:pPr>
          </w:p>
          <w:p w:rsidR="001903DA" w:rsidRPr="00147DF6" w:rsidRDefault="001903DA" w:rsidP="001903DA">
            <w:pPr>
              <w:spacing w:line="240" w:lineRule="auto"/>
              <w:jc w:val="both"/>
              <w:rPr>
                <w:rFonts w:ascii="Times New Roman" w:hAnsi="Times New Roman"/>
                <w:b/>
                <w:sz w:val="20"/>
                <w:szCs w:val="20"/>
              </w:rPr>
            </w:pPr>
          </w:p>
          <w:p w:rsidR="00727619" w:rsidRPr="009F08A2" w:rsidRDefault="001903DA" w:rsidP="001903DA">
            <w:pPr>
              <w:spacing w:line="240" w:lineRule="auto"/>
              <w:jc w:val="both"/>
              <w:rPr>
                <w:rFonts w:ascii="Times New Roman" w:hAnsi="Times New Roman"/>
                <w:sz w:val="24"/>
                <w:szCs w:val="24"/>
              </w:rPr>
            </w:pPr>
            <w:r w:rsidRPr="009F08A2">
              <w:rPr>
                <w:rFonts w:ascii="Times New Roman" w:hAnsi="Times New Roman"/>
                <w:b/>
                <w:sz w:val="24"/>
                <w:szCs w:val="24"/>
              </w:rPr>
              <w:t>Al margen</w:t>
            </w:r>
            <w:r w:rsidRPr="009F08A2">
              <w:rPr>
                <w:rFonts w:ascii="Times New Roman" w:hAnsi="Times New Roman"/>
                <w:sz w:val="24"/>
                <w:szCs w:val="24"/>
              </w:rPr>
              <w:t>: La serie anterior permite observar la importante participación que tiene la EU en el</w:t>
            </w:r>
            <w:r w:rsidR="00727619" w:rsidRPr="009F08A2">
              <w:rPr>
                <w:rFonts w:ascii="Times New Roman" w:hAnsi="Times New Roman"/>
                <w:sz w:val="24"/>
                <w:szCs w:val="24"/>
              </w:rPr>
              <w:t xml:space="preserve"> comercio exterior de </w:t>
            </w:r>
            <w:r w:rsidRPr="009F08A2">
              <w:rPr>
                <w:rFonts w:ascii="Times New Roman" w:hAnsi="Times New Roman"/>
                <w:sz w:val="24"/>
                <w:szCs w:val="24"/>
              </w:rPr>
              <w:t>Alemania</w:t>
            </w:r>
            <w:r w:rsidR="00727619" w:rsidRPr="009F08A2">
              <w:rPr>
                <w:rFonts w:ascii="Times New Roman" w:hAnsi="Times New Roman"/>
                <w:sz w:val="24"/>
                <w:szCs w:val="24"/>
              </w:rPr>
              <w:t>, y entre los países miembros.</w:t>
            </w:r>
            <w:r w:rsidR="002F5DAF" w:rsidRPr="009F08A2">
              <w:rPr>
                <w:rFonts w:ascii="Times New Roman" w:hAnsi="Times New Roman"/>
                <w:sz w:val="24"/>
                <w:szCs w:val="24"/>
              </w:rPr>
              <w:t xml:space="preserve"> Aunque luego volveré sobre el asunto, desearía que se quedaran con el orden de magnitud. La EU representa (en promedio 2003-2013) el 64,38% de las importaciones de Alemania y el 62,14</w:t>
            </w:r>
            <w:r w:rsidR="00727619" w:rsidRPr="009F08A2">
              <w:rPr>
                <w:rFonts w:ascii="Times New Roman" w:hAnsi="Times New Roman"/>
                <w:sz w:val="24"/>
                <w:szCs w:val="24"/>
              </w:rPr>
              <w:t>% de sus</w:t>
            </w:r>
            <w:r w:rsidR="002F5DAF" w:rsidRPr="009F08A2">
              <w:rPr>
                <w:rFonts w:ascii="Times New Roman" w:hAnsi="Times New Roman"/>
                <w:sz w:val="24"/>
                <w:szCs w:val="24"/>
              </w:rPr>
              <w:t xml:space="preserve"> exportaciones. Por su parte la EU-28 </w:t>
            </w:r>
            <w:r w:rsidR="00727619" w:rsidRPr="009F08A2">
              <w:rPr>
                <w:rFonts w:ascii="Times New Roman" w:hAnsi="Times New Roman"/>
                <w:sz w:val="24"/>
                <w:szCs w:val="24"/>
              </w:rPr>
              <w:t>(en promedio 20</w:t>
            </w:r>
            <w:r w:rsidR="00DC077C">
              <w:rPr>
                <w:rFonts w:ascii="Times New Roman" w:hAnsi="Times New Roman"/>
                <w:sz w:val="24"/>
                <w:szCs w:val="24"/>
              </w:rPr>
              <w:t xml:space="preserve">03-2013) comercia entre </w:t>
            </w:r>
            <w:r w:rsidR="00727619" w:rsidRPr="009F08A2">
              <w:rPr>
                <w:rFonts w:ascii="Times New Roman" w:hAnsi="Times New Roman"/>
                <w:sz w:val="24"/>
                <w:szCs w:val="24"/>
              </w:rPr>
              <w:t>los países miembros, el equivalente al 63,4% de sus importaciones totales y el 66,57% de sus exportaciones totales. Unas magnitudes que no pueden dejar indiferente a ningún observador económico. Recuerden</w:t>
            </w:r>
            <w:r w:rsidR="00A0672B" w:rsidRPr="009F08A2">
              <w:rPr>
                <w:rFonts w:ascii="Times New Roman" w:hAnsi="Times New Roman"/>
                <w:sz w:val="24"/>
                <w:szCs w:val="24"/>
              </w:rPr>
              <w:t>,</w:t>
            </w:r>
            <w:r w:rsidR="00727619" w:rsidRPr="009F08A2">
              <w:rPr>
                <w:rFonts w:ascii="Times New Roman" w:hAnsi="Times New Roman"/>
                <w:sz w:val="24"/>
                <w:szCs w:val="24"/>
              </w:rPr>
              <w:t xml:space="preserve"> Alemania</w:t>
            </w:r>
            <w:r w:rsidR="00A0672B" w:rsidRPr="009F08A2">
              <w:rPr>
                <w:rFonts w:ascii="Times New Roman" w:hAnsi="Times New Roman"/>
                <w:sz w:val="24"/>
                <w:szCs w:val="24"/>
              </w:rPr>
              <w:t xml:space="preserve"> tiene un 44% de su PIB dependiente de las exportaciones, y de ese porcentaje un 62% lo vende en la EU. No es moco de pavo.</w:t>
            </w:r>
            <w:r w:rsidR="002F5DAF" w:rsidRPr="009F08A2">
              <w:rPr>
                <w:rFonts w:ascii="Times New Roman" w:hAnsi="Times New Roman"/>
                <w:sz w:val="24"/>
                <w:szCs w:val="24"/>
              </w:rPr>
              <w:t xml:space="preserve"> </w:t>
            </w:r>
          </w:p>
          <w:p w:rsidR="001903DA" w:rsidRPr="00147DF6" w:rsidRDefault="001903DA" w:rsidP="001903DA">
            <w:pPr>
              <w:spacing w:line="240" w:lineRule="auto"/>
              <w:jc w:val="both"/>
              <w:rPr>
                <w:rFonts w:ascii="Times New Roman" w:hAnsi="Times New Roman"/>
                <w:b/>
                <w:sz w:val="24"/>
                <w:szCs w:val="24"/>
              </w:rPr>
            </w:pPr>
            <w:r w:rsidRPr="00147DF6">
              <w:rPr>
                <w:rFonts w:ascii="Times New Roman" w:hAnsi="Times New Roman"/>
                <w:b/>
                <w:sz w:val="24"/>
                <w:szCs w:val="24"/>
              </w:rPr>
              <w:t xml:space="preserve"> </w:t>
            </w:r>
          </w:p>
          <w:tbl>
            <w:tblPr>
              <w:tblW w:w="7200" w:type="dxa"/>
              <w:tblInd w:w="55" w:type="dxa"/>
              <w:tblCellMar>
                <w:left w:w="70" w:type="dxa"/>
                <w:right w:w="70" w:type="dxa"/>
              </w:tblCellMar>
              <w:tblLook w:val="04A0" w:firstRow="1" w:lastRow="0" w:firstColumn="1" w:lastColumn="0" w:noHBand="0" w:noVBand="1"/>
            </w:tblPr>
            <w:tblGrid>
              <w:gridCol w:w="2744"/>
              <w:gridCol w:w="1586"/>
              <w:gridCol w:w="1039"/>
              <w:gridCol w:w="895"/>
              <w:gridCol w:w="936"/>
            </w:tblGrid>
            <w:tr w:rsidR="00727619" w:rsidRPr="00B324C0" w:rsidTr="00CD3B4A">
              <w:trPr>
                <w:trHeight w:val="315"/>
              </w:trPr>
              <w:tc>
                <w:tcPr>
                  <w:tcW w:w="7200" w:type="dxa"/>
                  <w:gridSpan w:val="5"/>
                  <w:tcBorders>
                    <w:top w:val="nil"/>
                    <w:left w:val="nil"/>
                    <w:bottom w:val="nil"/>
                    <w:right w:val="nil"/>
                  </w:tcBorders>
                  <w:shd w:val="clear" w:color="auto" w:fill="auto"/>
                  <w:noWrap/>
                  <w:vAlign w:val="bottom"/>
                  <w:hideMark/>
                </w:tcPr>
                <w:p w:rsidR="00727619" w:rsidRPr="00147DF6" w:rsidRDefault="00727619" w:rsidP="00CD3B4A">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lastRenderedPageBreak/>
                    <w:t>Current Account Balances (OECD Economic Outlook -  2014)</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(Per cent of GDP)</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Euro Area</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EEUU</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Japan</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China</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2006</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0,4</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-6</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3,9</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N/D</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2007</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0,3</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-5,3</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4,8</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N/D</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2008</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-0,4</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-4,9</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3,8</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N/D</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2009</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-0,1</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-3,9</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4,3</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N/D</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2010</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-3,6</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3,9</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N/D</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2011</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0,8</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-2,9</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1,9</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2012</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2,1</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-2,7</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1,1</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2,6</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2013</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2,8</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-2,3</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0,7</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2014</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3,1</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-2,5</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0,2</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1,2</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2015</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3,2</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-2,9</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0,7</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1,5</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(US $ Billion)</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Euro Area</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EEUU</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Japan</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China</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rPr>
                      <w:rFonts w:ascii="Times New Roman" w:eastAsia="Times New Roman" w:hAnsi="Times New Roman" w:cs="Times New Roman"/>
                      <w:b/>
                      <w:color w:val="000000"/>
                      <w:sz w:val="24"/>
                      <w:szCs w:val="24"/>
                      <w:lang w:eastAsia="es-ES"/>
                    </w:rPr>
                  </w:pP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2006</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43</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-788</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172</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250</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2007</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39</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-731</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212</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372</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2008</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-55</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-696</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187</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399</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2009</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-8</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-562</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231</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437</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2010</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-537</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211</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472</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2011</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106</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-458</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118</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136</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2012</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251</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-440</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66</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215</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2013</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362</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-379</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34</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183</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2014</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416</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-436</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11</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114</w:t>
                  </w:r>
                </w:p>
              </w:tc>
            </w:tr>
            <w:tr w:rsidR="00727619" w:rsidRPr="00147DF6" w:rsidTr="00CD3B4A">
              <w:trPr>
                <w:trHeight w:val="315"/>
              </w:trPr>
              <w:tc>
                <w:tcPr>
                  <w:tcW w:w="2744"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2015</w:t>
                  </w:r>
                </w:p>
              </w:tc>
              <w:tc>
                <w:tcPr>
                  <w:tcW w:w="158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414</w:t>
                  </w:r>
                </w:p>
              </w:tc>
              <w:tc>
                <w:tcPr>
                  <w:tcW w:w="1039"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-544</w:t>
                  </w:r>
                </w:p>
              </w:tc>
              <w:tc>
                <w:tcPr>
                  <w:tcW w:w="895"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34</w:t>
                  </w:r>
                </w:p>
              </w:tc>
              <w:tc>
                <w:tcPr>
                  <w:tcW w:w="936" w:type="dxa"/>
                  <w:tcBorders>
                    <w:top w:val="nil"/>
                    <w:left w:val="nil"/>
                    <w:bottom w:val="nil"/>
                    <w:right w:val="nil"/>
                  </w:tcBorders>
                  <w:shd w:val="clear" w:color="auto" w:fill="auto"/>
                  <w:noWrap/>
                  <w:vAlign w:val="bottom"/>
                  <w:hideMark/>
                </w:tcPr>
                <w:p w:rsidR="00727619" w:rsidRPr="00077596" w:rsidRDefault="00727619"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161</w:t>
                  </w:r>
                </w:p>
              </w:tc>
            </w:tr>
          </w:tbl>
          <w:p w:rsidR="00727619" w:rsidRPr="00077596" w:rsidRDefault="00727619" w:rsidP="00727619">
            <w:pPr>
              <w:spacing w:line="240" w:lineRule="auto"/>
              <w:jc w:val="both"/>
              <w:rPr>
                <w:rFonts w:ascii="Times New Roman" w:hAnsi="Times New Roman"/>
                <w:b/>
                <w:sz w:val="24"/>
                <w:szCs w:val="24"/>
              </w:rPr>
            </w:pPr>
          </w:p>
          <w:p w:rsidR="00727619" w:rsidRPr="009F08A2" w:rsidRDefault="00727619" w:rsidP="00727619">
            <w:pPr>
              <w:spacing w:line="240" w:lineRule="auto"/>
              <w:jc w:val="both"/>
              <w:rPr>
                <w:rFonts w:ascii="Times New Roman" w:hAnsi="Times New Roman"/>
                <w:sz w:val="24"/>
                <w:szCs w:val="24"/>
              </w:rPr>
            </w:pPr>
            <w:r w:rsidRPr="009F08A2">
              <w:rPr>
                <w:rFonts w:ascii="Times New Roman" w:hAnsi="Times New Roman"/>
                <w:b/>
                <w:sz w:val="24"/>
                <w:szCs w:val="24"/>
              </w:rPr>
              <w:t>Al margen</w:t>
            </w:r>
            <w:r w:rsidRPr="009F08A2">
              <w:rPr>
                <w:rFonts w:ascii="Times New Roman" w:hAnsi="Times New Roman"/>
                <w:sz w:val="24"/>
                <w:szCs w:val="24"/>
              </w:rPr>
              <w:t>:</w:t>
            </w:r>
            <w:r w:rsidR="00A0672B" w:rsidRPr="009F08A2">
              <w:rPr>
                <w:rFonts w:ascii="Times New Roman" w:hAnsi="Times New Roman"/>
                <w:sz w:val="24"/>
                <w:szCs w:val="24"/>
              </w:rPr>
              <w:t xml:space="preserve"> Cualquiera sea el período de observación, la mejor performance la tiene la Euro Área, tanto en porcentaje del PIB, como en valores monetarios. Dejando de lado las “proyecciones” (cuya falibilidad está más que probada) resulta interesante destacar que para el año 2013, la Euro Área supera en porcentaje de PIB el balance</w:t>
            </w:r>
            <w:r w:rsidR="000F4E18" w:rsidRPr="009F08A2">
              <w:rPr>
                <w:rFonts w:ascii="Times New Roman" w:hAnsi="Times New Roman"/>
                <w:sz w:val="24"/>
                <w:szCs w:val="24"/>
              </w:rPr>
              <w:t xml:space="preserve"> de China (2,8% vs 2%) y casi duplica el balance monetario (362 US $ billion vs 183 US $ billion). Ahí es nada. No son cifras para ir por los organismos internacionales acomplejados, pidiendo perdón a burócratas y representantes, con miedo de decir algo en las conferencias de comercio</w:t>
            </w:r>
            <w:r w:rsidR="001B19AA">
              <w:rPr>
                <w:rFonts w:ascii="Times New Roman" w:hAnsi="Times New Roman"/>
                <w:sz w:val="24"/>
                <w:szCs w:val="24"/>
              </w:rPr>
              <w:t>,</w:t>
            </w:r>
            <w:r w:rsidR="000F4E18" w:rsidRPr="009F08A2">
              <w:rPr>
                <w:rFonts w:ascii="Times New Roman" w:hAnsi="Times New Roman"/>
                <w:sz w:val="24"/>
                <w:szCs w:val="24"/>
              </w:rPr>
              <w:t xml:space="preserve"> o de exigir condiciones favorables en las negociaciones. Los mendigos deberían ser los estadounidenses, los acomplejados los japoneses y los flexibles los chinos. Otro gallo cantaría</w:t>
            </w:r>
            <w:r w:rsidR="001B19AA">
              <w:rPr>
                <w:rFonts w:ascii="Times New Roman" w:hAnsi="Times New Roman"/>
                <w:sz w:val="24"/>
                <w:szCs w:val="24"/>
              </w:rPr>
              <w:t>,</w:t>
            </w:r>
            <w:r w:rsidR="000F4E18" w:rsidRPr="009F08A2">
              <w:rPr>
                <w:rFonts w:ascii="Times New Roman" w:hAnsi="Times New Roman"/>
                <w:sz w:val="24"/>
                <w:szCs w:val="24"/>
              </w:rPr>
              <w:t xml:space="preserve"> si la Unión Europea se decidiera </w:t>
            </w:r>
            <w:r w:rsidR="001B19AA">
              <w:rPr>
                <w:rFonts w:ascii="Times New Roman" w:hAnsi="Times New Roman"/>
                <w:sz w:val="24"/>
                <w:szCs w:val="24"/>
              </w:rPr>
              <w:t>a hacer valer su peso comercial</w:t>
            </w:r>
            <w:r w:rsidR="000F4E18" w:rsidRPr="009F08A2">
              <w:rPr>
                <w:rFonts w:ascii="Times New Roman" w:hAnsi="Times New Roman"/>
                <w:sz w:val="24"/>
                <w:szCs w:val="24"/>
              </w:rPr>
              <w:t xml:space="preserve"> en el mundo. </w:t>
            </w:r>
            <w:r w:rsidRPr="009F08A2">
              <w:rPr>
                <w:rFonts w:ascii="Times New Roman" w:hAnsi="Times New Roman"/>
                <w:sz w:val="24"/>
                <w:szCs w:val="24"/>
              </w:rPr>
              <w:t xml:space="preserve"> </w:t>
            </w:r>
          </w:p>
          <w:p w:rsidR="00727619" w:rsidRPr="009F08A2" w:rsidRDefault="00727619" w:rsidP="00727619">
            <w:pPr>
              <w:spacing w:line="240" w:lineRule="auto"/>
              <w:jc w:val="both"/>
              <w:rPr>
                <w:rFonts w:ascii="Times New Roman" w:hAnsi="Times New Roman"/>
                <w:sz w:val="20"/>
                <w:szCs w:val="20"/>
              </w:rPr>
            </w:pPr>
          </w:p>
          <w:p w:rsidR="000F4E18" w:rsidRPr="00147DF6" w:rsidRDefault="000F4E18" w:rsidP="00727619">
            <w:pPr>
              <w:spacing w:line="240" w:lineRule="auto"/>
              <w:jc w:val="both"/>
              <w:rPr>
                <w:rFonts w:ascii="Times New Roman" w:hAnsi="Times New Roman"/>
                <w:b/>
                <w:sz w:val="20"/>
                <w:szCs w:val="20"/>
              </w:rPr>
            </w:pPr>
          </w:p>
          <w:tbl>
            <w:tblPr>
              <w:tblW w:w="8848" w:type="dxa"/>
              <w:tblInd w:w="55" w:type="dxa"/>
              <w:tblCellMar>
                <w:left w:w="70" w:type="dxa"/>
                <w:right w:w="70" w:type="dxa"/>
              </w:tblCellMar>
              <w:tblLook w:val="04A0" w:firstRow="1" w:lastRow="0" w:firstColumn="1" w:lastColumn="0" w:noHBand="0" w:noVBand="1"/>
            </w:tblPr>
            <w:tblGrid>
              <w:gridCol w:w="1838"/>
              <w:gridCol w:w="463"/>
              <w:gridCol w:w="936"/>
              <w:gridCol w:w="326"/>
              <w:gridCol w:w="922"/>
              <w:gridCol w:w="656"/>
              <w:gridCol w:w="743"/>
              <w:gridCol w:w="224"/>
              <w:gridCol w:w="1024"/>
              <w:gridCol w:w="1248"/>
              <w:gridCol w:w="322"/>
              <w:gridCol w:w="146"/>
            </w:tblGrid>
            <w:tr w:rsidR="000F4E18" w:rsidRPr="00B324C0" w:rsidTr="00CD3B4A">
              <w:trPr>
                <w:trHeight w:val="315"/>
              </w:trPr>
              <w:tc>
                <w:tcPr>
                  <w:tcW w:w="8848" w:type="dxa"/>
                  <w:gridSpan w:val="1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lastRenderedPageBreak/>
                    <w:t>Balance of Payments and International Trade (OECD Economic Outlook - 2014)</w:t>
                  </w:r>
                </w:p>
              </w:tc>
            </w:tr>
            <w:tr w:rsidR="000F4E18" w:rsidRPr="00147DF6" w:rsidTr="00CD3B4A">
              <w:trPr>
                <w:trHeight w:val="315"/>
              </w:trPr>
              <w:tc>
                <w:tcPr>
                  <w:tcW w:w="3563" w:type="dxa"/>
                  <w:gridSpan w:val="4"/>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Current Account Balance</w:t>
                  </w: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(Billion US $)</w:t>
                  </w: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EEUU</w:t>
                  </w: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Alemania</w:t>
                  </w: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Japón </w:t>
                  </w: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China</w:t>
                  </w: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 (Q4)</w:t>
                  </w: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-118,55</w:t>
                  </w: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58,99</w:t>
                  </w: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23,46</w:t>
                  </w: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27,8</w:t>
                  </w: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-440,02</w:t>
                  </w: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255,23</w:t>
                  </w: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60,44</w:t>
                  </w: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193,1</w:t>
                  </w: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2013</w:t>
                  </w: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379,28</w:t>
                  </w: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293,4</w:t>
                  </w: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33,87</w:t>
                  </w: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128,23 </w:t>
                  </w:r>
                  <w:r w:rsidRPr="00147DF6">
                    <w:rPr>
                      <w:rFonts w:ascii="Times New Roman" w:eastAsia="Times New Roman" w:hAnsi="Times New Roman" w:cs="Times New Roman"/>
                      <w:b/>
                      <w:color w:val="000000"/>
                      <w:sz w:val="20"/>
                      <w:szCs w:val="20"/>
                      <w:lang w:eastAsia="es-ES"/>
                    </w:rPr>
                    <w:t>(1º Sem.)</w:t>
                  </w: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3563" w:type="dxa"/>
                  <w:gridSpan w:val="4"/>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Current Account Balance</w:t>
                  </w: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B324C0" w:rsidTr="00CD3B4A">
              <w:trPr>
                <w:trHeight w:val="315"/>
              </w:trPr>
              <w:tc>
                <w:tcPr>
                  <w:tcW w:w="3563" w:type="dxa"/>
                  <w:gridSpan w:val="4"/>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r w:rsidRPr="00147DF6">
                    <w:rPr>
                      <w:rFonts w:ascii="Times New Roman" w:eastAsia="Times New Roman" w:hAnsi="Times New Roman" w:cs="Times New Roman"/>
                      <w:b/>
                      <w:color w:val="000000"/>
                      <w:sz w:val="24"/>
                      <w:szCs w:val="24"/>
                      <w:lang w:val="en-US" w:eastAsia="es-ES"/>
                    </w:rPr>
                    <w:t>(As a percentage of GDP)</w:t>
                  </w: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r>
            <w:tr w:rsidR="000F4E18" w:rsidRPr="00B324C0"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 (Q4)</w:t>
                  </w: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-2,9</w:t>
                  </w: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6,7</w:t>
                  </w: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1,5</w:t>
                  </w: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-2,3</w:t>
                  </w: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7,5</w:t>
                  </w: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0,7</w:t>
                  </w: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2,3</w:t>
                  </w: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2013</w:t>
                  </w: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-2,7</w:t>
                  </w: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7,6</w:t>
                  </w: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w:t>
                  </w: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trHeight w:val="315"/>
              </w:trPr>
              <w:tc>
                <w:tcPr>
                  <w:tcW w:w="2301"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262"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57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967"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2594" w:type="dxa"/>
                  <w:gridSpan w:val="3"/>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B324C0" w:rsidTr="00CD3B4A">
              <w:trPr>
                <w:gridAfter w:val="2"/>
                <w:wAfter w:w="468" w:type="dxa"/>
                <w:trHeight w:val="315"/>
              </w:trPr>
              <w:tc>
                <w:tcPr>
                  <w:tcW w:w="8380" w:type="dxa"/>
                  <w:gridSpan w:val="10"/>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t>Germany Export by Partner Country (OECD - Economic Outlook - 2014)</w:t>
                  </w: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(Million US $)</w:t>
                  </w: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EEUU</w:t>
                  </w: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Japón</w:t>
                  </w: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China</w:t>
                  </w: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Fed. Rusa</w:t>
                  </w:r>
                </w:p>
              </w:tc>
              <w:tc>
                <w:tcPr>
                  <w:tcW w:w="124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Turquía</w:t>
                  </w: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2011 (Q4)</w:t>
                  </w: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26.306</w:t>
                  </w: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5497,3</w:t>
                  </w: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22.458,10</w:t>
                  </w: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24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6.232,60</w:t>
                  </w: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2012</w:t>
                  </w: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112.049,80</w:t>
                  </w: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22.179,50</w:t>
                  </w: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85.938,30</w:t>
                  </w: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50.087,80</w:t>
                  </w:r>
                </w:p>
              </w:tc>
              <w:tc>
                <w:tcPr>
                  <w:tcW w:w="124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25.903,40</w:t>
                  </w: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2013</w:t>
                  </w: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117.693,20</w:t>
                  </w: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22.946,20</w:t>
                  </w: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89.357,30</w:t>
                  </w: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47.883,70</w:t>
                  </w:r>
                </w:p>
              </w:tc>
              <w:tc>
                <w:tcPr>
                  <w:tcW w:w="124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28.558,00</w:t>
                  </w: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B324C0" w:rsidTr="00CD3B4A">
              <w:trPr>
                <w:gridAfter w:val="2"/>
                <w:wAfter w:w="468" w:type="dxa"/>
                <w:trHeight w:val="315"/>
              </w:trPr>
              <w:tc>
                <w:tcPr>
                  <w:tcW w:w="4485" w:type="dxa"/>
                  <w:gridSpan w:val="5"/>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bCs/>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t>Germany Imports by Partner Country</w:t>
                  </w:r>
                </w:p>
              </w:tc>
              <w:tc>
                <w:tcPr>
                  <w:tcW w:w="1399"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c>
                <w:tcPr>
                  <w:tcW w:w="1248" w:type="dxa"/>
                  <w:gridSpan w:val="2"/>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c>
                <w:tcPr>
                  <w:tcW w:w="1248" w:type="dxa"/>
                  <w:tcBorders>
                    <w:top w:val="nil"/>
                    <w:left w:val="nil"/>
                    <w:bottom w:val="nil"/>
                    <w:right w:val="nil"/>
                  </w:tcBorders>
                  <w:shd w:val="clear" w:color="auto" w:fill="auto"/>
                  <w:noWrap/>
                  <w:vAlign w:val="bottom"/>
                  <w:hideMark/>
                </w:tcPr>
                <w:p w:rsidR="000F4E18" w:rsidRPr="00147DF6" w:rsidRDefault="000F4E18" w:rsidP="00CD3B4A">
                  <w:pPr>
                    <w:spacing w:after="0" w:line="240" w:lineRule="auto"/>
                    <w:rPr>
                      <w:rFonts w:ascii="Times New Roman" w:eastAsia="Times New Roman" w:hAnsi="Times New Roman" w:cs="Times New Roman"/>
                      <w:b/>
                      <w:color w:val="000000"/>
                      <w:sz w:val="24"/>
                      <w:szCs w:val="24"/>
                      <w:lang w:val="en-US" w:eastAsia="es-ES"/>
                    </w:rPr>
                  </w:pP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(Million US $)</w:t>
                  </w:r>
                </w:p>
              </w:tc>
              <w:tc>
                <w:tcPr>
                  <w:tcW w:w="1399"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399"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p>
              </w:tc>
              <w:tc>
                <w:tcPr>
                  <w:tcW w:w="1248" w:type="dxa"/>
                  <w:tcBorders>
                    <w:top w:val="nil"/>
                    <w:left w:val="nil"/>
                    <w:bottom w:val="nil"/>
                    <w:right w:val="nil"/>
                  </w:tcBorders>
                  <w:shd w:val="clear" w:color="auto" w:fill="auto"/>
                  <w:noWrap/>
                  <w:vAlign w:val="bottom"/>
                  <w:hideMark/>
                </w:tcPr>
                <w:p w:rsidR="000F4E18" w:rsidRPr="00077596" w:rsidRDefault="000F4E18" w:rsidP="00CD3B4A">
                  <w:pPr>
                    <w:spacing w:after="0" w:line="240" w:lineRule="auto"/>
                    <w:rPr>
                      <w:rFonts w:ascii="Times New Roman" w:eastAsia="Times New Roman" w:hAnsi="Times New Roman" w:cs="Times New Roman"/>
                      <w:b/>
                      <w:color w:val="000000"/>
                      <w:sz w:val="24"/>
                      <w:szCs w:val="24"/>
                      <w:lang w:eastAsia="es-ES"/>
                    </w:rPr>
                  </w:pP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2011 (Q4)</w:t>
                  </w:r>
                </w:p>
              </w:tc>
              <w:tc>
                <w:tcPr>
                  <w:tcW w:w="1399"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12.553,70</w:t>
                  </w:r>
                </w:p>
              </w:tc>
              <w:tc>
                <w:tcPr>
                  <w:tcW w:w="1248"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6.115,20</w:t>
                  </w:r>
                </w:p>
              </w:tc>
              <w:tc>
                <w:tcPr>
                  <w:tcW w:w="1399"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21.649,60</w:t>
                  </w:r>
                </w:p>
              </w:tc>
              <w:tc>
                <w:tcPr>
                  <w:tcW w:w="1248"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14.814,00</w:t>
                  </w:r>
                </w:p>
              </w:tc>
              <w:tc>
                <w:tcPr>
                  <w:tcW w:w="1248" w:type="dxa"/>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3.524,40</w:t>
                  </w: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2012</w:t>
                  </w:r>
                </w:p>
              </w:tc>
              <w:tc>
                <w:tcPr>
                  <w:tcW w:w="1399"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66.552,40</w:t>
                  </w:r>
                </w:p>
              </w:tc>
              <w:tc>
                <w:tcPr>
                  <w:tcW w:w="1248"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29.863,40</w:t>
                  </w:r>
                </w:p>
              </w:tc>
              <w:tc>
                <w:tcPr>
                  <w:tcW w:w="1399"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100.602,90</w:t>
                  </w:r>
                </w:p>
              </w:tc>
              <w:tc>
                <w:tcPr>
                  <w:tcW w:w="1248"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41.222,40</w:t>
                  </w:r>
                </w:p>
              </w:tc>
              <w:tc>
                <w:tcPr>
                  <w:tcW w:w="1248" w:type="dxa"/>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15.409,90</w:t>
                  </w:r>
                </w:p>
              </w:tc>
            </w:tr>
            <w:tr w:rsidR="000F4E18" w:rsidRPr="00147DF6" w:rsidTr="00CD3B4A">
              <w:trPr>
                <w:gridAfter w:val="2"/>
                <w:wAfter w:w="468" w:type="dxa"/>
                <w:trHeight w:val="315"/>
              </w:trPr>
              <w:tc>
                <w:tcPr>
                  <w:tcW w:w="1838" w:type="dxa"/>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2013</w:t>
                  </w:r>
                </w:p>
              </w:tc>
              <w:tc>
                <w:tcPr>
                  <w:tcW w:w="1399"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48.377,20</w:t>
                  </w:r>
                </w:p>
              </w:tc>
              <w:tc>
                <w:tcPr>
                  <w:tcW w:w="1248"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19.242,60</w:t>
                  </w:r>
                </w:p>
              </w:tc>
              <w:tc>
                <w:tcPr>
                  <w:tcW w:w="1399"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76.329,10</w:t>
                  </w:r>
                </w:p>
              </w:tc>
              <w:tc>
                <w:tcPr>
                  <w:tcW w:w="1248" w:type="dxa"/>
                  <w:gridSpan w:val="2"/>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36.267,50</w:t>
                  </w:r>
                </w:p>
              </w:tc>
              <w:tc>
                <w:tcPr>
                  <w:tcW w:w="1248" w:type="dxa"/>
                  <w:tcBorders>
                    <w:top w:val="nil"/>
                    <w:left w:val="nil"/>
                    <w:bottom w:val="nil"/>
                    <w:right w:val="nil"/>
                  </w:tcBorders>
                  <w:shd w:val="clear" w:color="auto" w:fill="auto"/>
                  <w:noWrap/>
                  <w:vAlign w:val="bottom"/>
                  <w:hideMark/>
                </w:tcPr>
                <w:p w:rsidR="000F4E18" w:rsidRPr="00077596" w:rsidRDefault="000F4E18" w:rsidP="00CD3B4A">
                  <w:pPr>
                    <w:spacing w:after="0" w:line="240" w:lineRule="auto"/>
                    <w:jc w:val="center"/>
                    <w:rPr>
                      <w:rFonts w:ascii="Times New Roman" w:eastAsia="Times New Roman" w:hAnsi="Times New Roman" w:cs="Times New Roman"/>
                      <w:b/>
                      <w:color w:val="000000"/>
                      <w:sz w:val="24"/>
                      <w:szCs w:val="24"/>
                      <w:lang w:eastAsia="es-ES"/>
                    </w:rPr>
                  </w:pPr>
                  <w:r w:rsidRPr="00077596">
                    <w:rPr>
                      <w:rFonts w:ascii="Times New Roman" w:eastAsia="Times New Roman" w:hAnsi="Times New Roman" w:cs="Times New Roman"/>
                      <w:b/>
                      <w:color w:val="000000"/>
                      <w:sz w:val="24"/>
                      <w:szCs w:val="24"/>
                      <w:lang w:eastAsia="es-ES"/>
                    </w:rPr>
                    <w:t>14.513,10</w:t>
                  </w:r>
                </w:p>
              </w:tc>
            </w:tr>
          </w:tbl>
          <w:p w:rsidR="000F4E18" w:rsidRPr="009F08A2" w:rsidRDefault="000F4E18" w:rsidP="000F4E18">
            <w:pPr>
              <w:pStyle w:val="NormalWeb"/>
              <w:jc w:val="both"/>
              <w:rPr>
                <w:color w:val="000000"/>
              </w:rPr>
            </w:pPr>
            <w:r w:rsidRPr="009F08A2">
              <w:rPr>
                <w:b/>
                <w:color w:val="000000"/>
              </w:rPr>
              <w:t>Al margen</w:t>
            </w:r>
            <w:r w:rsidRPr="009F08A2">
              <w:rPr>
                <w:color w:val="000000"/>
              </w:rPr>
              <w:t xml:space="preserve">: </w:t>
            </w:r>
            <w:r w:rsidR="00C817FE" w:rsidRPr="009F08A2">
              <w:rPr>
                <w:color w:val="000000"/>
              </w:rPr>
              <w:t xml:space="preserve">Gran performance de Alemania. Casi 300.000 millones de dólares de balance corriente en el año 2013 (sin que haya finalizado la crisis internacional), el equivalente al 7,6% del PIB. EEUU destaca como su mercado más importante (fuera de la EU-28, en su conjunto), seguido de China. Se incluyen los datos del comercio exterior con la Federación Rusa y Turquía para </w:t>
            </w:r>
            <w:r w:rsidR="00F7446B">
              <w:rPr>
                <w:color w:val="000000"/>
              </w:rPr>
              <w:t>permitir</w:t>
            </w:r>
            <w:r w:rsidR="00C817FE" w:rsidRPr="009F08A2">
              <w:rPr>
                <w:color w:val="000000"/>
              </w:rPr>
              <w:t xml:space="preserve"> algunas comparaciones (luego volveré sobre el asunto). Como puede observarse (sorpresa</w:t>
            </w:r>
            <w:r w:rsidR="00CD3B4A" w:rsidRPr="009F08A2">
              <w:rPr>
                <w:color w:val="000000"/>
              </w:rPr>
              <w:t>,</w:t>
            </w:r>
            <w:r w:rsidR="00C817FE" w:rsidRPr="009F08A2">
              <w:rPr>
                <w:color w:val="000000"/>
              </w:rPr>
              <w:t xml:space="preserve"> para más de uno),</w:t>
            </w:r>
            <w:r w:rsidR="007E2152" w:rsidRPr="009F08A2">
              <w:rPr>
                <w:color w:val="000000"/>
              </w:rPr>
              <w:t xml:space="preserve"> ambos países superan las </w:t>
            </w:r>
            <w:r w:rsidR="00CD3B4A" w:rsidRPr="009F08A2">
              <w:rPr>
                <w:color w:val="000000"/>
              </w:rPr>
              <w:t xml:space="preserve">exportaciones </w:t>
            </w:r>
            <w:r w:rsidR="00C817FE" w:rsidRPr="009F08A2">
              <w:rPr>
                <w:color w:val="000000"/>
              </w:rPr>
              <w:t>de Alemani</w:t>
            </w:r>
            <w:r w:rsidR="007E2152" w:rsidRPr="009F08A2">
              <w:rPr>
                <w:color w:val="000000"/>
              </w:rPr>
              <w:t>a al Japón. La suma de Rusia y Turquía</w:t>
            </w:r>
            <w:r w:rsidR="00CD3B4A" w:rsidRPr="009F08A2">
              <w:rPr>
                <w:color w:val="000000"/>
              </w:rPr>
              <w:t xml:space="preserve"> equivale a casi el 86% de las exportaciones a China y el 65% de las exportaciones </w:t>
            </w:r>
            <w:r w:rsidR="008534FE">
              <w:rPr>
                <w:color w:val="000000"/>
              </w:rPr>
              <w:t xml:space="preserve">a los EEUU. </w:t>
            </w:r>
            <w:r w:rsidR="00F7446B">
              <w:rPr>
                <w:color w:val="000000"/>
              </w:rPr>
              <w:t xml:space="preserve">A </w:t>
            </w:r>
            <w:r w:rsidR="008534FE">
              <w:rPr>
                <w:color w:val="000000"/>
              </w:rPr>
              <w:t>veces</w:t>
            </w:r>
            <w:r w:rsidR="00F7446B">
              <w:rPr>
                <w:color w:val="000000"/>
              </w:rPr>
              <w:t>,</w:t>
            </w:r>
            <w:r w:rsidR="008534FE">
              <w:rPr>
                <w:color w:val="000000"/>
              </w:rPr>
              <w:t xml:space="preserve"> hay mucho ruido y pocas </w:t>
            </w:r>
            <w:r w:rsidR="00CD3B4A" w:rsidRPr="009F08A2">
              <w:rPr>
                <w:color w:val="000000"/>
              </w:rPr>
              <w:t>nueces.</w:t>
            </w:r>
            <w:r w:rsidR="00F7446B">
              <w:rPr>
                <w:color w:val="000000"/>
              </w:rPr>
              <w:t xml:space="preserve"> “Viel lärm um nichts”</w:t>
            </w:r>
            <w:r w:rsidR="00DC077C">
              <w:rPr>
                <w:color w:val="000000"/>
              </w:rPr>
              <w:t>: ¿qué explicación puede</w:t>
            </w:r>
            <w:r w:rsidR="001B19AA">
              <w:rPr>
                <w:color w:val="000000"/>
              </w:rPr>
              <w:t xml:space="preserve"> dar</w:t>
            </w:r>
            <w:r w:rsidR="00DC077C">
              <w:rPr>
                <w:color w:val="000000"/>
              </w:rPr>
              <w:t xml:space="preserve"> el riguroso Ifo</w:t>
            </w:r>
            <w:r w:rsidR="00F7446B">
              <w:rPr>
                <w:color w:val="000000"/>
              </w:rPr>
              <w:t>?</w:t>
            </w:r>
          </w:p>
          <w:p w:rsidR="00CD3B4A" w:rsidRPr="00147DF6" w:rsidRDefault="00CD3B4A" w:rsidP="000F4E18">
            <w:pPr>
              <w:pStyle w:val="NormalWeb"/>
              <w:jc w:val="both"/>
              <w:rPr>
                <w:b/>
                <w:color w:val="000000"/>
              </w:rPr>
            </w:pPr>
          </w:p>
          <w:tbl>
            <w:tblPr>
              <w:tblW w:w="7290" w:type="dxa"/>
              <w:tblInd w:w="55" w:type="dxa"/>
              <w:tblCellMar>
                <w:left w:w="70" w:type="dxa"/>
                <w:right w:w="70" w:type="dxa"/>
              </w:tblCellMar>
              <w:tblLook w:val="04A0" w:firstRow="1" w:lastRow="0" w:firstColumn="1" w:lastColumn="0" w:noHBand="0" w:noVBand="1"/>
            </w:tblPr>
            <w:tblGrid>
              <w:gridCol w:w="2450"/>
              <w:gridCol w:w="1747"/>
              <w:gridCol w:w="1747"/>
              <w:gridCol w:w="146"/>
              <w:gridCol w:w="1200"/>
            </w:tblGrid>
            <w:tr w:rsidR="00CD3B4A" w:rsidRPr="00B324C0" w:rsidTr="00CD3B4A">
              <w:trPr>
                <w:trHeight w:val="315"/>
              </w:trPr>
              <w:tc>
                <w:tcPr>
                  <w:tcW w:w="6090" w:type="dxa"/>
                  <w:gridSpan w:val="4"/>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lastRenderedPageBreak/>
                    <w:t>Germany  Imports / Exports by Partner Country</w:t>
                  </w:r>
                  <w:r w:rsidR="007E2152" w:rsidRPr="00147DF6">
                    <w:rPr>
                      <w:rFonts w:ascii="Times New Roman" w:eastAsia="Times New Roman" w:hAnsi="Times New Roman" w:cs="Times New Roman"/>
                      <w:b/>
                      <w:bCs/>
                      <w:color w:val="000000"/>
                      <w:sz w:val="24"/>
                      <w:szCs w:val="24"/>
                      <w:lang w:val="en-US" w:eastAsia="es-ES"/>
                    </w:rPr>
                    <w:t xml:space="preserve"> (2013)</w:t>
                  </w:r>
                  <w:r w:rsidRPr="00147DF6">
                    <w:rPr>
                      <w:rFonts w:ascii="Times New Roman" w:eastAsia="Times New Roman" w:hAnsi="Times New Roman" w:cs="Times New Roman"/>
                      <w:b/>
                      <w:color w:val="000000"/>
                      <w:sz w:val="24"/>
                      <w:szCs w:val="24"/>
                      <w:lang w:val="en-US" w:eastAsia="es-ES"/>
                    </w:rPr>
                    <w:t xml:space="preserve"> </w:t>
                  </w: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val="en-US" w:eastAsia="es-ES"/>
                    </w:rPr>
                  </w:pPr>
                </w:p>
              </w:tc>
            </w:tr>
            <w:tr w:rsidR="00CD3B4A" w:rsidRPr="00147DF6" w:rsidTr="00CD3B4A">
              <w:trPr>
                <w:trHeight w:val="315"/>
              </w:trPr>
              <w:tc>
                <w:tcPr>
                  <w:tcW w:w="7290" w:type="dxa"/>
                  <w:gridSpan w:val="5"/>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(Cálculos propios a partir de los datos disponibles de OCDE y Eurostat)</w:t>
                  </w: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(Million US $)</w:t>
                  </w:r>
                </w:p>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EU - 27</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bCs/>
                      <w:color w:val="000000"/>
                      <w:sz w:val="24"/>
                      <w:szCs w:val="24"/>
                      <w:lang w:eastAsia="es-ES"/>
                    </w:rPr>
                  </w:pP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Imports</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Exports</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Belgium</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72.618,00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55.724,30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w:t>
                  </w: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Bulgaria</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Czech Republic</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47.324,40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40.457,00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Denmark</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16.635,50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20.424,40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Germany</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 - - - - </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 - - - - </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Estonia</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675,4</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2.167,00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Ireland</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9.398,30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7.024,30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Greece</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2.177,80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6.294,00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Spain</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31.539,50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41.659,30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France</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89.781,50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132.986,10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Italy</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63.344,70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70.625,30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Cyprus</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Latvia</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N/D</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 xml:space="preserve"> </w:t>
                  </w: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Lituania</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Luxembourg</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4.822,20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7.115,40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Hungary</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25.835,20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23.098,70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Malta</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Netherlands</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155.085,90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91.510,60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Austria</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51.177,50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73.629,60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Poland</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50.121,00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55.659,20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Portugal</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6.779,80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8.345,60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Romania</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N/D</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Slovenia</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6.321,30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55.535,60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Slovakia</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17.136,60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14.211,50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Finland</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7.826,70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10.810,90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Sweden</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17.988,10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27.473,10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U. Kingdom</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52.739,40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95.254,90</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r w:rsidR="00CD3B4A" w:rsidRPr="00147DF6" w:rsidTr="00CD3B4A">
              <w:trPr>
                <w:trHeight w:val="315"/>
              </w:trPr>
              <w:tc>
                <w:tcPr>
                  <w:tcW w:w="245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Total EU - 27</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729.328,60</w:t>
                  </w:r>
                </w:p>
              </w:tc>
              <w:tc>
                <w:tcPr>
                  <w:tcW w:w="1747"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790,006,8</w:t>
                  </w:r>
                </w:p>
              </w:tc>
              <w:tc>
                <w:tcPr>
                  <w:tcW w:w="146"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jc w:val="center"/>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CD3B4A" w:rsidRPr="00147DF6" w:rsidRDefault="00CD3B4A" w:rsidP="00CD3B4A">
                  <w:pPr>
                    <w:spacing w:after="0" w:line="240" w:lineRule="auto"/>
                    <w:rPr>
                      <w:rFonts w:ascii="Times New Roman" w:eastAsia="Times New Roman" w:hAnsi="Times New Roman" w:cs="Times New Roman"/>
                      <w:b/>
                      <w:color w:val="000000"/>
                      <w:sz w:val="24"/>
                      <w:szCs w:val="24"/>
                      <w:lang w:eastAsia="es-ES"/>
                    </w:rPr>
                  </w:pPr>
                </w:p>
              </w:tc>
            </w:tr>
          </w:tbl>
          <w:p w:rsidR="00CD3B4A" w:rsidRPr="00147DF6" w:rsidRDefault="00CD3B4A" w:rsidP="00CD3B4A">
            <w:pPr>
              <w:pStyle w:val="NormalWeb"/>
              <w:jc w:val="both"/>
              <w:rPr>
                <w:b/>
                <w:color w:val="000000"/>
              </w:rPr>
            </w:pPr>
          </w:p>
          <w:p w:rsidR="00CD3B4A" w:rsidRPr="00147DF6" w:rsidRDefault="00CD3B4A" w:rsidP="00CD3B4A">
            <w:pPr>
              <w:pStyle w:val="NormalWeb"/>
              <w:jc w:val="both"/>
              <w:rPr>
                <w:b/>
                <w:color w:val="000000"/>
              </w:rPr>
            </w:pPr>
          </w:p>
          <w:p w:rsidR="00CD3B4A" w:rsidRPr="00147DF6" w:rsidRDefault="00CD3B4A" w:rsidP="00CD3B4A">
            <w:pPr>
              <w:pStyle w:val="NormalWeb"/>
              <w:jc w:val="both"/>
              <w:rPr>
                <w:b/>
                <w:color w:val="000000"/>
              </w:rPr>
            </w:pPr>
          </w:p>
          <w:tbl>
            <w:tblPr>
              <w:tblW w:w="7500" w:type="dxa"/>
              <w:tblInd w:w="55" w:type="dxa"/>
              <w:tblCellMar>
                <w:left w:w="70" w:type="dxa"/>
                <w:right w:w="70" w:type="dxa"/>
              </w:tblCellMar>
              <w:tblLook w:val="04A0" w:firstRow="1" w:lastRow="0" w:firstColumn="1" w:lastColumn="0" w:noHBand="0" w:noVBand="1"/>
            </w:tblPr>
            <w:tblGrid>
              <w:gridCol w:w="2130"/>
              <w:gridCol w:w="320"/>
              <w:gridCol w:w="1165"/>
              <w:gridCol w:w="1485"/>
              <w:gridCol w:w="990"/>
              <w:gridCol w:w="210"/>
              <w:gridCol w:w="990"/>
              <w:gridCol w:w="210"/>
            </w:tblGrid>
            <w:tr w:rsidR="007E2152" w:rsidRPr="00B324C0" w:rsidTr="007E2152">
              <w:trPr>
                <w:gridAfter w:val="3"/>
                <w:wAfter w:w="1410" w:type="dxa"/>
                <w:trHeight w:val="315"/>
              </w:trPr>
              <w:tc>
                <w:tcPr>
                  <w:tcW w:w="6090" w:type="dxa"/>
                  <w:gridSpan w:val="5"/>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val="en-US" w:eastAsia="es-ES"/>
                    </w:rPr>
                  </w:pPr>
                  <w:r w:rsidRPr="00147DF6">
                    <w:rPr>
                      <w:rFonts w:ascii="Times New Roman" w:eastAsia="Times New Roman" w:hAnsi="Times New Roman" w:cs="Times New Roman"/>
                      <w:b/>
                      <w:bCs/>
                      <w:color w:val="000000"/>
                      <w:sz w:val="24"/>
                      <w:szCs w:val="24"/>
                      <w:lang w:val="en-US" w:eastAsia="es-ES"/>
                    </w:rPr>
                    <w:lastRenderedPageBreak/>
                    <w:t>Germany  Imports / Exports by Partner Country (2013)</w:t>
                  </w:r>
                  <w:r w:rsidRPr="00147DF6">
                    <w:rPr>
                      <w:rFonts w:ascii="Times New Roman" w:eastAsia="Times New Roman" w:hAnsi="Times New Roman" w:cs="Times New Roman"/>
                      <w:b/>
                      <w:color w:val="000000"/>
                      <w:sz w:val="24"/>
                      <w:szCs w:val="24"/>
                      <w:lang w:val="en-US" w:eastAsia="es-ES"/>
                    </w:rPr>
                    <w:t xml:space="preserve"> </w:t>
                  </w:r>
                </w:p>
              </w:tc>
            </w:tr>
            <w:tr w:rsidR="007E2152" w:rsidRPr="00147DF6" w:rsidTr="007E2152">
              <w:trPr>
                <w:gridAfter w:val="1"/>
                <w:wAfter w:w="210" w:type="dxa"/>
                <w:trHeight w:val="315"/>
              </w:trPr>
              <w:tc>
                <w:tcPr>
                  <w:tcW w:w="7290" w:type="dxa"/>
                  <w:gridSpan w:val="7"/>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(Cálculos propios a partir de los datos disponibles de OCDE y Eurostat)</w:t>
                  </w:r>
                </w:p>
              </w:tc>
            </w:tr>
            <w:tr w:rsidR="007E2152" w:rsidRPr="00147DF6" w:rsidTr="007E2152">
              <w:trPr>
                <w:gridAfter w:val="6"/>
                <w:wAfter w:w="5050" w:type="dxa"/>
                <w:trHeight w:val="315"/>
              </w:trPr>
              <w:tc>
                <w:tcPr>
                  <w:tcW w:w="245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(Million US $)</w:t>
                  </w:r>
                </w:p>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bCs/>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Imports</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Exports</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bCs/>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Japón</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19.242,60</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22.946,20</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EEUU</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48.337,20</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117.693,20</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China</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76.329,10</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89.337,30</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Federación Rusa</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36.267,50</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47.883,70</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Turquía</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14.513,10</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28.558,00</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World</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1.188.416,80</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1.455.306,70</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3615" w:type="dxa"/>
                  <w:gridSpan w:val="3"/>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bCs/>
                      <w:color w:val="000000"/>
                      <w:sz w:val="24"/>
                      <w:szCs w:val="24"/>
                      <w:lang w:eastAsia="es-ES"/>
                    </w:rPr>
                  </w:pPr>
                  <w:r w:rsidRPr="00147DF6">
                    <w:rPr>
                      <w:rFonts w:ascii="Times New Roman" w:eastAsia="Times New Roman" w:hAnsi="Times New Roman" w:cs="Times New Roman"/>
                      <w:b/>
                      <w:bCs/>
                      <w:color w:val="000000"/>
                      <w:sz w:val="24"/>
                      <w:szCs w:val="24"/>
                      <w:lang w:eastAsia="es-ES"/>
                    </w:rPr>
                    <w:t>Índices de participación (%)</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EU-27 s/World</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61,37</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54,28</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Japón s/EU-27</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2,63</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2,9</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EEUU s/EU-27</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6,63</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14,9</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China s/EU-27</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10,47</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11,31</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Fed. Rusa s/EU-27</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4,97</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6,06</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Turquía s/EU-27</w:t>
                  </w: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1,99</w:t>
                  </w: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jc w:val="center"/>
                    <w:rPr>
                      <w:rFonts w:ascii="Times New Roman" w:eastAsia="Times New Roman" w:hAnsi="Times New Roman" w:cs="Times New Roman"/>
                      <w:b/>
                      <w:color w:val="000000"/>
                      <w:sz w:val="24"/>
                      <w:szCs w:val="24"/>
                      <w:lang w:eastAsia="es-ES"/>
                    </w:rPr>
                  </w:pPr>
                  <w:r w:rsidRPr="00147DF6">
                    <w:rPr>
                      <w:rFonts w:ascii="Times New Roman" w:eastAsia="Times New Roman" w:hAnsi="Times New Roman" w:cs="Times New Roman"/>
                      <w:b/>
                      <w:color w:val="000000"/>
                      <w:sz w:val="24"/>
                      <w:szCs w:val="24"/>
                      <w:lang w:eastAsia="es-ES"/>
                    </w:rPr>
                    <w:t>3,66</w:t>
                  </w: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r>
            <w:tr w:rsidR="007E2152" w:rsidRPr="00147DF6" w:rsidTr="007E2152">
              <w:trPr>
                <w:trHeight w:val="300"/>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r>
            <w:tr w:rsidR="007E2152" w:rsidRPr="00147DF6" w:rsidTr="007E2152">
              <w:trPr>
                <w:trHeight w:val="300"/>
              </w:trPr>
              <w:tc>
                <w:tcPr>
                  <w:tcW w:w="213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c>
                <w:tcPr>
                  <w:tcW w:w="1485"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c>
                <w:tcPr>
                  <w:tcW w:w="1485"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c>
                <w:tcPr>
                  <w:tcW w:w="1200" w:type="dxa"/>
                  <w:gridSpan w:val="2"/>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Calibri" w:eastAsia="Times New Roman" w:hAnsi="Calibri" w:cs="Times New Roman"/>
                      <w:b/>
                      <w:color w:val="000000"/>
                      <w:lang w:eastAsia="es-ES"/>
                    </w:rPr>
                  </w:pPr>
                </w:p>
              </w:tc>
            </w:tr>
          </w:tbl>
          <w:p w:rsidR="00B9019A" w:rsidRDefault="007E2152" w:rsidP="00C70873">
            <w:pPr>
              <w:pStyle w:val="NormalWeb"/>
              <w:jc w:val="both"/>
              <w:rPr>
                <w:color w:val="000000"/>
              </w:rPr>
            </w:pPr>
            <w:r w:rsidRPr="00147DF6">
              <w:rPr>
                <w:b/>
                <w:color w:val="000000"/>
              </w:rPr>
              <w:t xml:space="preserve">Al margen: </w:t>
            </w:r>
            <w:r w:rsidR="00A33028">
              <w:rPr>
                <w:color w:val="000000"/>
              </w:rPr>
              <w:t>Como “auditor”, o como “patólogo forense” (tanto monta, monta tanto), a la vista del “balance”</w:t>
            </w:r>
            <w:r w:rsidR="00011EC5">
              <w:rPr>
                <w:color w:val="000000"/>
              </w:rPr>
              <w:t xml:space="preserve"> (por debajo de las expectativas</w:t>
            </w:r>
            <w:r w:rsidR="00B3471A">
              <w:rPr>
                <w:color w:val="000000"/>
              </w:rPr>
              <w:t>)</w:t>
            </w:r>
            <w:r w:rsidR="00A33028">
              <w:rPr>
                <w:color w:val="000000"/>
              </w:rPr>
              <w:t xml:space="preserve"> o del “</w:t>
            </w:r>
            <w:r w:rsidR="00B3471A">
              <w:rPr>
                <w:color w:val="000000"/>
              </w:rPr>
              <w:t>occiso</w:t>
            </w:r>
            <w:r w:rsidR="00A33028">
              <w:rPr>
                <w:color w:val="000000"/>
              </w:rPr>
              <w:t>”</w:t>
            </w:r>
            <w:r w:rsidR="00B3471A">
              <w:rPr>
                <w:color w:val="000000"/>
              </w:rPr>
              <w:t xml:space="preserve"> (muerto en extrañas circunstancias)</w:t>
            </w:r>
            <w:r w:rsidR="00A33028">
              <w:rPr>
                <w:color w:val="000000"/>
              </w:rPr>
              <w:t>,</w:t>
            </w:r>
            <w:r w:rsidR="00B3471A">
              <w:rPr>
                <w:color w:val="000000"/>
              </w:rPr>
              <w:t xml:space="preserve"> me animo a proponer que Alemania se deje de preocupar por “agradar” a sus c</w:t>
            </w:r>
            <w:r w:rsidR="001A2446">
              <w:rPr>
                <w:color w:val="000000"/>
              </w:rPr>
              <w:t>lientes de fuera de la UE</w:t>
            </w:r>
            <w:r w:rsidR="00B3471A">
              <w:rPr>
                <w:color w:val="000000"/>
              </w:rPr>
              <w:t xml:space="preserve"> (principalmente EEUU y China) y concentre todos sus esfuerzos en </w:t>
            </w:r>
            <w:r w:rsidR="00011EC5">
              <w:rPr>
                <w:color w:val="000000"/>
              </w:rPr>
              <w:t>“</w:t>
            </w:r>
            <w:r w:rsidR="001B19AA">
              <w:rPr>
                <w:color w:val="000000"/>
              </w:rPr>
              <w:t>incrementar</w:t>
            </w:r>
            <w:r w:rsidR="00011EC5">
              <w:rPr>
                <w:color w:val="000000"/>
              </w:rPr>
              <w:t>”</w:t>
            </w:r>
            <w:r w:rsidR="00B3471A">
              <w:rPr>
                <w:color w:val="000000"/>
              </w:rPr>
              <w:t xml:space="preserve"> la demanda de los consumidores europeos (comenzando por los de su propio país) y de ese modo (sin tantos sacrificios, de empleo y salarios), pueda compensar las ventas que realiza o pudiera realizar en terceros países. N</w:t>
            </w:r>
            <w:r w:rsidR="00011EC5">
              <w:rPr>
                <w:color w:val="000000"/>
              </w:rPr>
              <w:t>o parecería</w:t>
            </w:r>
            <w:r w:rsidR="00B3471A">
              <w:rPr>
                <w:color w:val="000000"/>
              </w:rPr>
              <w:t xml:space="preserve"> lógico (volvamos a</w:t>
            </w:r>
            <w:r w:rsidR="001B19AA">
              <w:rPr>
                <w:color w:val="000000"/>
              </w:rPr>
              <w:t>l</w:t>
            </w:r>
            <w:r w:rsidR="00B3471A">
              <w:rPr>
                <w:color w:val="000000"/>
              </w:rPr>
              <w:t xml:space="preserve"> DAFO) que por “privilegiar” un comercio que representa e</w:t>
            </w:r>
            <w:r w:rsidR="00B9019A">
              <w:rPr>
                <w:color w:val="000000"/>
              </w:rPr>
              <w:t>l 14,9% o el 11,9% se desatienda un mercado que es 6,71 (EEUU) u 8,84 (China), veces más grande. Y ello sin incrementar la demanda interior del mercado alemán (la gran asignatura pendiente</w:t>
            </w:r>
            <w:r w:rsidR="00662654">
              <w:rPr>
                <w:color w:val="000000"/>
              </w:rPr>
              <w:t>, con o sin Ifo</w:t>
            </w:r>
            <w:r w:rsidR="00B9019A">
              <w:rPr>
                <w:color w:val="000000"/>
              </w:rPr>
              <w:t xml:space="preserve">). </w:t>
            </w:r>
          </w:p>
          <w:p w:rsidR="00CD3B4A" w:rsidRDefault="00B9019A" w:rsidP="00CD3B4A">
            <w:pPr>
              <w:pStyle w:val="NormalWeb"/>
              <w:jc w:val="both"/>
              <w:rPr>
                <w:color w:val="000000"/>
              </w:rPr>
            </w:pPr>
            <w:r>
              <w:rPr>
                <w:color w:val="000000"/>
              </w:rPr>
              <w:t>Además</w:t>
            </w:r>
            <w:r w:rsidR="001A2446">
              <w:rPr>
                <w:color w:val="000000"/>
              </w:rPr>
              <w:t>,</w:t>
            </w:r>
            <w:r>
              <w:rPr>
                <w:color w:val="000000"/>
              </w:rPr>
              <w:t xml:space="preserve"> quedan como reaseguros los mercados de la</w:t>
            </w:r>
            <w:r w:rsidR="001B19AA">
              <w:rPr>
                <w:color w:val="000000"/>
              </w:rPr>
              <w:t xml:space="preserve"> Federación Rusa y Turquía (</w:t>
            </w:r>
            <w:r>
              <w:rPr>
                <w:color w:val="000000"/>
              </w:rPr>
              <w:t>nos pillan más cerca) que</w:t>
            </w:r>
            <w:r w:rsidR="001A2446">
              <w:rPr>
                <w:color w:val="000000"/>
              </w:rPr>
              <w:t>,</w:t>
            </w:r>
            <w:r>
              <w:rPr>
                <w:color w:val="000000"/>
              </w:rPr>
              <w:t xml:space="preserve"> como se demuestra</w:t>
            </w:r>
            <w:r w:rsidR="001A2446">
              <w:rPr>
                <w:color w:val="000000"/>
              </w:rPr>
              <w:t>,</w:t>
            </w:r>
            <w:r>
              <w:rPr>
                <w:color w:val="000000"/>
              </w:rPr>
              <w:t xml:space="preserve"> </w:t>
            </w:r>
            <w:r w:rsidR="00011EC5">
              <w:rPr>
                <w:color w:val="000000"/>
              </w:rPr>
              <w:t>equivalen al 64,95% del mercado americano y al 85,57% del mercado chino. Más allá de las circunstancias y conflictos actuales</w:t>
            </w:r>
            <w:r w:rsidR="001A2446">
              <w:rPr>
                <w:color w:val="000000"/>
              </w:rPr>
              <w:t xml:space="preserve"> (octubre 2014)</w:t>
            </w:r>
            <w:r w:rsidR="00011EC5">
              <w:rPr>
                <w:color w:val="000000"/>
              </w:rPr>
              <w:t>, estos dos países tienen (o deberían tener) un especial interés estr</w:t>
            </w:r>
            <w:r w:rsidR="001A2446">
              <w:rPr>
                <w:color w:val="000000"/>
              </w:rPr>
              <w:t>atégico para la Unión Europea</w:t>
            </w:r>
            <w:r w:rsidR="00011EC5">
              <w:rPr>
                <w:color w:val="000000"/>
              </w:rPr>
              <w:t xml:space="preserve"> (energía, población, mercado). Ni EEUU, ni China, estarán por l</w:t>
            </w:r>
            <w:r w:rsidR="001A2446">
              <w:rPr>
                <w:color w:val="000000"/>
              </w:rPr>
              <w:t>a labor (facilitar su</w:t>
            </w:r>
            <w:r w:rsidR="00011EC5">
              <w:rPr>
                <w:color w:val="000000"/>
              </w:rPr>
              <w:t xml:space="preserve"> incorporación a la Unión Europea), así que será Alemania (principalme</w:t>
            </w:r>
            <w:r w:rsidR="001A2446">
              <w:rPr>
                <w:color w:val="000000"/>
              </w:rPr>
              <w:t>nte) la responsable final</w:t>
            </w:r>
            <w:r w:rsidR="00C70873">
              <w:rPr>
                <w:color w:val="000000"/>
              </w:rPr>
              <w:t xml:space="preserve"> de</w:t>
            </w:r>
            <w:r w:rsidR="001A2446">
              <w:rPr>
                <w:color w:val="000000"/>
              </w:rPr>
              <w:t xml:space="preserve"> llevar adelante este proyecto. A ver si se quitan las anteo</w:t>
            </w:r>
            <w:r w:rsidR="000F6A36">
              <w:rPr>
                <w:color w:val="000000"/>
              </w:rPr>
              <w:t>jeras, los complejos (Estocolmo y</w:t>
            </w:r>
            <w:r w:rsidR="001A2446">
              <w:rPr>
                <w:color w:val="000000"/>
              </w:rPr>
              <w:t xml:space="preserve"> Saturno), ciertas rigideces históricas (exceso de ahorro, miedo a la inflación, desconfianza con terceros…) y se deciden a ser la “auténtica” locomotora europea. No tiene</w:t>
            </w:r>
            <w:r w:rsidR="00C70873">
              <w:rPr>
                <w:color w:val="000000"/>
              </w:rPr>
              <w:t>n</w:t>
            </w:r>
            <w:r w:rsidR="001A2446">
              <w:rPr>
                <w:color w:val="000000"/>
              </w:rPr>
              <w:t xml:space="preserve"> que inventar nada:</w:t>
            </w:r>
            <w:r w:rsidR="00C70873">
              <w:rPr>
                <w:color w:val="000000"/>
              </w:rPr>
              <w:t xml:space="preserve"> basta con regresar al Sistema Nacional de Economía Política (Friedrich List), y</w:t>
            </w:r>
            <w:r w:rsidR="00037852">
              <w:rPr>
                <w:color w:val="000000"/>
              </w:rPr>
              <w:t xml:space="preserve"> recuperar e</w:t>
            </w:r>
            <w:r w:rsidR="00C70873">
              <w:rPr>
                <w:color w:val="000000"/>
              </w:rPr>
              <w:t>l Capitalismo</w:t>
            </w:r>
            <w:r w:rsidR="001A2446">
              <w:rPr>
                <w:color w:val="000000"/>
              </w:rPr>
              <w:t xml:space="preserve"> Renano</w:t>
            </w:r>
            <w:r w:rsidR="00C70873">
              <w:rPr>
                <w:color w:val="000000"/>
              </w:rPr>
              <w:t xml:space="preserve"> (economía social de mercado). </w:t>
            </w:r>
            <w:r w:rsidR="00431904">
              <w:rPr>
                <w:color w:val="000000"/>
              </w:rPr>
              <w:t>Hay que v</w:t>
            </w:r>
            <w:r w:rsidR="00037852">
              <w:rPr>
                <w:color w:val="000000"/>
              </w:rPr>
              <w:t>olver al futuro.</w:t>
            </w:r>
            <w:r w:rsidR="001A2446">
              <w:rPr>
                <w:color w:val="000000"/>
              </w:rPr>
              <w:t xml:space="preserve">  </w:t>
            </w:r>
            <w:r w:rsidR="00011EC5">
              <w:rPr>
                <w:color w:val="000000"/>
              </w:rPr>
              <w:t xml:space="preserve"> </w:t>
            </w:r>
          </w:p>
          <w:p w:rsidR="00C70873" w:rsidRPr="00C70873" w:rsidRDefault="00C70873" w:rsidP="00CD3B4A">
            <w:pPr>
              <w:pStyle w:val="NormalWeb"/>
              <w:jc w:val="both"/>
              <w:rPr>
                <w:color w:val="000000"/>
              </w:rPr>
            </w:pPr>
            <w:r>
              <w:rPr>
                <w:color w:val="000000"/>
              </w:rPr>
              <w:lastRenderedPageBreak/>
              <w:t>A continuación</w:t>
            </w:r>
            <w:r w:rsidR="00494916">
              <w:rPr>
                <w:color w:val="000000"/>
              </w:rPr>
              <w:t>,</w:t>
            </w:r>
            <w:r>
              <w:rPr>
                <w:color w:val="000000"/>
              </w:rPr>
              <w:t xml:space="preserve"> se reiteran las tablas completas de Importaciones y Exportaciones de Alemania</w:t>
            </w:r>
            <w:r w:rsidR="00037852">
              <w:rPr>
                <w:color w:val="000000"/>
              </w:rPr>
              <w:t>, para aquellos que deseen “jugar</w:t>
            </w:r>
            <w:r w:rsidR="00494916">
              <w:rPr>
                <w:color w:val="000000"/>
              </w:rPr>
              <w:t>”</w:t>
            </w:r>
            <w:r w:rsidR="00037852">
              <w:rPr>
                <w:color w:val="000000"/>
              </w:rPr>
              <w:t xml:space="preserve"> con los números. También se repite el cuadro de la participación del comercio exterior “intra” y “extra” comunitario, de todos los países miembros de la EU-27.  </w:t>
            </w:r>
          </w:p>
          <w:tbl>
            <w:tblPr>
              <w:tblW w:w="7500" w:type="dxa"/>
              <w:tblInd w:w="55" w:type="dxa"/>
              <w:tblCellMar>
                <w:left w:w="70" w:type="dxa"/>
                <w:right w:w="70" w:type="dxa"/>
              </w:tblCellMar>
              <w:tblLook w:val="04A0" w:firstRow="1" w:lastRow="0" w:firstColumn="1" w:lastColumn="0" w:noHBand="0" w:noVBand="1"/>
            </w:tblPr>
            <w:tblGrid>
              <w:gridCol w:w="2130"/>
              <w:gridCol w:w="1485"/>
              <w:gridCol w:w="1485"/>
              <w:gridCol w:w="1200"/>
              <w:gridCol w:w="1200"/>
            </w:tblGrid>
            <w:tr w:rsidR="007E2152" w:rsidRPr="00147DF6" w:rsidTr="00CD3B4A">
              <w:trPr>
                <w:trHeight w:val="315"/>
              </w:trPr>
              <w:tc>
                <w:tcPr>
                  <w:tcW w:w="5100" w:type="dxa"/>
                  <w:gridSpan w:val="3"/>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7E2152" w:rsidRPr="00147DF6" w:rsidRDefault="007E2152" w:rsidP="00077596">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7E2152" w:rsidRPr="00147DF6" w:rsidRDefault="007E2152" w:rsidP="00CD3B4A">
                  <w:pPr>
                    <w:spacing w:after="0" w:line="240" w:lineRule="auto"/>
                    <w:rPr>
                      <w:rFonts w:ascii="Times New Roman" w:eastAsia="Times New Roman" w:hAnsi="Times New Roman" w:cs="Times New Roman"/>
                      <w:b/>
                      <w:color w:val="000000"/>
                      <w:sz w:val="24"/>
                      <w:szCs w:val="24"/>
                      <w:lang w:eastAsia="es-ES"/>
                    </w:rPr>
                  </w:pPr>
                </w:p>
              </w:tc>
            </w:tr>
            <w:tr w:rsidR="007E2152" w:rsidRPr="00147DF6" w:rsidTr="007E2152">
              <w:trPr>
                <w:trHeight w:val="315"/>
              </w:trPr>
              <w:tc>
                <w:tcPr>
                  <w:tcW w:w="7500" w:type="dxa"/>
                  <w:gridSpan w:val="5"/>
                  <w:tcBorders>
                    <w:top w:val="nil"/>
                    <w:left w:val="nil"/>
                    <w:bottom w:val="nil"/>
                    <w:right w:val="nil"/>
                  </w:tcBorders>
                  <w:shd w:val="clear" w:color="auto" w:fill="auto"/>
                  <w:noWrap/>
                  <w:vAlign w:val="bottom"/>
                </w:tcPr>
                <w:p w:rsidR="007E2152" w:rsidRPr="00147DF6" w:rsidRDefault="007E2152" w:rsidP="00CD3B4A">
                  <w:pPr>
                    <w:spacing w:after="0" w:line="240" w:lineRule="auto"/>
                    <w:rPr>
                      <w:rFonts w:ascii="Times New Roman" w:eastAsia="Times New Roman" w:hAnsi="Times New Roman" w:cs="Times New Roman"/>
                      <w:b/>
                      <w:i/>
                      <w:color w:val="000000"/>
                      <w:sz w:val="24"/>
                      <w:szCs w:val="24"/>
                      <w:lang w:eastAsia="es-ES"/>
                    </w:rPr>
                  </w:pPr>
                </w:p>
              </w:tc>
            </w:tr>
            <w:tr w:rsidR="007E2152" w:rsidRPr="00147DF6" w:rsidTr="007E2152">
              <w:trPr>
                <w:trHeight w:val="315"/>
              </w:trPr>
              <w:tc>
                <w:tcPr>
                  <w:tcW w:w="2130" w:type="dxa"/>
                  <w:tcBorders>
                    <w:top w:val="nil"/>
                    <w:left w:val="nil"/>
                    <w:bottom w:val="nil"/>
                    <w:right w:val="nil"/>
                  </w:tcBorders>
                  <w:shd w:val="clear" w:color="auto" w:fill="auto"/>
                  <w:noWrap/>
                  <w:vAlign w:val="bottom"/>
                </w:tcPr>
                <w:p w:rsidR="007E2152" w:rsidRPr="00147DF6" w:rsidRDefault="007E2152" w:rsidP="00CD3B4A">
                  <w:pPr>
                    <w:spacing w:after="0" w:line="240" w:lineRule="auto"/>
                    <w:rPr>
                      <w:rFonts w:ascii="Times New Roman" w:eastAsia="Times New Roman" w:hAnsi="Times New Roman" w:cs="Times New Roman"/>
                      <w:b/>
                      <w:color w:val="000000"/>
                      <w:sz w:val="24"/>
                      <w:szCs w:val="24"/>
                      <w:lang w:eastAsia="es-ES"/>
                    </w:rPr>
                  </w:pPr>
                </w:p>
              </w:tc>
              <w:tc>
                <w:tcPr>
                  <w:tcW w:w="1485" w:type="dxa"/>
                  <w:tcBorders>
                    <w:top w:val="nil"/>
                    <w:left w:val="nil"/>
                    <w:bottom w:val="nil"/>
                    <w:right w:val="nil"/>
                  </w:tcBorders>
                  <w:shd w:val="clear" w:color="auto" w:fill="auto"/>
                  <w:noWrap/>
                  <w:vAlign w:val="bottom"/>
                  <w:hideMark/>
                </w:tcPr>
                <w:p w:rsidR="007E2152" w:rsidRPr="00147DF6" w:rsidRDefault="007E2152" w:rsidP="00CD3B4A">
                  <w:pPr>
                    <w:spacing w:after="0" w:line="240" w:lineRule="auto"/>
                    <w:rPr>
                      <w:rFonts w:ascii="Times New Roman" w:eastAsia="Times New Roman" w:hAnsi="Times New Roman" w:cs="Times New Roman"/>
                      <w:b/>
                      <w:color w:val="000000"/>
                      <w:sz w:val="24"/>
                      <w:szCs w:val="24"/>
                      <w:lang w:eastAsia="es-ES"/>
                    </w:rPr>
                  </w:pPr>
                </w:p>
              </w:tc>
              <w:tc>
                <w:tcPr>
                  <w:tcW w:w="1485" w:type="dxa"/>
                  <w:tcBorders>
                    <w:top w:val="nil"/>
                    <w:left w:val="nil"/>
                    <w:bottom w:val="nil"/>
                    <w:right w:val="nil"/>
                  </w:tcBorders>
                  <w:shd w:val="clear" w:color="auto" w:fill="auto"/>
                  <w:noWrap/>
                  <w:vAlign w:val="bottom"/>
                  <w:hideMark/>
                </w:tcPr>
                <w:p w:rsidR="007E2152" w:rsidRPr="00147DF6" w:rsidRDefault="007E2152"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7E2152" w:rsidRPr="00147DF6" w:rsidRDefault="007E2152" w:rsidP="00CD3B4A">
                  <w:pPr>
                    <w:spacing w:after="0" w:line="240" w:lineRule="auto"/>
                    <w:rPr>
                      <w:rFonts w:ascii="Times New Roman" w:eastAsia="Times New Roman" w:hAnsi="Times New Roman" w:cs="Times New Roman"/>
                      <w:b/>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7E2152" w:rsidRPr="00147DF6" w:rsidRDefault="007E2152" w:rsidP="00CD3B4A">
                  <w:pPr>
                    <w:spacing w:after="0" w:line="240" w:lineRule="auto"/>
                    <w:rPr>
                      <w:rFonts w:ascii="Times New Roman" w:eastAsia="Times New Roman" w:hAnsi="Times New Roman" w:cs="Times New Roman"/>
                      <w:b/>
                      <w:color w:val="000000"/>
                      <w:sz w:val="24"/>
                      <w:szCs w:val="24"/>
                      <w:lang w:eastAsia="es-ES"/>
                    </w:rPr>
                  </w:pPr>
                </w:p>
              </w:tc>
            </w:tr>
          </w:tbl>
          <w:p w:rsidR="00CD3B4A" w:rsidRDefault="00CD3B4A" w:rsidP="00CD3B4A">
            <w:pPr>
              <w:spacing w:line="240" w:lineRule="auto"/>
              <w:jc w:val="both"/>
              <w:rPr>
                <w:rFonts w:ascii="Times New Roman" w:hAnsi="Times New Roman"/>
                <w:b/>
                <w:sz w:val="24"/>
                <w:szCs w:val="24"/>
              </w:rPr>
            </w:pPr>
          </w:p>
          <w:p w:rsidR="000F4E18" w:rsidRPr="00147DF6" w:rsidRDefault="00CD3B4A" w:rsidP="000F4E18">
            <w:pPr>
              <w:pStyle w:val="NormalWeb"/>
              <w:jc w:val="both"/>
              <w:rPr>
                <w:b/>
                <w:color w:val="000000"/>
              </w:rPr>
            </w:pPr>
            <w:r w:rsidRPr="00147DF6">
              <w:rPr>
                <w:b/>
                <w:noProof/>
                <w:sz w:val="20"/>
                <w:szCs w:val="20"/>
              </w:rPr>
              <w:drawing>
                <wp:inline distT="0" distB="0" distL="0" distR="0" wp14:anchorId="421485DB" wp14:editId="285FEC71">
                  <wp:extent cx="5400040" cy="6217285"/>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400040" cy="6217285"/>
                          </a:xfrm>
                          <a:prstGeom prst="rect">
                            <a:avLst/>
                          </a:prstGeom>
                          <a:noFill/>
                          <a:ln>
                            <a:noFill/>
                          </a:ln>
                        </pic:spPr>
                      </pic:pic>
                    </a:graphicData>
                  </a:graphic>
                </wp:inline>
              </w:drawing>
            </w:r>
          </w:p>
          <w:p w:rsidR="000F4E18" w:rsidRPr="00147DF6" w:rsidRDefault="000F4E18" w:rsidP="000F4E18">
            <w:pPr>
              <w:pStyle w:val="NormalWeb"/>
              <w:jc w:val="both"/>
              <w:rPr>
                <w:b/>
                <w:color w:val="000000"/>
              </w:rPr>
            </w:pPr>
          </w:p>
          <w:p w:rsidR="000F4E18" w:rsidRPr="00147DF6" w:rsidRDefault="000F4E18" w:rsidP="000F4E18">
            <w:pPr>
              <w:pStyle w:val="NormalWeb"/>
              <w:jc w:val="both"/>
              <w:rPr>
                <w:b/>
                <w:color w:val="000000"/>
              </w:rPr>
            </w:pPr>
          </w:p>
          <w:p w:rsidR="00727619" w:rsidRPr="00147DF6" w:rsidRDefault="00727619" w:rsidP="00727619">
            <w:pPr>
              <w:spacing w:line="240" w:lineRule="auto"/>
              <w:jc w:val="both"/>
              <w:rPr>
                <w:rFonts w:ascii="Times New Roman" w:hAnsi="Times New Roman"/>
                <w:b/>
                <w:sz w:val="24"/>
                <w:szCs w:val="24"/>
              </w:rPr>
            </w:pPr>
          </w:p>
          <w:p w:rsidR="00727619" w:rsidRPr="00147DF6" w:rsidRDefault="00727619" w:rsidP="00727619">
            <w:pPr>
              <w:pStyle w:val="NormalWeb"/>
              <w:jc w:val="both"/>
              <w:rPr>
                <w:b/>
                <w:color w:val="000000"/>
              </w:rPr>
            </w:pPr>
          </w:p>
          <w:p w:rsidR="00727619" w:rsidRPr="00147DF6" w:rsidRDefault="00727619" w:rsidP="001903DA">
            <w:pPr>
              <w:spacing w:line="240" w:lineRule="auto"/>
              <w:jc w:val="both"/>
              <w:rPr>
                <w:rFonts w:ascii="Times New Roman" w:hAnsi="Times New Roman"/>
                <w:b/>
                <w:sz w:val="24"/>
                <w:szCs w:val="24"/>
              </w:rPr>
            </w:pPr>
          </w:p>
          <w:p w:rsidR="001903DA" w:rsidRPr="00147DF6" w:rsidRDefault="00CD3B4A" w:rsidP="001903DA">
            <w:pPr>
              <w:spacing w:line="240" w:lineRule="auto"/>
              <w:jc w:val="both"/>
              <w:rPr>
                <w:rFonts w:ascii="Times New Roman" w:hAnsi="Times New Roman"/>
                <w:b/>
                <w:sz w:val="20"/>
                <w:szCs w:val="20"/>
              </w:rPr>
            </w:pPr>
            <w:r w:rsidRPr="00147DF6">
              <w:rPr>
                <w:rFonts w:ascii="Times New Roman" w:hAnsi="Times New Roman"/>
                <w:b/>
                <w:noProof/>
                <w:sz w:val="20"/>
                <w:szCs w:val="20"/>
                <w:lang w:eastAsia="es-ES"/>
              </w:rPr>
              <w:drawing>
                <wp:inline distT="0" distB="0" distL="0" distR="0" wp14:anchorId="02FE6247" wp14:editId="740CEC3F">
                  <wp:extent cx="5400040" cy="6590030"/>
                  <wp:effectExtent l="0" t="0" r="0" b="127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00040" cy="6590030"/>
                          </a:xfrm>
                          <a:prstGeom prst="rect">
                            <a:avLst/>
                          </a:prstGeom>
                          <a:noFill/>
                          <a:ln>
                            <a:noFill/>
                          </a:ln>
                        </pic:spPr>
                      </pic:pic>
                    </a:graphicData>
                  </a:graphic>
                </wp:inline>
              </w:drawing>
            </w:r>
          </w:p>
          <w:p w:rsidR="001903DA" w:rsidRPr="00147DF6" w:rsidRDefault="001903DA" w:rsidP="001903DA">
            <w:pPr>
              <w:spacing w:line="240" w:lineRule="auto"/>
              <w:jc w:val="both"/>
              <w:rPr>
                <w:rFonts w:ascii="Times New Roman" w:hAnsi="Times New Roman"/>
                <w:b/>
                <w:sz w:val="20"/>
                <w:szCs w:val="20"/>
              </w:rPr>
            </w:pPr>
          </w:p>
          <w:p w:rsidR="001903DA" w:rsidRPr="00147DF6" w:rsidRDefault="001903DA" w:rsidP="001903DA">
            <w:pPr>
              <w:spacing w:line="240" w:lineRule="auto"/>
              <w:jc w:val="both"/>
              <w:rPr>
                <w:rFonts w:ascii="Times New Roman" w:hAnsi="Times New Roman"/>
                <w:b/>
                <w:sz w:val="20"/>
                <w:szCs w:val="20"/>
              </w:rPr>
            </w:pPr>
          </w:p>
          <w:p w:rsidR="001903DA" w:rsidRPr="00147DF6" w:rsidRDefault="001903DA" w:rsidP="001903DA">
            <w:pPr>
              <w:spacing w:line="240" w:lineRule="auto"/>
              <w:jc w:val="both"/>
              <w:rPr>
                <w:rFonts w:ascii="Times New Roman" w:hAnsi="Times New Roman"/>
                <w:b/>
                <w:sz w:val="20"/>
                <w:szCs w:val="20"/>
              </w:rPr>
            </w:pPr>
          </w:p>
          <w:p w:rsidR="00911BD9" w:rsidRPr="00147DF6" w:rsidRDefault="00911BD9" w:rsidP="00911BD9">
            <w:pPr>
              <w:spacing w:line="240" w:lineRule="auto"/>
              <w:jc w:val="both"/>
              <w:rPr>
                <w:rFonts w:ascii="Times New Roman" w:hAnsi="Times New Roman"/>
                <w:b/>
                <w:sz w:val="24"/>
                <w:szCs w:val="24"/>
              </w:rPr>
            </w:pPr>
          </w:p>
          <w:p w:rsidR="00911BD9" w:rsidRPr="00147DF6" w:rsidRDefault="00CD3B4A" w:rsidP="00911BD9">
            <w:pPr>
              <w:spacing w:line="240" w:lineRule="auto"/>
              <w:jc w:val="both"/>
              <w:rPr>
                <w:rFonts w:ascii="Times New Roman" w:hAnsi="Times New Roman"/>
                <w:b/>
                <w:sz w:val="20"/>
                <w:szCs w:val="20"/>
              </w:rPr>
            </w:pPr>
            <w:r w:rsidRPr="00147DF6">
              <w:rPr>
                <w:b/>
                <w:noProof/>
                <w:sz w:val="20"/>
                <w:szCs w:val="20"/>
                <w:lang w:eastAsia="es-ES"/>
              </w:rPr>
              <w:lastRenderedPageBreak/>
              <w:drawing>
                <wp:inline distT="0" distB="0" distL="0" distR="0" wp14:anchorId="2ED01E68" wp14:editId="012B4D62">
                  <wp:extent cx="3422650" cy="5073650"/>
                  <wp:effectExtent l="0" t="0" r="635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422650" cy="5073650"/>
                          </a:xfrm>
                          <a:prstGeom prst="rect">
                            <a:avLst/>
                          </a:prstGeom>
                          <a:noFill/>
                          <a:ln>
                            <a:noFill/>
                          </a:ln>
                        </pic:spPr>
                      </pic:pic>
                    </a:graphicData>
                  </a:graphic>
                </wp:inline>
              </w:drawing>
            </w:r>
          </w:p>
          <w:p w:rsidR="00814E0B" w:rsidRPr="00147DF6" w:rsidRDefault="00CD3B4A" w:rsidP="00814E0B">
            <w:pPr>
              <w:autoSpaceDE w:val="0"/>
              <w:autoSpaceDN w:val="0"/>
              <w:adjustRightInd w:val="0"/>
              <w:spacing w:after="0" w:line="240" w:lineRule="auto"/>
              <w:jc w:val="both"/>
              <w:rPr>
                <w:rFonts w:ascii="Times New Roman" w:hAnsi="Times New Roman"/>
                <w:b/>
                <w:sz w:val="24"/>
                <w:szCs w:val="24"/>
              </w:rPr>
            </w:pPr>
            <w:r w:rsidRPr="00147DF6">
              <w:rPr>
                <w:b/>
                <w:noProof/>
                <w:sz w:val="20"/>
                <w:szCs w:val="20"/>
                <w:lang w:eastAsia="es-ES"/>
              </w:rPr>
              <w:drawing>
                <wp:inline distT="0" distB="0" distL="0" distR="0" wp14:anchorId="754454A8" wp14:editId="5970A9BE">
                  <wp:extent cx="2876550" cy="3270250"/>
                  <wp:effectExtent l="0" t="0" r="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876550" cy="3270250"/>
                          </a:xfrm>
                          <a:prstGeom prst="rect">
                            <a:avLst/>
                          </a:prstGeom>
                          <a:noFill/>
                          <a:ln>
                            <a:noFill/>
                          </a:ln>
                        </pic:spPr>
                      </pic:pic>
                    </a:graphicData>
                  </a:graphic>
                </wp:inline>
              </w:drawing>
            </w:r>
          </w:p>
          <w:p w:rsidR="009B25E1" w:rsidRDefault="009B25E1" w:rsidP="00814E0B">
            <w:pPr>
              <w:spacing w:line="240" w:lineRule="auto"/>
              <w:jc w:val="both"/>
              <w:rPr>
                <w:rFonts w:ascii="Times New Roman" w:hAnsi="Times New Roman"/>
                <w:b/>
                <w:color w:val="FF0000"/>
                <w:sz w:val="24"/>
                <w:szCs w:val="24"/>
              </w:rPr>
            </w:pPr>
          </w:p>
          <w:p w:rsidR="00B712A0" w:rsidRPr="00B712A0" w:rsidRDefault="00B712A0" w:rsidP="00814E0B">
            <w:pPr>
              <w:spacing w:line="240" w:lineRule="auto"/>
              <w:jc w:val="both"/>
              <w:rPr>
                <w:rFonts w:ascii="Times New Roman" w:hAnsi="Times New Roman"/>
                <w:sz w:val="24"/>
                <w:szCs w:val="24"/>
              </w:rPr>
            </w:pPr>
            <w:r>
              <w:rPr>
                <w:rFonts w:ascii="Times New Roman" w:hAnsi="Times New Roman"/>
                <w:sz w:val="24"/>
                <w:szCs w:val="24"/>
              </w:rPr>
              <w:lastRenderedPageBreak/>
              <w:t xml:space="preserve">Como última aportación al debate, se incluyen algunas tablas del Informe más reciente publicado por la Comisión Europea al momento de redactar este Paper (5/11/14). </w:t>
            </w:r>
            <w:r w:rsidR="00402F34">
              <w:rPr>
                <w:rFonts w:ascii="Times New Roman" w:hAnsi="Times New Roman"/>
                <w:sz w:val="24"/>
                <w:szCs w:val="24"/>
              </w:rPr>
              <w:t xml:space="preserve">Se confirma </w:t>
            </w:r>
            <w:r w:rsidR="00942BD3">
              <w:rPr>
                <w:rFonts w:ascii="Times New Roman" w:hAnsi="Times New Roman"/>
                <w:sz w:val="24"/>
                <w:szCs w:val="24"/>
              </w:rPr>
              <w:t>el diagnóstico</w:t>
            </w:r>
            <w:r w:rsidR="00402F34">
              <w:rPr>
                <w:rFonts w:ascii="Times New Roman" w:hAnsi="Times New Roman"/>
                <w:sz w:val="24"/>
                <w:szCs w:val="24"/>
              </w:rPr>
              <w:t>: la Unión Europea tiene un</w:t>
            </w:r>
            <w:r w:rsidR="00942BD3">
              <w:rPr>
                <w:rFonts w:ascii="Times New Roman" w:hAnsi="Times New Roman"/>
                <w:sz w:val="24"/>
                <w:szCs w:val="24"/>
              </w:rPr>
              <w:t xml:space="preserve"> “encefalograma plano”</w:t>
            </w:r>
            <w:r>
              <w:rPr>
                <w:rFonts w:ascii="Times New Roman" w:hAnsi="Times New Roman"/>
                <w:sz w:val="24"/>
                <w:szCs w:val="24"/>
              </w:rPr>
              <w:t>.</w:t>
            </w:r>
            <w:r w:rsidR="00402F34">
              <w:rPr>
                <w:rFonts w:ascii="Times New Roman" w:hAnsi="Times New Roman"/>
                <w:sz w:val="24"/>
                <w:szCs w:val="24"/>
              </w:rPr>
              <w:t xml:space="preserve"> ¿Hay alternativas (vida) más allá de la línea plana</w:t>
            </w:r>
            <w:r w:rsidR="00942BD3">
              <w:rPr>
                <w:rFonts w:ascii="Times New Roman" w:hAnsi="Times New Roman"/>
                <w:sz w:val="24"/>
                <w:szCs w:val="24"/>
              </w:rPr>
              <w:t>?</w:t>
            </w:r>
            <w:r>
              <w:rPr>
                <w:rFonts w:ascii="Times New Roman" w:hAnsi="Times New Roman"/>
                <w:sz w:val="24"/>
                <w:szCs w:val="24"/>
              </w:rPr>
              <w:t xml:space="preserve"> </w:t>
            </w:r>
          </w:p>
          <w:p w:rsidR="00B21004" w:rsidRPr="00C70873" w:rsidRDefault="009466F8" w:rsidP="00814E0B">
            <w:pPr>
              <w:spacing w:line="240" w:lineRule="auto"/>
              <w:jc w:val="both"/>
              <w:rPr>
                <w:rFonts w:ascii="Times New Roman" w:hAnsi="Times New Roman"/>
                <w:b/>
                <w:sz w:val="24"/>
                <w:szCs w:val="24"/>
              </w:rPr>
            </w:pPr>
            <w:r w:rsidRPr="00C70873">
              <w:rPr>
                <w:rFonts w:ascii="Times New Roman" w:hAnsi="Times New Roman"/>
                <w:b/>
                <w:sz w:val="24"/>
                <w:szCs w:val="24"/>
              </w:rPr>
              <w:t>European Economic Forecast, Autumn 2014 (22/10/2014)</w:t>
            </w:r>
          </w:p>
          <w:p w:rsidR="00077596" w:rsidRPr="00C70873" w:rsidRDefault="00B21004" w:rsidP="00814E0B">
            <w:pPr>
              <w:spacing w:line="240" w:lineRule="auto"/>
              <w:jc w:val="both"/>
              <w:rPr>
                <w:rFonts w:ascii="Times New Roman" w:hAnsi="Times New Roman"/>
                <w:sz w:val="24"/>
                <w:szCs w:val="24"/>
              </w:rPr>
            </w:pPr>
            <w:r w:rsidRPr="00C70873">
              <w:rPr>
                <w:rFonts w:ascii="Times New Roman" w:hAnsi="Times New Roman"/>
                <w:sz w:val="24"/>
                <w:szCs w:val="24"/>
              </w:rPr>
              <w:t>The European Commission's autumn forecast</w:t>
            </w:r>
          </w:p>
          <w:p w:rsidR="00077596" w:rsidRPr="00C70873" w:rsidRDefault="00077596" w:rsidP="00814E0B">
            <w:pPr>
              <w:spacing w:line="240" w:lineRule="auto"/>
              <w:jc w:val="both"/>
              <w:rPr>
                <w:rFonts w:ascii="Times New Roman" w:hAnsi="Times New Roman"/>
                <w:b/>
                <w:color w:val="FF0000"/>
                <w:sz w:val="24"/>
                <w:szCs w:val="24"/>
              </w:rPr>
            </w:pPr>
          </w:p>
          <w:p w:rsidR="00077596" w:rsidRDefault="000475BA" w:rsidP="00814E0B">
            <w:pPr>
              <w:spacing w:line="240" w:lineRule="auto"/>
              <w:jc w:val="both"/>
            </w:pPr>
            <w:r>
              <w:object w:dxaOrig="4320" w:dyaOrig="3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507.5pt" o:ole="">
                  <v:imagedata r:id="rId189" o:title=""/>
                </v:shape>
                <o:OLEObject Type="Embed" ProgID="PBrush" ShapeID="_x0000_i1025" DrawAspect="Content" ObjectID="_1477126112" r:id="rId190"/>
              </w:object>
            </w:r>
          </w:p>
          <w:p w:rsidR="00077596" w:rsidRDefault="00077596" w:rsidP="00814E0B">
            <w:pPr>
              <w:spacing w:line="240" w:lineRule="auto"/>
              <w:jc w:val="both"/>
            </w:pPr>
          </w:p>
          <w:p w:rsidR="00077596" w:rsidRDefault="00077596" w:rsidP="00814E0B">
            <w:pPr>
              <w:spacing w:line="240" w:lineRule="auto"/>
              <w:jc w:val="both"/>
            </w:pPr>
          </w:p>
          <w:p w:rsidR="00077596" w:rsidRDefault="00077596" w:rsidP="00814E0B">
            <w:pPr>
              <w:spacing w:line="240" w:lineRule="auto"/>
              <w:jc w:val="both"/>
            </w:pPr>
          </w:p>
          <w:p w:rsidR="00077596" w:rsidRPr="00147DF6" w:rsidRDefault="00077596" w:rsidP="00814E0B">
            <w:pPr>
              <w:spacing w:line="240" w:lineRule="auto"/>
              <w:jc w:val="both"/>
              <w:rPr>
                <w:rFonts w:ascii="Times New Roman" w:hAnsi="Times New Roman"/>
                <w:b/>
                <w:color w:val="FF0000"/>
                <w:sz w:val="24"/>
                <w:szCs w:val="24"/>
              </w:rPr>
            </w:pPr>
          </w:p>
          <w:p w:rsidR="00776983" w:rsidRPr="00147DF6" w:rsidRDefault="000475BA" w:rsidP="00814E0B">
            <w:pPr>
              <w:spacing w:line="240" w:lineRule="auto"/>
              <w:jc w:val="both"/>
              <w:rPr>
                <w:rFonts w:ascii="Times New Roman" w:hAnsi="Times New Roman"/>
                <w:b/>
                <w:color w:val="FF0000"/>
                <w:sz w:val="24"/>
                <w:szCs w:val="24"/>
              </w:rPr>
            </w:pPr>
            <w:r>
              <w:object w:dxaOrig="4320" w:dyaOrig="3119">
                <v:shape id="_x0000_i1026" type="#_x0000_t75" style="width:485.5pt;height:513pt" o:ole="">
                  <v:imagedata r:id="rId191" o:title=""/>
                </v:shape>
                <o:OLEObject Type="Embed" ProgID="PBrush" ShapeID="_x0000_i1026" DrawAspect="Content" ObjectID="_1477126113" r:id="rId192"/>
              </w:object>
            </w:r>
          </w:p>
          <w:p w:rsidR="00814E0B" w:rsidRDefault="00814E0B" w:rsidP="00814E0B">
            <w:pPr>
              <w:spacing w:line="240" w:lineRule="auto"/>
              <w:jc w:val="both"/>
              <w:rPr>
                <w:rFonts w:ascii="Times New Roman" w:hAnsi="Times New Roman"/>
                <w:b/>
                <w:sz w:val="20"/>
                <w:szCs w:val="20"/>
              </w:rPr>
            </w:pPr>
          </w:p>
          <w:p w:rsidR="009466F8" w:rsidRDefault="009466F8" w:rsidP="00814E0B">
            <w:pPr>
              <w:spacing w:line="240" w:lineRule="auto"/>
              <w:jc w:val="both"/>
              <w:rPr>
                <w:rFonts w:ascii="Times New Roman" w:hAnsi="Times New Roman"/>
                <w:b/>
                <w:sz w:val="20"/>
                <w:szCs w:val="20"/>
              </w:rPr>
            </w:pPr>
          </w:p>
          <w:p w:rsidR="009466F8" w:rsidRDefault="009466F8" w:rsidP="00814E0B">
            <w:pPr>
              <w:spacing w:line="240" w:lineRule="auto"/>
              <w:jc w:val="both"/>
              <w:rPr>
                <w:rFonts w:ascii="Times New Roman" w:hAnsi="Times New Roman"/>
                <w:b/>
                <w:sz w:val="20"/>
                <w:szCs w:val="20"/>
              </w:rPr>
            </w:pPr>
          </w:p>
          <w:p w:rsidR="009466F8" w:rsidRDefault="009466F8" w:rsidP="00814E0B">
            <w:pPr>
              <w:spacing w:line="240" w:lineRule="auto"/>
              <w:jc w:val="both"/>
              <w:rPr>
                <w:rFonts w:ascii="Times New Roman" w:hAnsi="Times New Roman"/>
                <w:b/>
                <w:sz w:val="20"/>
                <w:szCs w:val="20"/>
              </w:rPr>
            </w:pPr>
          </w:p>
          <w:p w:rsidR="009466F8" w:rsidRDefault="009466F8" w:rsidP="00814E0B">
            <w:pPr>
              <w:spacing w:line="240" w:lineRule="auto"/>
              <w:jc w:val="both"/>
              <w:rPr>
                <w:rFonts w:ascii="Times New Roman" w:hAnsi="Times New Roman"/>
                <w:b/>
                <w:sz w:val="20"/>
                <w:szCs w:val="20"/>
              </w:rPr>
            </w:pPr>
          </w:p>
          <w:p w:rsidR="009466F8" w:rsidRDefault="009466F8" w:rsidP="00814E0B">
            <w:pPr>
              <w:spacing w:line="240" w:lineRule="auto"/>
              <w:jc w:val="both"/>
              <w:rPr>
                <w:rFonts w:ascii="Times New Roman" w:hAnsi="Times New Roman"/>
                <w:b/>
                <w:sz w:val="20"/>
                <w:szCs w:val="20"/>
              </w:rPr>
            </w:pPr>
          </w:p>
          <w:p w:rsidR="009466F8" w:rsidRDefault="009466F8" w:rsidP="00814E0B">
            <w:pPr>
              <w:spacing w:line="240" w:lineRule="auto"/>
              <w:jc w:val="both"/>
              <w:rPr>
                <w:rFonts w:ascii="Times New Roman" w:hAnsi="Times New Roman"/>
                <w:b/>
                <w:sz w:val="20"/>
                <w:szCs w:val="20"/>
              </w:rPr>
            </w:pPr>
          </w:p>
          <w:p w:rsidR="009466F8" w:rsidRPr="00147DF6" w:rsidRDefault="009466F8" w:rsidP="00814E0B">
            <w:pPr>
              <w:spacing w:line="240" w:lineRule="auto"/>
              <w:jc w:val="both"/>
              <w:rPr>
                <w:rFonts w:ascii="Times New Roman" w:hAnsi="Times New Roman"/>
                <w:b/>
                <w:sz w:val="20"/>
                <w:szCs w:val="20"/>
              </w:rPr>
            </w:pPr>
          </w:p>
          <w:p w:rsidR="00A2156A" w:rsidRPr="00147DF6" w:rsidRDefault="000475BA" w:rsidP="00845D2E">
            <w:pPr>
              <w:rPr>
                <w:rFonts w:ascii="Times New Roman" w:eastAsia="Times New Roman" w:hAnsi="Times New Roman" w:cs="Times New Roman"/>
                <w:b/>
                <w:color w:val="000000"/>
                <w:sz w:val="24"/>
                <w:szCs w:val="24"/>
                <w:lang w:eastAsia="es-ES"/>
              </w:rPr>
            </w:pPr>
            <w:r>
              <w:object w:dxaOrig="4320" w:dyaOrig="3101">
                <v:shape id="_x0000_i1027" type="#_x0000_t75" style="width:483.5pt;height:562pt" o:ole="">
                  <v:imagedata r:id="rId193" o:title=""/>
                </v:shape>
                <o:OLEObject Type="Embed" ProgID="PBrush" ShapeID="_x0000_i1027" DrawAspect="Content" ObjectID="_1477126114" r:id="rId194"/>
              </w:object>
            </w:r>
          </w:p>
        </w:tc>
        <w:tc>
          <w:tcPr>
            <w:tcW w:w="803"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C817FE" w:rsidTr="00776983">
        <w:trPr>
          <w:trHeight w:val="315"/>
        </w:trPr>
        <w:tc>
          <w:tcPr>
            <w:tcW w:w="9979" w:type="dxa"/>
            <w:tcBorders>
              <w:top w:val="nil"/>
              <w:left w:val="nil"/>
              <w:bottom w:val="nil"/>
              <w:right w:val="nil"/>
            </w:tcBorders>
            <w:shd w:val="clear" w:color="auto" w:fill="auto"/>
            <w:noWrap/>
            <w:vAlign w:val="bottom"/>
          </w:tcPr>
          <w:p w:rsidR="00A2156A" w:rsidRDefault="00A2156A" w:rsidP="00A2156A">
            <w:pPr>
              <w:spacing w:after="0" w:line="240" w:lineRule="auto"/>
              <w:rPr>
                <w:rFonts w:ascii="Times New Roman" w:eastAsia="Times New Roman" w:hAnsi="Times New Roman" w:cs="Times New Roman"/>
                <w:color w:val="000000"/>
                <w:sz w:val="24"/>
                <w:szCs w:val="24"/>
                <w:lang w:eastAsia="es-ES"/>
              </w:rPr>
            </w:pPr>
          </w:p>
          <w:p w:rsidR="009466F8" w:rsidRDefault="009466F8" w:rsidP="00A2156A">
            <w:pPr>
              <w:spacing w:after="0" w:line="240" w:lineRule="auto"/>
              <w:rPr>
                <w:rFonts w:ascii="Times New Roman" w:eastAsia="Times New Roman" w:hAnsi="Times New Roman" w:cs="Times New Roman"/>
                <w:color w:val="000000"/>
                <w:sz w:val="24"/>
                <w:szCs w:val="24"/>
                <w:lang w:eastAsia="es-ES"/>
              </w:rPr>
            </w:pPr>
          </w:p>
          <w:p w:rsidR="009466F8" w:rsidRDefault="009466F8" w:rsidP="00A2156A">
            <w:pPr>
              <w:spacing w:after="0" w:line="240" w:lineRule="auto"/>
              <w:rPr>
                <w:rFonts w:ascii="Times New Roman" w:eastAsia="Times New Roman" w:hAnsi="Times New Roman" w:cs="Times New Roman"/>
                <w:color w:val="000000"/>
                <w:sz w:val="24"/>
                <w:szCs w:val="24"/>
                <w:lang w:eastAsia="es-ES"/>
              </w:rPr>
            </w:pPr>
          </w:p>
          <w:p w:rsidR="009466F8" w:rsidRDefault="009466F8" w:rsidP="00A2156A">
            <w:pPr>
              <w:spacing w:after="0" w:line="240" w:lineRule="auto"/>
              <w:rPr>
                <w:rFonts w:ascii="Times New Roman" w:eastAsia="Times New Roman" w:hAnsi="Times New Roman" w:cs="Times New Roman"/>
                <w:color w:val="000000"/>
                <w:sz w:val="24"/>
                <w:szCs w:val="24"/>
                <w:lang w:eastAsia="es-ES"/>
              </w:rPr>
            </w:pPr>
          </w:p>
          <w:p w:rsidR="000475BA" w:rsidRDefault="000475BA" w:rsidP="00A2156A">
            <w:pPr>
              <w:spacing w:after="0" w:line="240" w:lineRule="auto"/>
              <w:rPr>
                <w:rFonts w:ascii="Times New Roman" w:eastAsia="Times New Roman" w:hAnsi="Times New Roman" w:cs="Times New Roman"/>
                <w:color w:val="000000"/>
                <w:sz w:val="24"/>
                <w:szCs w:val="24"/>
                <w:lang w:eastAsia="es-ES"/>
              </w:rPr>
            </w:pPr>
          </w:p>
          <w:p w:rsidR="009466F8" w:rsidRDefault="009466F8" w:rsidP="00A2156A">
            <w:pPr>
              <w:spacing w:after="0" w:line="240" w:lineRule="auto"/>
              <w:rPr>
                <w:rFonts w:ascii="Times New Roman" w:eastAsia="Times New Roman" w:hAnsi="Times New Roman" w:cs="Times New Roman"/>
                <w:color w:val="000000"/>
                <w:sz w:val="24"/>
                <w:szCs w:val="24"/>
                <w:lang w:eastAsia="es-ES"/>
              </w:rPr>
            </w:pPr>
          </w:p>
          <w:p w:rsidR="009466F8" w:rsidRDefault="009466F8" w:rsidP="00A2156A">
            <w:pPr>
              <w:spacing w:after="0" w:line="240" w:lineRule="auto"/>
              <w:rPr>
                <w:rFonts w:ascii="Times New Roman" w:eastAsia="Times New Roman" w:hAnsi="Times New Roman" w:cs="Times New Roman"/>
                <w:color w:val="000000"/>
                <w:sz w:val="24"/>
                <w:szCs w:val="24"/>
                <w:lang w:eastAsia="es-ES"/>
              </w:rPr>
            </w:pPr>
          </w:p>
          <w:p w:rsidR="009466F8" w:rsidRDefault="009466F8" w:rsidP="00A2156A">
            <w:pPr>
              <w:spacing w:after="0" w:line="240" w:lineRule="auto"/>
              <w:rPr>
                <w:rFonts w:ascii="Times New Roman" w:eastAsia="Times New Roman" w:hAnsi="Times New Roman" w:cs="Times New Roman"/>
                <w:color w:val="000000"/>
                <w:sz w:val="24"/>
                <w:szCs w:val="24"/>
                <w:lang w:eastAsia="es-ES"/>
              </w:rPr>
            </w:pPr>
          </w:p>
          <w:p w:rsidR="009466F8" w:rsidRPr="00C817FE" w:rsidRDefault="009466F8" w:rsidP="00A2156A">
            <w:pPr>
              <w:spacing w:after="0" w:line="240" w:lineRule="auto"/>
              <w:rPr>
                <w:rFonts w:ascii="Times New Roman" w:eastAsia="Times New Roman" w:hAnsi="Times New Roman" w:cs="Times New Roman"/>
                <w:color w:val="000000"/>
                <w:sz w:val="24"/>
                <w:szCs w:val="24"/>
                <w:lang w:eastAsia="es-ES"/>
              </w:rPr>
            </w:pPr>
          </w:p>
        </w:tc>
        <w:tc>
          <w:tcPr>
            <w:tcW w:w="803"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r>
      <w:tr w:rsidR="00A2156A" w:rsidRPr="00C817FE" w:rsidTr="00776983">
        <w:trPr>
          <w:trHeight w:val="315"/>
        </w:trPr>
        <w:tc>
          <w:tcPr>
            <w:tcW w:w="9979" w:type="dxa"/>
            <w:tcBorders>
              <w:top w:val="nil"/>
              <w:left w:val="nil"/>
              <w:bottom w:val="nil"/>
              <w:right w:val="nil"/>
            </w:tcBorders>
            <w:shd w:val="clear" w:color="auto" w:fill="auto"/>
            <w:noWrap/>
            <w:vAlign w:val="bottom"/>
          </w:tcPr>
          <w:p w:rsidR="00A2156A" w:rsidRDefault="000475BA" w:rsidP="00A2156A">
            <w:pPr>
              <w:spacing w:after="0" w:line="240" w:lineRule="auto"/>
            </w:pPr>
            <w:r>
              <w:object w:dxaOrig="4320" w:dyaOrig="3032">
                <v:shape id="_x0000_i1028" type="#_x0000_t75" style="width:482pt;height:551.5pt" o:ole="">
                  <v:imagedata r:id="rId195" o:title=""/>
                </v:shape>
                <o:OLEObject Type="Embed" ProgID="PBrush" ShapeID="_x0000_i1028" DrawAspect="Content" ObjectID="_1477126115" r:id="rId196"/>
              </w:object>
            </w:r>
          </w:p>
          <w:p w:rsidR="009466F8" w:rsidRDefault="009466F8" w:rsidP="00A2156A">
            <w:pPr>
              <w:spacing w:after="0" w:line="240" w:lineRule="auto"/>
            </w:pPr>
          </w:p>
          <w:p w:rsidR="000475BA" w:rsidRDefault="000475BA" w:rsidP="00A2156A">
            <w:pPr>
              <w:spacing w:after="0" w:line="240" w:lineRule="auto"/>
            </w:pPr>
          </w:p>
          <w:p w:rsidR="000475BA" w:rsidRDefault="000475BA" w:rsidP="00A2156A">
            <w:pPr>
              <w:spacing w:after="0" w:line="240" w:lineRule="auto"/>
            </w:pPr>
          </w:p>
          <w:p w:rsidR="000475BA" w:rsidRDefault="000475BA" w:rsidP="00A2156A">
            <w:pPr>
              <w:spacing w:after="0" w:line="240" w:lineRule="auto"/>
            </w:pPr>
          </w:p>
          <w:p w:rsidR="000475BA" w:rsidRDefault="000475BA" w:rsidP="00A2156A">
            <w:pPr>
              <w:spacing w:after="0" w:line="240" w:lineRule="auto"/>
            </w:pPr>
          </w:p>
          <w:p w:rsidR="000475BA" w:rsidRDefault="000475BA" w:rsidP="00A2156A">
            <w:pPr>
              <w:spacing w:after="0" w:line="240" w:lineRule="auto"/>
            </w:pPr>
          </w:p>
          <w:p w:rsidR="000475BA" w:rsidRDefault="000475BA" w:rsidP="00A2156A">
            <w:pPr>
              <w:spacing w:after="0" w:line="240" w:lineRule="auto"/>
            </w:pPr>
          </w:p>
          <w:p w:rsidR="000475BA" w:rsidRDefault="000475BA" w:rsidP="00A2156A">
            <w:pPr>
              <w:spacing w:after="0" w:line="240" w:lineRule="auto"/>
            </w:pPr>
          </w:p>
          <w:p w:rsidR="000475BA" w:rsidRDefault="000475BA" w:rsidP="00A2156A">
            <w:pPr>
              <w:spacing w:after="0" w:line="240" w:lineRule="auto"/>
            </w:pPr>
          </w:p>
          <w:p w:rsidR="000475BA" w:rsidRDefault="000475BA" w:rsidP="00A2156A">
            <w:pPr>
              <w:spacing w:after="0" w:line="240" w:lineRule="auto"/>
            </w:pPr>
          </w:p>
          <w:p w:rsidR="00B712A0" w:rsidRDefault="00B712A0" w:rsidP="00A2156A">
            <w:pPr>
              <w:spacing w:after="0" w:line="240" w:lineRule="auto"/>
            </w:pPr>
          </w:p>
          <w:p w:rsidR="009466F8" w:rsidRPr="00C817FE" w:rsidRDefault="000475BA" w:rsidP="00A2156A">
            <w:pPr>
              <w:spacing w:after="0" w:line="240" w:lineRule="auto"/>
              <w:rPr>
                <w:rFonts w:ascii="Times New Roman" w:eastAsia="Times New Roman" w:hAnsi="Times New Roman" w:cs="Times New Roman"/>
                <w:color w:val="000000"/>
                <w:sz w:val="24"/>
                <w:szCs w:val="24"/>
                <w:lang w:eastAsia="es-ES"/>
              </w:rPr>
            </w:pPr>
            <w:r>
              <w:object w:dxaOrig="4320" w:dyaOrig="3076">
                <v:shape id="_x0000_i1029" type="#_x0000_t75" style="width:475.5pt;height:561.5pt" o:ole="">
                  <v:imagedata r:id="rId197" o:title=""/>
                </v:shape>
                <o:OLEObject Type="Embed" ProgID="PBrush" ShapeID="_x0000_i1029" DrawAspect="Content" ObjectID="_1477126116" r:id="rId198"/>
              </w:object>
            </w:r>
          </w:p>
        </w:tc>
        <w:tc>
          <w:tcPr>
            <w:tcW w:w="803"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C817FE" w:rsidTr="00776983">
        <w:trPr>
          <w:trHeight w:val="315"/>
        </w:trPr>
        <w:tc>
          <w:tcPr>
            <w:tcW w:w="9979" w:type="dxa"/>
            <w:tcBorders>
              <w:top w:val="nil"/>
              <w:left w:val="nil"/>
              <w:bottom w:val="nil"/>
              <w:right w:val="nil"/>
            </w:tcBorders>
            <w:shd w:val="clear" w:color="auto" w:fill="auto"/>
            <w:noWrap/>
            <w:vAlign w:val="bottom"/>
          </w:tcPr>
          <w:p w:rsidR="00A2156A" w:rsidRDefault="00A2156A" w:rsidP="00A912FC">
            <w:pPr>
              <w:spacing w:after="0" w:line="240" w:lineRule="auto"/>
              <w:rPr>
                <w:rFonts w:ascii="Times New Roman" w:eastAsia="Times New Roman" w:hAnsi="Times New Roman" w:cs="Times New Roman"/>
                <w:b/>
                <w:bCs/>
                <w:color w:val="000000"/>
                <w:sz w:val="24"/>
                <w:szCs w:val="24"/>
                <w:lang w:eastAsia="es-ES"/>
              </w:rPr>
            </w:pPr>
          </w:p>
          <w:p w:rsidR="000475BA" w:rsidRDefault="000475BA" w:rsidP="00A912FC">
            <w:pPr>
              <w:spacing w:after="0" w:line="240" w:lineRule="auto"/>
              <w:rPr>
                <w:rFonts w:ascii="Times New Roman" w:eastAsia="Times New Roman" w:hAnsi="Times New Roman" w:cs="Times New Roman"/>
                <w:b/>
                <w:bCs/>
                <w:color w:val="000000"/>
                <w:sz w:val="24"/>
                <w:szCs w:val="24"/>
                <w:lang w:eastAsia="es-ES"/>
              </w:rPr>
            </w:pPr>
          </w:p>
          <w:p w:rsidR="000475BA" w:rsidRDefault="000475BA" w:rsidP="00A912FC">
            <w:pPr>
              <w:spacing w:after="0" w:line="240" w:lineRule="auto"/>
              <w:rPr>
                <w:rFonts w:ascii="Times New Roman" w:eastAsia="Times New Roman" w:hAnsi="Times New Roman" w:cs="Times New Roman"/>
                <w:b/>
                <w:bCs/>
                <w:color w:val="000000"/>
                <w:sz w:val="24"/>
                <w:szCs w:val="24"/>
                <w:lang w:eastAsia="es-ES"/>
              </w:rPr>
            </w:pPr>
          </w:p>
          <w:p w:rsidR="000475BA" w:rsidRDefault="000475BA" w:rsidP="00A912FC">
            <w:pPr>
              <w:spacing w:after="0" w:line="240" w:lineRule="auto"/>
              <w:rPr>
                <w:rFonts w:ascii="Times New Roman" w:eastAsia="Times New Roman" w:hAnsi="Times New Roman" w:cs="Times New Roman"/>
                <w:b/>
                <w:bCs/>
                <w:color w:val="000000"/>
                <w:sz w:val="24"/>
                <w:szCs w:val="24"/>
                <w:lang w:eastAsia="es-ES"/>
              </w:rPr>
            </w:pPr>
          </w:p>
          <w:p w:rsidR="000475BA" w:rsidRDefault="000475BA" w:rsidP="00A912FC">
            <w:pPr>
              <w:spacing w:after="0" w:line="240" w:lineRule="auto"/>
              <w:rPr>
                <w:rFonts w:ascii="Times New Roman" w:eastAsia="Times New Roman" w:hAnsi="Times New Roman" w:cs="Times New Roman"/>
                <w:b/>
                <w:bCs/>
                <w:color w:val="000000"/>
                <w:sz w:val="24"/>
                <w:szCs w:val="24"/>
                <w:lang w:eastAsia="es-ES"/>
              </w:rPr>
            </w:pPr>
          </w:p>
          <w:p w:rsidR="000475BA" w:rsidRDefault="000475BA" w:rsidP="00A912FC">
            <w:pPr>
              <w:spacing w:after="0" w:line="240" w:lineRule="auto"/>
              <w:rPr>
                <w:rFonts w:ascii="Times New Roman" w:eastAsia="Times New Roman" w:hAnsi="Times New Roman" w:cs="Times New Roman"/>
                <w:b/>
                <w:bCs/>
                <w:color w:val="000000"/>
                <w:sz w:val="24"/>
                <w:szCs w:val="24"/>
                <w:lang w:eastAsia="es-ES"/>
              </w:rPr>
            </w:pPr>
          </w:p>
          <w:p w:rsidR="000475BA" w:rsidRDefault="000475BA" w:rsidP="00A912FC">
            <w:pPr>
              <w:spacing w:after="0" w:line="240" w:lineRule="auto"/>
              <w:rPr>
                <w:rFonts w:ascii="Times New Roman" w:eastAsia="Times New Roman" w:hAnsi="Times New Roman" w:cs="Times New Roman"/>
                <w:b/>
                <w:bCs/>
                <w:color w:val="000000"/>
                <w:sz w:val="24"/>
                <w:szCs w:val="24"/>
                <w:lang w:eastAsia="es-ES"/>
              </w:rPr>
            </w:pPr>
          </w:p>
          <w:p w:rsidR="000475BA" w:rsidRDefault="000475BA" w:rsidP="00A912FC">
            <w:pPr>
              <w:spacing w:after="0" w:line="240" w:lineRule="auto"/>
              <w:rPr>
                <w:rFonts w:ascii="Times New Roman" w:eastAsia="Times New Roman" w:hAnsi="Times New Roman" w:cs="Times New Roman"/>
                <w:b/>
                <w:bCs/>
                <w:color w:val="000000"/>
                <w:sz w:val="24"/>
                <w:szCs w:val="24"/>
                <w:lang w:eastAsia="es-ES"/>
              </w:rPr>
            </w:pPr>
          </w:p>
          <w:p w:rsidR="000475BA" w:rsidRDefault="000475BA" w:rsidP="00A912FC">
            <w:pPr>
              <w:spacing w:after="0" w:line="240" w:lineRule="auto"/>
              <w:rPr>
                <w:rFonts w:ascii="Times New Roman" w:eastAsia="Times New Roman" w:hAnsi="Times New Roman" w:cs="Times New Roman"/>
                <w:b/>
                <w:bCs/>
                <w:color w:val="000000"/>
                <w:sz w:val="24"/>
                <w:szCs w:val="24"/>
                <w:lang w:eastAsia="es-ES"/>
              </w:rPr>
            </w:pPr>
          </w:p>
          <w:p w:rsidR="000475BA" w:rsidRPr="00C817FE" w:rsidRDefault="000475BA" w:rsidP="00A912FC">
            <w:pPr>
              <w:spacing w:after="0" w:line="240" w:lineRule="auto"/>
              <w:rPr>
                <w:rFonts w:ascii="Times New Roman" w:eastAsia="Times New Roman" w:hAnsi="Times New Roman" w:cs="Times New Roman"/>
                <w:b/>
                <w:bCs/>
                <w:color w:val="000000"/>
                <w:sz w:val="24"/>
                <w:szCs w:val="24"/>
                <w:lang w:eastAsia="es-ES"/>
              </w:rPr>
            </w:pPr>
          </w:p>
        </w:tc>
        <w:tc>
          <w:tcPr>
            <w:tcW w:w="803"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r>
      <w:tr w:rsidR="00A2156A" w:rsidRPr="00C817FE" w:rsidTr="00776983">
        <w:trPr>
          <w:trHeight w:val="315"/>
        </w:trPr>
        <w:tc>
          <w:tcPr>
            <w:tcW w:w="9979" w:type="dxa"/>
            <w:tcBorders>
              <w:top w:val="nil"/>
              <w:left w:val="nil"/>
              <w:bottom w:val="nil"/>
              <w:right w:val="nil"/>
            </w:tcBorders>
            <w:shd w:val="clear" w:color="auto" w:fill="auto"/>
            <w:noWrap/>
            <w:vAlign w:val="bottom"/>
          </w:tcPr>
          <w:p w:rsidR="00A2156A" w:rsidRDefault="000475BA" w:rsidP="009466F8">
            <w:pPr>
              <w:spacing w:after="0" w:line="240" w:lineRule="auto"/>
            </w:pPr>
            <w:r>
              <w:object w:dxaOrig="4320" w:dyaOrig="3099">
                <v:shape id="_x0000_i1030" type="#_x0000_t75" style="width:471.5pt;height:588.5pt" o:ole="">
                  <v:imagedata r:id="rId199" o:title=""/>
                </v:shape>
                <o:OLEObject Type="Embed" ProgID="PBrush" ShapeID="_x0000_i1030" DrawAspect="Content" ObjectID="_1477126117" r:id="rId200"/>
              </w:object>
            </w:r>
          </w:p>
          <w:p w:rsidR="000475BA" w:rsidRDefault="000475BA" w:rsidP="009466F8">
            <w:pPr>
              <w:spacing w:after="0" w:line="240" w:lineRule="auto"/>
            </w:pPr>
          </w:p>
          <w:p w:rsidR="000475BA" w:rsidRDefault="000475BA" w:rsidP="009466F8">
            <w:pPr>
              <w:spacing w:after="0" w:line="240" w:lineRule="auto"/>
            </w:pPr>
          </w:p>
          <w:p w:rsidR="000475BA" w:rsidRDefault="000475BA" w:rsidP="009466F8">
            <w:pPr>
              <w:spacing w:after="0" w:line="240" w:lineRule="auto"/>
            </w:pPr>
          </w:p>
          <w:p w:rsidR="000475BA" w:rsidRDefault="000475BA" w:rsidP="009466F8">
            <w:pPr>
              <w:spacing w:after="0" w:line="240" w:lineRule="auto"/>
            </w:pPr>
          </w:p>
          <w:p w:rsidR="000475BA" w:rsidRDefault="000475BA" w:rsidP="009466F8">
            <w:pPr>
              <w:spacing w:after="0" w:line="240" w:lineRule="auto"/>
            </w:pPr>
          </w:p>
          <w:p w:rsidR="000475BA" w:rsidRDefault="000475BA" w:rsidP="009466F8">
            <w:pPr>
              <w:spacing w:after="0" w:line="240" w:lineRule="auto"/>
            </w:pPr>
          </w:p>
          <w:p w:rsidR="000475BA" w:rsidRPr="00C817FE" w:rsidRDefault="000475BA" w:rsidP="009466F8">
            <w:pPr>
              <w:spacing w:after="0" w:line="240" w:lineRule="auto"/>
              <w:rPr>
                <w:rFonts w:ascii="Times New Roman" w:eastAsia="Times New Roman" w:hAnsi="Times New Roman" w:cs="Times New Roman"/>
                <w:b/>
                <w:bCs/>
                <w:color w:val="000000"/>
                <w:sz w:val="24"/>
                <w:szCs w:val="24"/>
                <w:lang w:eastAsia="es-ES"/>
              </w:rPr>
            </w:pPr>
          </w:p>
        </w:tc>
        <w:tc>
          <w:tcPr>
            <w:tcW w:w="803"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22"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121"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85"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A2156A" w:rsidRPr="00C817FE" w:rsidRDefault="00A2156A" w:rsidP="00A2156A">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tcPr>
          <w:p w:rsidR="00A2156A" w:rsidRPr="00C817FE" w:rsidRDefault="00A2156A" w:rsidP="00A2156A">
            <w:pPr>
              <w:spacing w:after="0" w:line="240" w:lineRule="auto"/>
              <w:rPr>
                <w:rFonts w:ascii="Times New Roman" w:eastAsia="Times New Roman" w:hAnsi="Times New Roman" w:cs="Times New Roman"/>
                <w:color w:val="000000"/>
                <w:sz w:val="24"/>
                <w:szCs w:val="24"/>
                <w:lang w:eastAsia="es-ES"/>
              </w:rPr>
            </w:pPr>
          </w:p>
        </w:tc>
      </w:tr>
    </w:tbl>
    <w:p w:rsidR="003C794E" w:rsidRDefault="009466F8" w:rsidP="00776983">
      <w:pPr>
        <w:pStyle w:val="NormalWeb"/>
        <w:shd w:val="clear" w:color="auto" w:fill="FFFFFF"/>
        <w:jc w:val="both"/>
      </w:pPr>
      <w:r>
        <w:rPr>
          <w:noProof/>
        </w:rPr>
        <w:lastRenderedPageBreak/>
        <w:drawing>
          <wp:inline distT="0" distB="0" distL="0" distR="0">
            <wp:extent cx="5924550" cy="718820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924550" cy="7188200"/>
                    </a:xfrm>
                    <a:prstGeom prst="rect">
                      <a:avLst/>
                    </a:prstGeom>
                    <a:noFill/>
                    <a:ln>
                      <a:noFill/>
                    </a:ln>
                  </pic:spPr>
                </pic:pic>
              </a:graphicData>
            </a:graphic>
          </wp:inline>
        </w:drawing>
      </w:r>
    </w:p>
    <w:p w:rsidR="000475BA" w:rsidRDefault="000475BA" w:rsidP="00776983">
      <w:pPr>
        <w:pStyle w:val="NormalWeb"/>
        <w:shd w:val="clear" w:color="auto" w:fill="FFFFFF"/>
        <w:jc w:val="both"/>
      </w:pPr>
    </w:p>
    <w:p w:rsidR="000475BA" w:rsidRDefault="000475BA" w:rsidP="00776983">
      <w:pPr>
        <w:pStyle w:val="NormalWeb"/>
        <w:shd w:val="clear" w:color="auto" w:fill="FFFFFF"/>
        <w:jc w:val="both"/>
      </w:pPr>
    </w:p>
    <w:p w:rsidR="000475BA" w:rsidRDefault="000475BA" w:rsidP="00776983">
      <w:pPr>
        <w:pStyle w:val="NormalWeb"/>
        <w:shd w:val="clear" w:color="auto" w:fill="FFFFFF"/>
        <w:jc w:val="both"/>
      </w:pPr>
    </w:p>
    <w:p w:rsidR="000475BA" w:rsidRDefault="000475BA" w:rsidP="00776983">
      <w:pPr>
        <w:pStyle w:val="NormalWeb"/>
        <w:shd w:val="clear" w:color="auto" w:fill="FFFFFF"/>
        <w:jc w:val="both"/>
      </w:pPr>
    </w:p>
    <w:p w:rsidR="000475BA" w:rsidRDefault="000475BA" w:rsidP="00776983">
      <w:pPr>
        <w:pStyle w:val="NormalWeb"/>
        <w:shd w:val="clear" w:color="auto" w:fill="FFFFFF"/>
        <w:jc w:val="both"/>
      </w:pPr>
    </w:p>
    <w:p w:rsidR="009466F8" w:rsidRDefault="009466F8" w:rsidP="00776983">
      <w:pPr>
        <w:pStyle w:val="NormalWeb"/>
        <w:shd w:val="clear" w:color="auto" w:fill="FFFFFF"/>
        <w:jc w:val="both"/>
      </w:pPr>
      <w:r>
        <w:rPr>
          <w:noProof/>
        </w:rPr>
        <w:drawing>
          <wp:inline distT="0" distB="0" distL="0" distR="0">
            <wp:extent cx="6000750" cy="7156450"/>
            <wp:effectExtent l="0" t="0" r="0" b="635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000750" cy="7156450"/>
                    </a:xfrm>
                    <a:prstGeom prst="rect">
                      <a:avLst/>
                    </a:prstGeom>
                    <a:noFill/>
                    <a:ln>
                      <a:noFill/>
                    </a:ln>
                  </pic:spPr>
                </pic:pic>
              </a:graphicData>
            </a:graphic>
          </wp:inline>
        </w:drawing>
      </w:r>
    </w:p>
    <w:p w:rsidR="000475BA" w:rsidRDefault="000475BA" w:rsidP="00776983">
      <w:pPr>
        <w:pStyle w:val="NormalWeb"/>
        <w:shd w:val="clear" w:color="auto" w:fill="FFFFFF"/>
        <w:jc w:val="both"/>
      </w:pPr>
    </w:p>
    <w:p w:rsidR="000475BA" w:rsidRDefault="000475BA" w:rsidP="00776983">
      <w:pPr>
        <w:pStyle w:val="NormalWeb"/>
        <w:shd w:val="clear" w:color="auto" w:fill="FFFFFF"/>
        <w:jc w:val="both"/>
      </w:pPr>
    </w:p>
    <w:p w:rsidR="000475BA" w:rsidRDefault="000475BA" w:rsidP="00776983">
      <w:pPr>
        <w:pStyle w:val="NormalWeb"/>
        <w:shd w:val="clear" w:color="auto" w:fill="FFFFFF"/>
        <w:jc w:val="both"/>
      </w:pPr>
    </w:p>
    <w:p w:rsidR="009466F8" w:rsidRDefault="009466F8" w:rsidP="00776983">
      <w:pPr>
        <w:pStyle w:val="NormalWeb"/>
        <w:shd w:val="clear" w:color="auto" w:fill="FFFFFF"/>
        <w:jc w:val="both"/>
      </w:pPr>
      <w:r>
        <w:rPr>
          <w:noProof/>
        </w:rPr>
        <w:drawing>
          <wp:inline distT="0" distB="0" distL="0" distR="0">
            <wp:extent cx="5937250" cy="7283450"/>
            <wp:effectExtent l="0" t="0" r="635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937250" cy="7283450"/>
                    </a:xfrm>
                    <a:prstGeom prst="rect">
                      <a:avLst/>
                    </a:prstGeom>
                    <a:noFill/>
                    <a:ln>
                      <a:noFill/>
                    </a:ln>
                  </pic:spPr>
                </pic:pic>
              </a:graphicData>
            </a:graphic>
          </wp:inline>
        </w:drawing>
      </w: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r>
        <w:rPr>
          <w:noProof/>
        </w:rPr>
        <w:drawing>
          <wp:inline distT="0" distB="0" distL="0" distR="0">
            <wp:extent cx="5892800" cy="7124700"/>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892800" cy="7124700"/>
                    </a:xfrm>
                    <a:prstGeom prst="rect">
                      <a:avLst/>
                    </a:prstGeom>
                    <a:noFill/>
                    <a:ln>
                      <a:noFill/>
                    </a:ln>
                  </pic:spPr>
                </pic:pic>
              </a:graphicData>
            </a:graphic>
          </wp:inline>
        </w:drawing>
      </w: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r>
        <w:rPr>
          <w:noProof/>
        </w:rPr>
        <w:drawing>
          <wp:inline distT="0" distB="0" distL="0" distR="0">
            <wp:extent cx="5873750" cy="7391400"/>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873750" cy="7391400"/>
                    </a:xfrm>
                    <a:prstGeom prst="rect">
                      <a:avLst/>
                    </a:prstGeom>
                    <a:noFill/>
                    <a:ln>
                      <a:noFill/>
                    </a:ln>
                  </pic:spPr>
                </pic:pic>
              </a:graphicData>
            </a:graphic>
          </wp:inline>
        </w:drawing>
      </w: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p>
    <w:p w:rsidR="00E8684B" w:rsidRDefault="00E8684B" w:rsidP="00776983">
      <w:pPr>
        <w:pStyle w:val="NormalWeb"/>
        <w:shd w:val="clear" w:color="auto" w:fill="FFFFFF"/>
        <w:jc w:val="both"/>
      </w:pPr>
      <w:r>
        <w:rPr>
          <w:noProof/>
        </w:rPr>
        <w:drawing>
          <wp:inline distT="0" distB="0" distL="0" distR="0">
            <wp:extent cx="5918200" cy="6972300"/>
            <wp:effectExtent l="0" t="0" r="635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918200" cy="6972300"/>
                    </a:xfrm>
                    <a:prstGeom prst="rect">
                      <a:avLst/>
                    </a:prstGeom>
                    <a:noFill/>
                    <a:ln>
                      <a:noFill/>
                    </a:ln>
                  </pic:spPr>
                </pic:pic>
              </a:graphicData>
            </a:graphic>
          </wp:inline>
        </w:drawing>
      </w: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r>
        <w:rPr>
          <w:noProof/>
        </w:rPr>
        <w:drawing>
          <wp:inline distT="0" distB="0" distL="0" distR="0">
            <wp:extent cx="5943600" cy="7550150"/>
            <wp:effectExtent l="0" t="0" r="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943600" cy="7550150"/>
                    </a:xfrm>
                    <a:prstGeom prst="rect">
                      <a:avLst/>
                    </a:prstGeom>
                    <a:noFill/>
                    <a:ln>
                      <a:noFill/>
                    </a:ln>
                  </pic:spPr>
                </pic:pic>
              </a:graphicData>
            </a:graphic>
          </wp:inline>
        </w:drawing>
      </w: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r>
        <w:rPr>
          <w:noProof/>
        </w:rPr>
        <w:drawing>
          <wp:inline distT="0" distB="0" distL="0" distR="0">
            <wp:extent cx="6108700" cy="6858000"/>
            <wp:effectExtent l="0" t="0" r="6350"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08700" cy="6858000"/>
                    </a:xfrm>
                    <a:prstGeom prst="rect">
                      <a:avLst/>
                    </a:prstGeom>
                    <a:noFill/>
                    <a:ln>
                      <a:noFill/>
                    </a:ln>
                  </pic:spPr>
                </pic:pic>
              </a:graphicData>
            </a:graphic>
          </wp:inline>
        </w:drawing>
      </w: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r>
        <w:rPr>
          <w:noProof/>
        </w:rPr>
        <w:drawing>
          <wp:inline distT="0" distB="0" distL="0" distR="0">
            <wp:extent cx="6007100" cy="6985000"/>
            <wp:effectExtent l="0" t="0" r="0" b="635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007100" cy="6985000"/>
                    </a:xfrm>
                    <a:prstGeom prst="rect">
                      <a:avLst/>
                    </a:prstGeom>
                    <a:noFill/>
                    <a:ln>
                      <a:noFill/>
                    </a:ln>
                  </pic:spPr>
                </pic:pic>
              </a:graphicData>
            </a:graphic>
          </wp:inline>
        </w:drawing>
      </w: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r>
        <w:rPr>
          <w:noProof/>
        </w:rPr>
        <w:drawing>
          <wp:inline distT="0" distB="0" distL="0" distR="0">
            <wp:extent cx="6013450" cy="7264400"/>
            <wp:effectExtent l="0" t="0" r="635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013450" cy="7264400"/>
                    </a:xfrm>
                    <a:prstGeom prst="rect">
                      <a:avLst/>
                    </a:prstGeom>
                    <a:noFill/>
                    <a:ln>
                      <a:noFill/>
                    </a:ln>
                  </pic:spPr>
                </pic:pic>
              </a:graphicData>
            </a:graphic>
          </wp:inline>
        </w:drawing>
      </w: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r>
        <w:rPr>
          <w:noProof/>
        </w:rPr>
        <w:drawing>
          <wp:inline distT="0" distB="0" distL="0" distR="0">
            <wp:extent cx="6076950" cy="7004050"/>
            <wp:effectExtent l="0" t="0" r="0" b="635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076950" cy="7004050"/>
                    </a:xfrm>
                    <a:prstGeom prst="rect">
                      <a:avLst/>
                    </a:prstGeom>
                    <a:noFill/>
                    <a:ln>
                      <a:noFill/>
                    </a:ln>
                  </pic:spPr>
                </pic:pic>
              </a:graphicData>
            </a:graphic>
          </wp:inline>
        </w:drawing>
      </w: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p>
    <w:p w:rsidR="00745337" w:rsidRDefault="00745337" w:rsidP="00776983">
      <w:pPr>
        <w:pStyle w:val="NormalWeb"/>
        <w:shd w:val="clear" w:color="auto" w:fill="FFFFFF"/>
        <w:jc w:val="both"/>
      </w:pPr>
      <w:r>
        <w:rPr>
          <w:noProof/>
        </w:rPr>
        <w:drawing>
          <wp:inline distT="0" distB="0" distL="0" distR="0">
            <wp:extent cx="6038850" cy="7086600"/>
            <wp:effectExtent l="0" t="0" r="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038850" cy="7086600"/>
                    </a:xfrm>
                    <a:prstGeom prst="rect">
                      <a:avLst/>
                    </a:prstGeom>
                    <a:noFill/>
                    <a:ln>
                      <a:noFill/>
                    </a:ln>
                  </pic:spPr>
                </pic:pic>
              </a:graphicData>
            </a:graphic>
          </wp:inline>
        </w:drawing>
      </w: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r>
        <w:rPr>
          <w:noProof/>
        </w:rPr>
        <w:drawing>
          <wp:inline distT="0" distB="0" distL="0" distR="0">
            <wp:extent cx="6000750" cy="7200900"/>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000750" cy="7200900"/>
                    </a:xfrm>
                    <a:prstGeom prst="rect">
                      <a:avLst/>
                    </a:prstGeom>
                    <a:noFill/>
                    <a:ln>
                      <a:noFill/>
                    </a:ln>
                  </pic:spPr>
                </pic:pic>
              </a:graphicData>
            </a:graphic>
          </wp:inline>
        </w:drawing>
      </w: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r>
        <w:rPr>
          <w:noProof/>
        </w:rPr>
        <w:drawing>
          <wp:inline distT="0" distB="0" distL="0" distR="0">
            <wp:extent cx="6076950" cy="6769100"/>
            <wp:effectExtent l="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076950" cy="6769100"/>
                    </a:xfrm>
                    <a:prstGeom prst="rect">
                      <a:avLst/>
                    </a:prstGeom>
                    <a:noFill/>
                    <a:ln>
                      <a:noFill/>
                    </a:ln>
                  </pic:spPr>
                </pic:pic>
              </a:graphicData>
            </a:graphic>
          </wp:inline>
        </w:drawing>
      </w: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r>
        <w:rPr>
          <w:noProof/>
        </w:rPr>
        <w:drawing>
          <wp:inline distT="0" distB="0" distL="0" distR="0">
            <wp:extent cx="6121400" cy="6604000"/>
            <wp:effectExtent l="0" t="0" r="0" b="635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21400" cy="6604000"/>
                    </a:xfrm>
                    <a:prstGeom prst="rect">
                      <a:avLst/>
                    </a:prstGeom>
                    <a:noFill/>
                    <a:ln>
                      <a:noFill/>
                    </a:ln>
                  </pic:spPr>
                </pic:pic>
              </a:graphicData>
            </a:graphic>
          </wp:inline>
        </w:drawing>
      </w: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r>
        <w:rPr>
          <w:noProof/>
        </w:rPr>
        <w:drawing>
          <wp:inline distT="0" distB="0" distL="0" distR="0">
            <wp:extent cx="5962650" cy="6978650"/>
            <wp:effectExtent l="0" t="0" r="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962650" cy="6978650"/>
                    </a:xfrm>
                    <a:prstGeom prst="rect">
                      <a:avLst/>
                    </a:prstGeom>
                    <a:noFill/>
                    <a:ln>
                      <a:noFill/>
                    </a:ln>
                  </pic:spPr>
                </pic:pic>
              </a:graphicData>
            </a:graphic>
          </wp:inline>
        </w:drawing>
      </w: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r>
        <w:rPr>
          <w:noProof/>
        </w:rPr>
        <w:drawing>
          <wp:inline distT="0" distB="0" distL="0" distR="0">
            <wp:extent cx="6007100" cy="6502400"/>
            <wp:effectExtent l="0" t="0" r="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007100" cy="6502400"/>
                    </a:xfrm>
                    <a:prstGeom prst="rect">
                      <a:avLst/>
                    </a:prstGeom>
                    <a:noFill/>
                    <a:ln>
                      <a:noFill/>
                    </a:ln>
                  </pic:spPr>
                </pic:pic>
              </a:graphicData>
            </a:graphic>
          </wp:inline>
        </w:drawing>
      </w: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r>
        <w:rPr>
          <w:noProof/>
        </w:rPr>
        <w:drawing>
          <wp:inline distT="0" distB="0" distL="0" distR="0">
            <wp:extent cx="5994400" cy="6972300"/>
            <wp:effectExtent l="0" t="0" r="635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994400" cy="6972300"/>
                    </a:xfrm>
                    <a:prstGeom prst="rect">
                      <a:avLst/>
                    </a:prstGeom>
                    <a:noFill/>
                    <a:ln>
                      <a:noFill/>
                    </a:ln>
                  </pic:spPr>
                </pic:pic>
              </a:graphicData>
            </a:graphic>
          </wp:inline>
        </w:drawing>
      </w: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p>
    <w:p w:rsidR="00B32E9F" w:rsidRDefault="00B32E9F" w:rsidP="00776983">
      <w:pPr>
        <w:pStyle w:val="NormalWeb"/>
        <w:shd w:val="clear" w:color="auto" w:fill="FFFFFF"/>
        <w:jc w:val="both"/>
      </w:pPr>
      <w:r>
        <w:rPr>
          <w:noProof/>
        </w:rPr>
        <w:drawing>
          <wp:inline distT="0" distB="0" distL="0" distR="0">
            <wp:extent cx="5956300" cy="6978650"/>
            <wp:effectExtent l="0" t="0" r="635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956300" cy="6978650"/>
                    </a:xfrm>
                    <a:prstGeom prst="rect">
                      <a:avLst/>
                    </a:prstGeom>
                    <a:noFill/>
                    <a:ln>
                      <a:noFill/>
                    </a:ln>
                  </pic:spPr>
                </pic:pic>
              </a:graphicData>
            </a:graphic>
          </wp:inline>
        </w:drawing>
      </w: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r>
        <w:rPr>
          <w:noProof/>
        </w:rPr>
        <w:drawing>
          <wp:inline distT="0" distB="0" distL="0" distR="0">
            <wp:extent cx="5988050" cy="7219950"/>
            <wp:effectExtent l="0" t="0" r="0" b="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988050" cy="7219950"/>
                    </a:xfrm>
                    <a:prstGeom prst="rect">
                      <a:avLst/>
                    </a:prstGeom>
                    <a:noFill/>
                    <a:ln>
                      <a:noFill/>
                    </a:ln>
                  </pic:spPr>
                </pic:pic>
              </a:graphicData>
            </a:graphic>
          </wp:inline>
        </w:drawing>
      </w: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r>
        <w:rPr>
          <w:noProof/>
        </w:rPr>
        <w:drawing>
          <wp:inline distT="0" distB="0" distL="0" distR="0">
            <wp:extent cx="6051550" cy="6991350"/>
            <wp:effectExtent l="0" t="0" r="635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051550" cy="6991350"/>
                    </a:xfrm>
                    <a:prstGeom prst="rect">
                      <a:avLst/>
                    </a:prstGeom>
                    <a:noFill/>
                    <a:ln>
                      <a:noFill/>
                    </a:ln>
                  </pic:spPr>
                </pic:pic>
              </a:graphicData>
            </a:graphic>
          </wp:inline>
        </w:drawing>
      </w: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r>
        <w:rPr>
          <w:noProof/>
        </w:rPr>
        <w:drawing>
          <wp:inline distT="0" distB="0" distL="0" distR="0">
            <wp:extent cx="6000750" cy="6940550"/>
            <wp:effectExtent l="0" t="0" r="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000750" cy="6940550"/>
                    </a:xfrm>
                    <a:prstGeom prst="rect">
                      <a:avLst/>
                    </a:prstGeom>
                    <a:noFill/>
                    <a:ln>
                      <a:noFill/>
                    </a:ln>
                  </pic:spPr>
                </pic:pic>
              </a:graphicData>
            </a:graphic>
          </wp:inline>
        </w:drawing>
      </w:r>
    </w:p>
    <w:p w:rsidR="00DC49FE" w:rsidRDefault="00DC49FE" w:rsidP="00776983">
      <w:pPr>
        <w:pStyle w:val="NormalWeb"/>
        <w:shd w:val="clear" w:color="auto" w:fill="FFFFFF"/>
        <w:jc w:val="both"/>
      </w:pPr>
    </w:p>
    <w:p w:rsidR="00DC49FE" w:rsidRDefault="00DC49FE" w:rsidP="00776983">
      <w:pPr>
        <w:pStyle w:val="NormalWeb"/>
        <w:shd w:val="clear" w:color="auto" w:fill="FFFFFF"/>
        <w:jc w:val="both"/>
      </w:pPr>
    </w:p>
    <w:p w:rsidR="00CE40FB" w:rsidRDefault="00DC49FE" w:rsidP="00776983">
      <w:pPr>
        <w:pStyle w:val="NormalWeb"/>
        <w:shd w:val="clear" w:color="auto" w:fill="FFFFFF"/>
        <w:jc w:val="both"/>
      </w:pPr>
      <w:r>
        <w:rPr>
          <w:noProof/>
        </w:rPr>
        <w:lastRenderedPageBreak/>
        <w:drawing>
          <wp:inline distT="0" distB="0" distL="0" distR="0">
            <wp:extent cx="6007100" cy="3397250"/>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007100" cy="3397250"/>
                    </a:xfrm>
                    <a:prstGeom prst="rect">
                      <a:avLst/>
                    </a:prstGeom>
                    <a:noFill/>
                    <a:ln>
                      <a:noFill/>
                    </a:ln>
                  </pic:spPr>
                </pic:pic>
              </a:graphicData>
            </a:graphic>
          </wp:inline>
        </w:drawing>
      </w:r>
    </w:p>
    <w:p w:rsidR="008D4974" w:rsidRDefault="00CE40FB" w:rsidP="008D4974">
      <w:pPr>
        <w:pStyle w:val="NormalWeb"/>
        <w:shd w:val="clear" w:color="auto" w:fill="FFFFFF"/>
        <w:jc w:val="both"/>
        <w:rPr>
          <w:sz w:val="20"/>
          <w:szCs w:val="20"/>
          <w:lang w:val="en-US"/>
        </w:rPr>
      </w:pPr>
      <w:r>
        <w:rPr>
          <w:noProof/>
        </w:rPr>
        <w:drawing>
          <wp:inline distT="0" distB="0" distL="0" distR="0" wp14:anchorId="09F45A0E" wp14:editId="7E2F8E25">
            <wp:extent cx="5861050" cy="3594100"/>
            <wp:effectExtent l="0" t="0" r="6350" b="635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861050" cy="3594100"/>
                    </a:xfrm>
                    <a:prstGeom prst="rect">
                      <a:avLst/>
                    </a:prstGeom>
                    <a:noFill/>
                    <a:ln>
                      <a:noFill/>
                    </a:ln>
                  </pic:spPr>
                </pic:pic>
              </a:graphicData>
            </a:graphic>
          </wp:inline>
        </w:drawing>
      </w:r>
      <w:r w:rsidRPr="00CE40FB">
        <w:rPr>
          <w:sz w:val="20"/>
          <w:szCs w:val="20"/>
          <w:lang w:val="en-US"/>
        </w:rPr>
        <w:t>Note 8: EU and euro-area data are aggregated using exchange rates. World GDP is aggregated using Purchasing Power Standards (PPS). In the tables on world trade and international payments,</w:t>
      </w:r>
      <w:r>
        <w:rPr>
          <w:sz w:val="20"/>
          <w:szCs w:val="20"/>
          <w:lang w:val="en-US"/>
        </w:rPr>
        <w:t xml:space="preserve"> </w:t>
      </w:r>
      <w:r w:rsidRPr="00CE40FB">
        <w:rPr>
          <w:sz w:val="20"/>
          <w:szCs w:val="20"/>
          <w:lang w:val="en-US"/>
        </w:rPr>
        <w:t>aggregation is carried out o</w:t>
      </w:r>
      <w:r>
        <w:rPr>
          <w:sz w:val="20"/>
          <w:szCs w:val="20"/>
          <w:lang w:val="en-US"/>
        </w:rPr>
        <w:t xml:space="preserve">n the basis of current exchange </w:t>
      </w:r>
      <w:r w:rsidRPr="00CE40FB">
        <w:rPr>
          <w:sz w:val="20"/>
          <w:szCs w:val="20"/>
          <w:lang w:val="en-US"/>
        </w:rPr>
        <w:t>rates. Tables 49 - 52, 60 and 61 show also EU and euro-area</w:t>
      </w:r>
      <w:r w:rsidRPr="00CE40FB">
        <w:rPr>
          <w:lang w:val="en-US"/>
        </w:rPr>
        <w:t xml:space="preserve"> </w:t>
      </w:r>
      <w:r w:rsidRPr="00CE40FB">
        <w:rPr>
          <w:sz w:val="20"/>
          <w:szCs w:val="20"/>
          <w:lang w:val="en-US"/>
        </w:rPr>
        <w:t>"adjusted" balances. Theoretically, balances of EU and euro area</w:t>
      </w:r>
      <w:r w:rsidRPr="00CE40FB">
        <w:rPr>
          <w:lang w:val="en-US"/>
        </w:rPr>
        <w:t xml:space="preserve"> </w:t>
      </w:r>
      <w:r w:rsidRPr="00CE40FB">
        <w:rPr>
          <w:sz w:val="20"/>
          <w:szCs w:val="20"/>
          <w:lang w:val="en-US"/>
        </w:rPr>
        <w:t>vis-à-vis third countries should be identical to the sum of the</w:t>
      </w:r>
      <w:r>
        <w:rPr>
          <w:lang w:val="en-US"/>
        </w:rPr>
        <w:t xml:space="preserve"> </w:t>
      </w:r>
      <w:r w:rsidRPr="00CE40FB">
        <w:rPr>
          <w:sz w:val="20"/>
          <w:szCs w:val="20"/>
          <w:lang w:val="en-US"/>
        </w:rPr>
        <w:t>balances of the individual countries in the EU or the euro area.</w:t>
      </w:r>
      <w:r>
        <w:rPr>
          <w:lang w:val="en-US"/>
        </w:rPr>
        <w:t xml:space="preserve"> </w:t>
      </w:r>
      <w:r w:rsidRPr="00CE40FB">
        <w:rPr>
          <w:sz w:val="20"/>
          <w:szCs w:val="20"/>
          <w:lang w:val="en-US"/>
        </w:rPr>
        <w:t>However, intra-EU or intra-euro-area balances are non-zero</w:t>
      </w:r>
      <w:r>
        <w:rPr>
          <w:lang w:val="en-US"/>
        </w:rPr>
        <w:t xml:space="preserve"> </w:t>
      </w:r>
      <w:r w:rsidRPr="00CE40FB">
        <w:rPr>
          <w:sz w:val="20"/>
          <w:szCs w:val="20"/>
          <w:lang w:val="en-US"/>
        </w:rPr>
        <w:t>because of reporting errors. The creation of the internal market in</w:t>
      </w:r>
      <w:r>
        <w:rPr>
          <w:lang w:val="en-US"/>
        </w:rPr>
        <w:t xml:space="preserve"> </w:t>
      </w:r>
      <w:r w:rsidRPr="00CE40FB">
        <w:rPr>
          <w:sz w:val="20"/>
          <w:szCs w:val="20"/>
          <w:lang w:val="en-US"/>
        </w:rPr>
        <w:t>1993 reduced border controls and formalities, and accordingly</w:t>
      </w:r>
      <w:r>
        <w:rPr>
          <w:lang w:val="en-US"/>
        </w:rPr>
        <w:t xml:space="preserve"> </w:t>
      </w:r>
      <w:r w:rsidRPr="00CE40FB">
        <w:rPr>
          <w:sz w:val="20"/>
          <w:szCs w:val="20"/>
          <w:lang w:val="en-US"/>
        </w:rPr>
        <w:t>the scope and precision of intra-EU trade coverage. Typically,</w:t>
      </w:r>
      <w:r>
        <w:rPr>
          <w:lang w:val="en-US"/>
        </w:rPr>
        <w:t xml:space="preserve"> </w:t>
      </w:r>
      <w:r w:rsidRPr="00CE40FB">
        <w:rPr>
          <w:sz w:val="20"/>
          <w:szCs w:val="20"/>
          <w:lang w:val="en-US"/>
        </w:rPr>
        <w:t>intra-EU imports are underestimated compared to intra-EU</w:t>
      </w:r>
      <w:r>
        <w:rPr>
          <w:lang w:val="en-US"/>
        </w:rPr>
        <w:t xml:space="preserve"> </w:t>
      </w:r>
      <w:r w:rsidRPr="00CE40FB">
        <w:rPr>
          <w:sz w:val="20"/>
          <w:szCs w:val="20"/>
          <w:lang w:val="en-US"/>
        </w:rPr>
        <w:t>exports, leading to an overestimation of the surplus. For the past</w:t>
      </w:r>
      <w:r>
        <w:rPr>
          <w:lang w:val="en-US"/>
        </w:rPr>
        <w:t xml:space="preserve"> </w:t>
      </w:r>
      <w:r w:rsidRPr="00CE40FB">
        <w:rPr>
          <w:sz w:val="20"/>
          <w:szCs w:val="20"/>
          <w:lang w:val="en-US"/>
        </w:rPr>
        <w:t>the "adjusted" balances are Eurostat estimates for EU and ECB</w:t>
      </w:r>
      <w:r>
        <w:rPr>
          <w:lang w:val="en-US"/>
        </w:rPr>
        <w:t xml:space="preserve"> </w:t>
      </w:r>
      <w:r w:rsidRPr="00CE40FB">
        <w:rPr>
          <w:sz w:val="20"/>
          <w:szCs w:val="20"/>
          <w:lang w:val="en-US"/>
        </w:rPr>
        <w:t>estimates for the euro area. For the future, they are ECFIN's</w:t>
      </w:r>
      <w:r>
        <w:rPr>
          <w:lang w:val="en-US"/>
        </w:rPr>
        <w:t xml:space="preserve"> </w:t>
      </w:r>
      <w:r w:rsidRPr="00CE40FB">
        <w:rPr>
          <w:sz w:val="20"/>
          <w:szCs w:val="20"/>
          <w:lang w:val="en-US"/>
        </w:rPr>
        <w:t>forecasts based on the extrapolation of the discrepancies</w:t>
      </w:r>
      <w:r>
        <w:rPr>
          <w:lang w:val="en-US"/>
        </w:rPr>
        <w:t xml:space="preserve"> </w:t>
      </w:r>
      <w:r w:rsidRPr="00CE40FB">
        <w:rPr>
          <w:sz w:val="20"/>
          <w:szCs w:val="20"/>
          <w:lang w:val="en-US"/>
        </w:rPr>
        <w:t>observed in 2013.</w:t>
      </w:r>
    </w:p>
    <w:p w:rsidR="007A6C1B" w:rsidRPr="00CD3222" w:rsidRDefault="007A6C1B" w:rsidP="007A6C1B">
      <w:pPr>
        <w:jc w:val="both"/>
        <w:rPr>
          <w:rFonts w:ascii="Times New Roman" w:hAnsi="Times New Roman" w:cs="Times New Roman"/>
          <w:b/>
          <w:sz w:val="24"/>
          <w:szCs w:val="24"/>
        </w:rPr>
      </w:pPr>
      <w:r w:rsidRPr="00CD3222">
        <w:rPr>
          <w:rFonts w:ascii="Times New Roman" w:hAnsi="Times New Roman" w:cs="Times New Roman"/>
          <w:b/>
          <w:sz w:val="24"/>
          <w:szCs w:val="24"/>
        </w:rPr>
        <w:lastRenderedPageBreak/>
        <w:t>- Carta a los mariscales de la derrota de la III GM (batalla económico-financiera)</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El “vacilar” europeo se debate entre el ser y la nada. Su “síndrome confusional” se manifiesta a través de una preocupante indiferencia, entre la zafiedad y el abuso (debilidad, indolencia, aplazamiento). El “existencialismo” (¿realpolitik?) tiene su apogeo en la banalización del mal. Y en ese cenagal están “arrastrándose” (reptando) los presuntos líderes europeos (los mariscales de la derrota). Indocumentados. Patéticos. Sin más interés que el de su propio peculio. Sin más objetivo que el de salvar su culo.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Aunque dudo mucho que estos fatuos arrogantes (corruptos, hasta el tuétano) sean capaces de producir algo más que un “pedo cerebral” (brain fart), les voy a dejar algunas “remembranzas”, por si quieren practicar cierto “brian fitness” (gimnasia cerebral con el objeto de sacar provecho al cerebro y ganar en calidad de vida). Ánimo. </w:t>
      </w:r>
    </w:p>
    <w:p w:rsidR="007A6C1B" w:rsidRPr="00FD5E9B" w:rsidRDefault="007A6C1B" w:rsidP="009266BB">
      <w:pPr>
        <w:spacing w:line="240" w:lineRule="auto"/>
        <w:jc w:val="both"/>
        <w:rPr>
          <w:rFonts w:ascii="Times New Roman" w:hAnsi="Times New Roman" w:cs="Times New Roman"/>
          <w:b/>
          <w:color w:val="FF0000"/>
          <w:sz w:val="24"/>
          <w:szCs w:val="24"/>
        </w:rPr>
      </w:pPr>
      <w:r w:rsidRPr="00FD5E9B">
        <w:rPr>
          <w:rFonts w:ascii="Times New Roman" w:hAnsi="Times New Roman" w:cs="Times New Roman"/>
          <w:b/>
          <w:color w:val="FF0000"/>
          <w:sz w:val="24"/>
          <w:szCs w:val="24"/>
        </w:rPr>
        <w:t>Opción sugerida para Europa</w:t>
      </w:r>
      <w:r w:rsidR="00FD5E9B">
        <w:rPr>
          <w:rFonts w:ascii="Times New Roman" w:hAnsi="Times New Roman" w:cs="Times New Roman"/>
          <w:b/>
          <w:color w:val="FF0000"/>
          <w:sz w:val="24"/>
          <w:szCs w:val="24"/>
        </w:rPr>
        <w:t>: regreso a la industria (regreso</w:t>
      </w:r>
      <w:r w:rsidRPr="00FD5E9B">
        <w:rPr>
          <w:rFonts w:ascii="Times New Roman" w:hAnsi="Times New Roman" w:cs="Times New Roman"/>
          <w:b/>
          <w:color w:val="FF0000"/>
          <w:sz w:val="24"/>
          <w:szCs w:val="24"/>
        </w:rPr>
        <w:t xml:space="preserve"> al futuro)</w:t>
      </w:r>
    </w:p>
    <w:p w:rsidR="007A6C1B" w:rsidRPr="00CD3222" w:rsidRDefault="007A6C1B" w:rsidP="009266BB">
      <w:pPr>
        <w:spacing w:line="240" w:lineRule="auto"/>
        <w:jc w:val="both"/>
        <w:rPr>
          <w:rFonts w:ascii="Times New Roman" w:hAnsi="Times New Roman" w:cs="Times New Roman"/>
          <w:b/>
          <w:sz w:val="24"/>
          <w:szCs w:val="24"/>
        </w:rPr>
      </w:pPr>
      <w:r w:rsidRPr="00CD3222">
        <w:rPr>
          <w:rFonts w:ascii="Times New Roman" w:hAnsi="Times New Roman" w:cs="Times New Roman"/>
          <w:sz w:val="24"/>
          <w:szCs w:val="24"/>
        </w:rPr>
        <w:t xml:space="preserve">De un Paper anterior. </w:t>
      </w:r>
      <w:r w:rsidRPr="00CD3222">
        <w:rPr>
          <w:rFonts w:ascii="Times New Roman" w:hAnsi="Times New Roman" w:cs="Times New Roman"/>
          <w:b/>
          <w:sz w:val="24"/>
          <w:szCs w:val="24"/>
        </w:rPr>
        <w:t>Mecánica Popular (Pasión y muerte de los “monstruos” cromados de Detroit)</w:t>
      </w:r>
      <w:r w:rsidRPr="00CD3222">
        <w:rPr>
          <w:rFonts w:ascii="Times New Roman" w:hAnsi="Times New Roman" w:cs="Times New Roman"/>
          <w:sz w:val="24"/>
          <w:szCs w:val="24"/>
        </w:rPr>
        <w:t xml:space="preserve">, publicado el </w:t>
      </w:r>
      <w:r w:rsidRPr="00662654">
        <w:rPr>
          <w:rFonts w:ascii="Times New Roman" w:hAnsi="Times New Roman" w:cs="Times New Roman"/>
          <w:sz w:val="24"/>
          <w:szCs w:val="24"/>
        </w:rPr>
        <w:t>5 de abril de</w:t>
      </w:r>
      <w:r w:rsidRPr="00CD3222">
        <w:rPr>
          <w:rFonts w:ascii="Times New Roman" w:hAnsi="Times New Roman" w:cs="Times New Roman"/>
          <w:b/>
          <w:sz w:val="24"/>
          <w:szCs w:val="24"/>
        </w:rPr>
        <w:t xml:space="preserve"> 2006:</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b/>
          <w:sz w:val="24"/>
          <w:szCs w:val="24"/>
        </w:rPr>
        <w:t>Henry Ford, su vida y su obra</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(Retrato de Henry Ford, fundador de la Ford Motor Company y precursor en una industria que se ha convertido en símbolo y pilar de la economía de muchas naciones. Henry Ford es un personaje legendario que estableció nuevas normas de vida)</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Pregúntele a cualquier historiador qué sucedió en el mes de julio de 1863, y en el acto le contestará que las tropas de la Unión ganaron la batalla de Gettysburg y que el general Grant tomó a Vicksburg.</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Sin embargo, es posible que el cronista pase por alto otro suceso, también de gran significación en el curso de la historia, el cual tuvo lugar el 30 de julio de 1863, en una pequeña granja de la villa de Springwells en el estado de Michigan, a pocos kilómetros de las afueras de Detroit. Allí nació el primero de los seis hijos de un campesino de descendencia irlandesa y escocesa, llamado William Ford, y de su esposa Mary, y a quien le pusieron el nombre de Henry.</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El joven Ford tuvo un comienzo más bien desfavorable, pero antes de terminar su vida fue uno de los principales responsables en el cambio de faz de los Estados Unidos de una sociedad agraria a una urbana, y revolucionó las economías de los países civilizados del mundo. Su nombre era conocido universalmente -tan bien conocido, quizás, como los de la mayoría de los reyes y presidentes -, y sus observaciones aparecían siempre en los principales diarios del orbe.</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Desde que nació, el joven Henry Ford fue un rebelde, y hasta el día en que murió muy pocas personas lo comprendieron. Su padre explotaba una granja muy lucrativa. Pero nada que William Ford dijera o hiciera, parecía inducir a su hijo mayor a ayudarlo en las labores usuales de la finca: al muchacho sólo le interesaban las máquinas y las ruedas.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Asistió a la escuela de Springwells y muchos eran sus compañeros de clase que abandonaban los libros para verlo construir ruedas hidráulicas y turbinas de vapor. Aprendió muy poco en la escuela, excepto los epigramas citados en las lecturas de McGuffey. Jamás aprendió a deletrear correctamente, a escribir con buena letra, a leer con soltura o expresarse bien por escrito.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lastRenderedPageBreak/>
        <w:t xml:space="preserve">Pero desde el principio, Henry Ford fue un maestro de la lógica en la mecánica. Con darle un solo vistazo a una máquina, se daba perfecta cuenta de la interdependencia de sus piezas, y podía establecer una línea de razonamiento a través de engranes, trinquetes, espuelas y palancas. Sus vecinos decían que era un joven “con ruedas en la cabeza”, y su padre, al referirse a los hermanos menores de Henry, solía decir: “John y William no tienen problemas pero Henry me preocupa. No parece asentar cabeza, y no sé qué será de él”.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Y lo que fue de él es una de las historias personales más fascinantes de todos los tiempos. Henry Ford abandonó la granja cuando contaba 16 años de edad y se colocó de aprendiz en un taller dedicado a la fabricación de motores de vapor. Arregló relojes durante las noches, reparó equipos de vapor de Westinghouse, se convirtió en ingeniero jefe de la Edison Illuminating Company, y combinó todo esto para tratar de realizar un sueño casi imposible: la construcción de un automóvil sencillo, de bajo costo, que estuviera al alcance de toda familia que gozara de un sueldo decoroso.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En el último decenio de 1800, Henry Ford comenzó la fabricación de un diminuto vehículo, que habría de impulsarse mediante un motor de dos cilindros y cuatro tiempos. Durante este tiempo, trabajó noche tras noche, y las noches enteras de los sábados, apoyado sólo por su determinación y por el ánimo que le infundía Clara Bryant, su esposa, con quien contrajo matrimonio en el año 1888. Un lustro más tarde, el 6 de noviembre de 1893, nació Edsel, el único hijo de los esposos Ford; el mismo año que el primer motor de Henry comenzó a funcionar en un fregadero de la cocina en su casa de Detroit.</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En 1896, Henry Ford recibió aliento de un hombre que más tarde habría de convertirse en su ídolo. Fue entonces que Thomas A. Edison, le aconsejó al joven Henry que continuara con su trabajo, para la fabricación de un motor integral, de peso liviano, y que desarrollara muchos caballos de fuerza, ya que este tipo de máquina tenía un brillante porvenir.</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En la primavera de 1896, terminó su primer automóvil en su casa de Detroit. Tres años más tarde, fue nombrado ingeniero jefe de la Detroit Automobile Company, una empresa que él había organizado. Este fue un título de corta duración, ya que la compañía se declaró en quiebra dieciocho meses más tarde; cuando algunos de los accionistas se negaron a invertir la suma de dinero que la realidad de la situación exigía.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El 24 de junio de 1924, Ford anunció la producción de su Modelo T número diez millones. Este anuncio, en el cual se ofrecía un automóvil completo por la suma de 295 dólares, causó verdadera sensación entre el público comprador…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 El motor Ford V8, presentado en 1932, fue un punto de giro en la historia de la compañía y un ejemplo del ingenio de Henry Ford. Al principio, los ingenieros insistían que era imposible vaciar este bloque de 8 cilindros en V…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Posteriormente, construyó otros automóviles y comenzó a ganar carreras con ellos. Sus triunfos, despertaron gran atención y le proporcionaron respaldo financiero. En junio de 1903, el señor Ford reunió once patrocinadores y, con 28.000 dólares en efectivo, fundaron lo que habría de convertirse en la Ford Motor Company. Un mes más tarde, la compañía vendió su primer automóvil, y en una hora muy oportuna pues los depósitos bancarios de la empresa, en ese momento, ascendían a sólo 223 dólares.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lastRenderedPageBreak/>
        <w:t>El 12 de enero de 1904, sobre la superficie helada del lago St. Clair, el señor Ford, al volante de su famoso coche de carreras 999, estableció el record mundial de velocidad de la milla, al recorrer esa distancia en 39 1/2 segundos; un triunfo que, por su importancia, contribuyó notablemente a dar a conocer su nombre.</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Poco después la compañía, que a duras penas estaba encaminada, confrontó un problema gravísimo, al haber sido demandada por infracción de la patente Selden, por un sindicato muy poderoso.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Otras compañías más fuertes pagaban derechos, antes que arriesgarse a pleitear con el sindicato Selden. Pero Henry Ford estaba convencido de que la patente de George B. Selden, para todos los vehículos camineros equipados con motores de combustión interna, no tenía fuerza legal, por lo que se preparó a combatir. Durante los próximos ocho años, Ford, por sí solo, llevó a cabo un costoso litigio judicial. El resultado final fue una victoria que liberó a la industria del automovilismo de un obstáculo para su desarrollo.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Mientras tanto, el señor Ford no dejó de trabajar en el mejoramiento de sus automóviles, y sus ventas comenzaron a subir: Hasta este momento, el automóvil era un juguete del hombre rico. Pero Henry Ford pensaba que si fuera posible fabricar un auto sencillo y resistente, en cantidades suficientes, su precio estaría al alcance del término medio de las familias. El primero de octubre de 1908, dicho coche hizo su presentación con el nombre de Modelo T: el famoso vehículo que puso el mundo sobre ruedas. De inmediato, el nuevo auto tuvo una aceptación excepcional, y su extraordinaria demanda exigió una rápida expansión de los medios fabriles.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La producción comenzó dos años después, en 1910, en la nueva fábrica de Highland Park, en Michigan.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A pesar de lo sencillo que era el Modelo T, existía el problema de su fabricación en grandes cantidades. Para aumentar la producción, el señor Ford y sus socios comenzaron a dividir los trabajos, llevando las piezas hasta los obreros, y organizando los horarios de trabajo para que aquéllas llegaran al sitio indicado, en el momento indicado, durante el curso de la fabricación.</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Finalmente, concibieron la línea de montaje móvil que, con mejoras ulteriores, hizo posible la producción en serie.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Al principio, el montaje de un Modelo T suponía 12 horas y 28 minutos de trabajo. Más tarde, este tiempo se redujo a cinco horas y 50 minutos, y después a 93 minutos. El señor Ford estableció un régimen de un coche por minuto, pero pasado cierto tiempo, los Modelos T salían de la línea de montaje a razón de uno cada 10 segundos del día de trabajo.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El 5 de enero de 1914, el señor Ford asombró al mundo, al anunciar que el jornal mínimo en la Ford Motor Company sería de 5 dólares diarios. Pensaba, con sobrada razón, que al poder él ahora fabricar autos baratos en grandes cantidades, podría vender más de ellos si sus empleados ganaban lo suficiente para comprarlos. El señor Ford decía que el pago de 5 dólares por ocho horas de trabajo diarias era “el mejor paso en la reducción de costos que él había dado en toda su vida. Puedo encontrar métodos de fabricación que harán que los altos jornales sean los jornales más bajos. Si usted rebaja los jornales, lo único que consigue es reducir el número de sus clientes”.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lastRenderedPageBreak/>
        <w:t xml:space="preserve">A mediados de 1910, el señor Ford y su hijo Edsel adquirieron, a un costo de 100.000.000 de dólares, la propiedad exclusiva de la compañía. En esa fecha, Edsel sucedió a su padre como presidente, cuando cerca de cinco millones de Modelos T recorrían las carreteras de los Estados Unidos, y antes de que apareciera el nuevo Modelo A, en 1927, se fabricaron más de diez millones del tipo T.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Edsel Ford murió durante la Segunda Guerra mundial, el 26 de mayo de 1943. A raíz de la muerte de su hijo, el señor Ford regresó como director de la Compañía, que le había entregado a Edsel el primero de enero de 1919 y el 21 de septiembre de 1945, después de terminada la conflagración mundial, Henry Ford renunció por segunda vez a la presidencia de la Compañía, recomendando a su nieto Henry Ford II para ese puesto.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Henry Ford falleció en su residencia de Fair Lane, en Dearborn, Michigan, un lunes en la noche, el 7 de abril de 1947, a consecuencia de una hemorragia cerebral. Contaba al morir 83 años, y a su lado estaban su esposa y miembros de la servidumbre.</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A la hora de su muerte, la creciente del río Rouge, que pasaba por terrenos de su residencia, había cortado la energía de su planta eléctrica; y lo único que había en su casa eran antiguas lámparas de petróleo y velas: tal como cuando él nació, en el mismo condado, 83 años antes.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Su muerte había llegado en una era de progreso que él, quizás más que nadie, había simbolizado”. </w:t>
      </w:r>
    </w:p>
    <w:p w:rsidR="007A6C1B" w:rsidRPr="00CD3222" w:rsidRDefault="00CD3222" w:rsidP="009266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A6C1B" w:rsidRPr="00CD3222">
        <w:rPr>
          <w:rFonts w:ascii="Times New Roman" w:hAnsi="Times New Roman" w:cs="Times New Roman"/>
          <w:sz w:val="24"/>
          <w:szCs w:val="24"/>
        </w:rPr>
        <w:t>Fuente: Revista Mecánica Popular - Volumen 33 - Julio de 1963 - Número 1</w:t>
      </w:r>
      <w:r>
        <w:rPr>
          <w:rFonts w:ascii="Times New Roman" w:hAnsi="Times New Roman" w:cs="Times New Roman"/>
          <w:sz w:val="24"/>
          <w:szCs w:val="24"/>
        </w:rPr>
        <w:t>)</w:t>
      </w:r>
      <w:r w:rsidR="007A6C1B" w:rsidRPr="00CD3222">
        <w:rPr>
          <w:rFonts w:ascii="Times New Roman" w:hAnsi="Times New Roman" w:cs="Times New Roman"/>
          <w:sz w:val="24"/>
          <w:szCs w:val="24"/>
        </w:rPr>
        <w:t xml:space="preserve">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Henry gozó de sencillos placeres como los picnics, que a menudo realizaba con su amigo Tomás Alva Edison y adoraba escuchar la radio. Era tradicionalista en todo el sentido de la palabra, y se oponía el concepto del control de la natalidad. Era un hombre lleno de contradicciones extrañas.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Como patrón era tan progresista que les aumentó el salario mínimo a los trabajadores, les redujo la jornada de trabajo y destinó sólo 5 días de la semana para labores; pero contrató espías para quebrar los sindicatos mediante tácticas de terror.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A veces trataba a sus amigos con desprecio y aunque luego fue un filántropo que donó mucho dinero para buenas obras, en 1938 publicó unos artículos virulentamente antisemitas, llamando a los judíos: “despreciable escoria merecedora de la muerte”. Por eso Hitler le condecoró con una medalla de la cual llegó a sentirse muy orgulloso.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Henry Ford murió el 7 de abril de 1947, en Dearborn, dejando una fortuna personal estimada entre los 500 y los 700 millones de dólares, y legó parte de sus acciones en la Ford Motor Company a la Fundación Ford, una organización sin ánimo de lucro. Su destacado papel en la evolución de la moderna economía industrial ha llevado a la acuñación del término fordismo para describir el modelo socioeconómico predominante en los países desarrollados durante la mayor parte del siglo XX. La producción en masa de la economía moderna, dio un gran salto gracias a su aporte…</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Hacia el presente</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En los últimos veinticinco años, Ford ha cambiado radicalmente. Con el lanzamiento del Sierra en 1982, Ford iba a la cabeza del diseño aerodinámico eficaz. Otr</w:t>
      </w:r>
      <w:r w:rsidR="00A73AE0">
        <w:rPr>
          <w:rFonts w:ascii="Times New Roman" w:hAnsi="Times New Roman" w:cs="Times New Roman"/>
          <w:sz w:val="24"/>
          <w:szCs w:val="24"/>
        </w:rPr>
        <w:t>os productos emblemáticos inclui</w:t>
      </w:r>
      <w:r w:rsidRPr="00CD3222">
        <w:rPr>
          <w:rFonts w:ascii="Times New Roman" w:hAnsi="Times New Roman" w:cs="Times New Roman"/>
          <w:sz w:val="24"/>
          <w:szCs w:val="24"/>
        </w:rPr>
        <w:t xml:space="preserve">dos el Escort, Scorpio, Mondeo y Focus -todos ganadores del </w:t>
      </w:r>
      <w:r w:rsidRPr="00CD3222">
        <w:rPr>
          <w:rFonts w:ascii="Times New Roman" w:hAnsi="Times New Roman" w:cs="Times New Roman"/>
          <w:sz w:val="24"/>
          <w:szCs w:val="24"/>
        </w:rPr>
        <w:lastRenderedPageBreak/>
        <w:t>premio Coche del año europeo- han continuado en producción, consiguiendo entrar en el ranking de los coches más vendidos en el mundo. Transit sigue sirviendo de referencia en el mercado de las furgonetas de tamaño medio y una nueva generación de Fiesta se está abriendo paso en el sector del utilitario, altamente competitivo.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El giro hacia el este de los mercados tras la apertura de la Europa central y del este, ha llevado a los directivos de Ford en Europa a cambiar Warley por Colonia. Con este movimiento hacia el este, Ford tiene ahora una presencia significativa en los países del antiguo bloque del este y ha reanudado su colaboración en materia de producción con Rusia, donde inició la fabricación del Focus en una nueva planta en San Petersburgo, en 2002.</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El grupo Ford, ha crecido con la adquisición de algunas de las marcas más famosas de Europa como Jaguar, Aston Martin, Volvo y Land Rover. </w:t>
      </w:r>
    </w:p>
    <w:p w:rsidR="007A6C1B" w:rsidRPr="00CD3222" w:rsidRDefault="007A6C1B" w:rsidP="009266BB">
      <w:pPr>
        <w:spacing w:line="240" w:lineRule="auto"/>
        <w:jc w:val="both"/>
        <w:rPr>
          <w:rFonts w:ascii="Times New Roman" w:hAnsi="Times New Roman" w:cs="Times New Roman"/>
          <w:b/>
          <w:sz w:val="24"/>
          <w:szCs w:val="24"/>
        </w:rPr>
      </w:pPr>
      <w:r w:rsidRPr="00CD3222">
        <w:rPr>
          <w:rFonts w:ascii="Times New Roman" w:hAnsi="Times New Roman" w:cs="Times New Roman"/>
          <w:b/>
          <w:sz w:val="24"/>
          <w:szCs w:val="24"/>
        </w:rPr>
        <w:t>Pero detrás de todo eso, la visionaria frase que Henry Ford pronunció un siglo atrás sigue siendo válida, trescientos millones de vehículos después: “Voy a fabricar un vehículo de motor para todos. Deberá ser lo suficientemente amplio para una familia, pero también lo suficientemente reducido para que los particulares no expertos puedan manejarlo con facilidad y mantenerlo, además de muy ligero para un consumo ajustado”.</w:t>
      </w:r>
    </w:p>
    <w:p w:rsidR="007A6C1B" w:rsidRPr="00CD3222" w:rsidRDefault="007A6C1B" w:rsidP="009266BB">
      <w:pPr>
        <w:spacing w:line="240" w:lineRule="auto"/>
        <w:jc w:val="both"/>
        <w:rPr>
          <w:rFonts w:ascii="Times New Roman" w:hAnsi="Times New Roman" w:cs="Times New Roman"/>
          <w:b/>
          <w:sz w:val="24"/>
          <w:szCs w:val="24"/>
        </w:rPr>
      </w:pPr>
      <w:r w:rsidRPr="00CD3222">
        <w:rPr>
          <w:rFonts w:ascii="Times New Roman" w:hAnsi="Times New Roman" w:cs="Times New Roman"/>
          <w:b/>
          <w:sz w:val="24"/>
          <w:szCs w:val="24"/>
        </w:rPr>
        <w:t>“Se fabricará con buenos materiales, con los mejores trabajadores que el dinero permita contratar y con los diseños más sencillos que la ingeniería pueda conseguir”.</w:t>
      </w:r>
    </w:p>
    <w:p w:rsidR="007A6C1B" w:rsidRPr="00CD3222" w:rsidRDefault="007A6C1B" w:rsidP="009266BB">
      <w:pPr>
        <w:spacing w:line="240" w:lineRule="auto"/>
        <w:jc w:val="both"/>
        <w:rPr>
          <w:rFonts w:ascii="Times New Roman" w:hAnsi="Times New Roman" w:cs="Times New Roman"/>
          <w:b/>
          <w:sz w:val="24"/>
          <w:szCs w:val="24"/>
        </w:rPr>
      </w:pPr>
      <w:r w:rsidRPr="00CD3222">
        <w:rPr>
          <w:rFonts w:ascii="Times New Roman" w:hAnsi="Times New Roman" w:cs="Times New Roman"/>
          <w:b/>
          <w:sz w:val="24"/>
          <w:szCs w:val="24"/>
        </w:rPr>
        <w:t>“Sin embargo, deberá ser tan económico que hasta una persona de modestos recursos pueda adquirirlo y disfrutar con su familia la bendición de horas felices en los espacios abiertos del Señor”.</w:t>
      </w:r>
    </w:p>
    <w:p w:rsidR="007A6C1B" w:rsidRPr="00294947" w:rsidRDefault="007A6C1B" w:rsidP="009266BB">
      <w:pPr>
        <w:spacing w:line="240" w:lineRule="auto"/>
        <w:jc w:val="both"/>
        <w:rPr>
          <w:rFonts w:ascii="Times New Roman" w:hAnsi="Times New Roman" w:cs="Times New Roman"/>
          <w:sz w:val="24"/>
          <w:szCs w:val="24"/>
        </w:rPr>
      </w:pPr>
      <w:r w:rsidRPr="00294947">
        <w:rPr>
          <w:rFonts w:ascii="Times New Roman" w:hAnsi="Times New Roman" w:cs="Times New Roman"/>
          <w:sz w:val="24"/>
          <w:szCs w:val="24"/>
        </w:rPr>
        <w:t>¿Cuántas compañías siguen siendo fieles a sus principios cien años después?...</w:t>
      </w:r>
    </w:p>
    <w:p w:rsidR="007A6C1B" w:rsidRPr="00FD5E9B" w:rsidRDefault="007A6C1B" w:rsidP="009266BB">
      <w:pPr>
        <w:spacing w:line="240" w:lineRule="auto"/>
        <w:jc w:val="both"/>
        <w:rPr>
          <w:rFonts w:ascii="Times New Roman" w:hAnsi="Times New Roman" w:cs="Times New Roman"/>
          <w:b/>
          <w:color w:val="FF0000"/>
          <w:sz w:val="24"/>
          <w:szCs w:val="24"/>
        </w:rPr>
      </w:pPr>
      <w:r w:rsidRPr="00FD5E9B">
        <w:rPr>
          <w:rFonts w:ascii="Times New Roman" w:hAnsi="Times New Roman" w:cs="Times New Roman"/>
          <w:b/>
          <w:color w:val="FF0000"/>
          <w:sz w:val="24"/>
          <w:szCs w:val="24"/>
        </w:rPr>
        <w:t xml:space="preserve">Opción no sugerida </w:t>
      </w:r>
      <w:r w:rsidR="00C137D8" w:rsidRPr="00FD5E9B">
        <w:rPr>
          <w:rFonts w:ascii="Times New Roman" w:hAnsi="Times New Roman" w:cs="Times New Roman"/>
          <w:b/>
          <w:color w:val="FF0000"/>
          <w:sz w:val="24"/>
          <w:szCs w:val="24"/>
        </w:rPr>
        <w:t>para Europa: una economía decadente</w:t>
      </w:r>
      <w:r w:rsidR="00294947" w:rsidRPr="00FD5E9B">
        <w:rPr>
          <w:rFonts w:ascii="Times New Roman" w:hAnsi="Times New Roman" w:cs="Times New Roman"/>
          <w:b/>
          <w:color w:val="FF0000"/>
          <w:sz w:val="24"/>
          <w:szCs w:val="24"/>
        </w:rPr>
        <w:t>, entre el casino (de bolsa</w:t>
      </w:r>
      <w:r w:rsidR="00C137D8" w:rsidRPr="00FD5E9B">
        <w:rPr>
          <w:rFonts w:ascii="Times New Roman" w:hAnsi="Times New Roman" w:cs="Times New Roman"/>
          <w:b/>
          <w:color w:val="FF0000"/>
          <w:sz w:val="24"/>
          <w:szCs w:val="24"/>
        </w:rPr>
        <w:t xml:space="preserve"> y finanzas</w:t>
      </w:r>
      <w:r w:rsidRPr="00FD5E9B">
        <w:rPr>
          <w:rFonts w:ascii="Times New Roman" w:hAnsi="Times New Roman" w:cs="Times New Roman"/>
          <w:b/>
          <w:color w:val="FF0000"/>
          <w:sz w:val="24"/>
          <w:szCs w:val="24"/>
        </w:rPr>
        <w:t>) y el espectáculo (</w:t>
      </w:r>
      <w:r w:rsidR="00294947" w:rsidRPr="00FD5E9B">
        <w:rPr>
          <w:rFonts w:ascii="Times New Roman" w:hAnsi="Times New Roman" w:cs="Times New Roman"/>
          <w:b/>
          <w:color w:val="FF0000"/>
          <w:sz w:val="24"/>
          <w:szCs w:val="24"/>
        </w:rPr>
        <w:t>de juguetes informá</w:t>
      </w:r>
      <w:r w:rsidRPr="00FD5E9B">
        <w:rPr>
          <w:rFonts w:ascii="Times New Roman" w:hAnsi="Times New Roman" w:cs="Times New Roman"/>
          <w:b/>
          <w:color w:val="FF0000"/>
          <w:sz w:val="24"/>
          <w:szCs w:val="24"/>
        </w:rPr>
        <w:t>tico</w:t>
      </w:r>
      <w:r w:rsidR="00294947" w:rsidRPr="00FD5E9B">
        <w:rPr>
          <w:rFonts w:ascii="Times New Roman" w:hAnsi="Times New Roman" w:cs="Times New Roman"/>
          <w:b/>
          <w:color w:val="FF0000"/>
          <w:sz w:val="24"/>
          <w:szCs w:val="24"/>
        </w:rPr>
        <w:t>s</w:t>
      </w:r>
      <w:r w:rsidR="00C137D8" w:rsidRPr="00FD5E9B">
        <w:rPr>
          <w:rFonts w:ascii="Times New Roman" w:hAnsi="Times New Roman" w:cs="Times New Roman"/>
          <w:b/>
          <w:color w:val="FF0000"/>
          <w:sz w:val="24"/>
          <w:szCs w:val="24"/>
        </w:rPr>
        <w:t xml:space="preserve"> y nudismo en la red</w:t>
      </w:r>
      <w:r w:rsidRPr="00FD5E9B">
        <w:rPr>
          <w:rFonts w:ascii="Times New Roman" w:hAnsi="Times New Roman" w:cs="Times New Roman"/>
          <w:b/>
          <w:color w:val="FF0000"/>
          <w:sz w:val="24"/>
          <w:szCs w:val="24"/>
        </w:rPr>
        <w:t xml:space="preserve">)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De un Paper anterior</w:t>
      </w:r>
      <w:r w:rsidRPr="00CD3222">
        <w:rPr>
          <w:rFonts w:ascii="Times New Roman" w:hAnsi="Times New Roman" w:cs="Times New Roman"/>
          <w:b/>
          <w:sz w:val="24"/>
          <w:szCs w:val="24"/>
        </w:rPr>
        <w:t>, La economía del entretenimiento (la civilización del espectáculo y el pastel de las redes sociales)</w:t>
      </w:r>
      <w:r w:rsidRPr="00CD3222">
        <w:rPr>
          <w:rFonts w:ascii="Times New Roman" w:hAnsi="Times New Roman" w:cs="Times New Roman"/>
          <w:sz w:val="24"/>
          <w:szCs w:val="24"/>
        </w:rPr>
        <w:t xml:space="preserve">, publicado el 15 de febrero del </w:t>
      </w:r>
      <w:r w:rsidRPr="00662654">
        <w:rPr>
          <w:rFonts w:ascii="Times New Roman" w:hAnsi="Times New Roman" w:cs="Times New Roman"/>
          <w:b/>
          <w:sz w:val="24"/>
          <w:szCs w:val="24"/>
        </w:rPr>
        <w:t>2013</w:t>
      </w:r>
      <w:r w:rsidRPr="00CD3222">
        <w:rPr>
          <w:rFonts w:ascii="Times New Roman" w:hAnsi="Times New Roman" w:cs="Times New Roman"/>
          <w:sz w:val="24"/>
          <w:szCs w:val="24"/>
        </w:rPr>
        <w:t>:</w:t>
      </w:r>
    </w:p>
    <w:p w:rsidR="007A6C1B" w:rsidRDefault="007A6C1B" w:rsidP="007A6C1B">
      <w:pPr>
        <w:pStyle w:val="NormalWeb"/>
        <w:jc w:val="both"/>
        <w:rPr>
          <w:rFonts w:ascii="Arial" w:hAnsi="Arial" w:cs="Arial"/>
          <w:color w:val="174F82"/>
        </w:rPr>
      </w:pPr>
      <w:r>
        <w:rPr>
          <w:u w:val="single"/>
        </w:rPr>
        <w:t xml:space="preserve">A modo de Introducción (invitación a pensar: si aún, es posible) </w:t>
      </w:r>
    </w:p>
    <w:p w:rsidR="007A6C1B" w:rsidRDefault="007A6C1B" w:rsidP="007A6C1B">
      <w:pPr>
        <w:pStyle w:val="NormalWeb"/>
        <w:jc w:val="both"/>
      </w:pPr>
      <w:r>
        <w:t>“El problema que se</w:t>
      </w:r>
      <w:r>
        <w:rPr>
          <w:rFonts w:ascii="Arial" w:hAnsi="Arial" w:cs="Arial"/>
          <w:color w:val="174F82"/>
        </w:rPr>
        <w:t xml:space="preserve"> </w:t>
      </w:r>
      <w:r>
        <w:t>plantea es el de saber en qué medida las sociedades occidentales siguen  siendo capaces de fabricar el tipo de individuo necesario para la continuidad de su funcionamiento”… (El avance de la insignificancia - Cornelius Castoriadis - 1997)</w:t>
      </w:r>
    </w:p>
    <w:p w:rsidR="007A6C1B" w:rsidRDefault="007A6C1B" w:rsidP="007A6C1B">
      <w:pPr>
        <w:pStyle w:val="NormalWeb"/>
        <w:jc w:val="both"/>
      </w:pPr>
      <w:r>
        <w:t>“Lo que se cuestiona es el derrumbe y la desintegración de los roles tradicionales -hombre, mujer, padres, hijos- y su consecuencia: ‘la desorientación amorfa’ de las nuevas generaciones”… (Op. cit.)</w:t>
      </w:r>
    </w:p>
    <w:p w:rsidR="007A6C1B" w:rsidRDefault="007A6C1B" w:rsidP="007A6C1B">
      <w:pPr>
        <w:pStyle w:val="NormalWeb"/>
        <w:jc w:val="both"/>
      </w:pPr>
      <w:r>
        <w:t xml:space="preserve">“Al provenir de una familia débil, habiendo frecuentado -o no- una escuela vivida como una carga, el individuo joven se halla enfrentado a una sociedad en la que todos los ‘valores’ y las ‘normas’, son particularmente reemplazadas por el ‘nivel de vida’, el ‘bienestar’, el confort y el consumo. No cuentan la religión, ni las ideas ‘políticas’, ni la </w:t>
      </w:r>
      <w:r>
        <w:lastRenderedPageBreak/>
        <w:t>solidaridad social con una comunidad local o de trabajo, con ‘compañeros de clase’. Si no se convierte en un marginal (droga, delincuencia, inestabilidad “carencial”), le queda la Vía Real de la privatización, que puede o no enriquecer con una o varias manías personales. Vivimos la sociedad de los ‘lobbies’ y de los ‘hobbies’”… (Op. cit.)</w:t>
      </w:r>
    </w:p>
    <w:p w:rsidR="007A6C1B" w:rsidRDefault="007A6C1B" w:rsidP="007A6C1B">
      <w:pPr>
        <w:pStyle w:val="NormalWeb"/>
        <w:jc w:val="both"/>
      </w:pPr>
      <w:r>
        <w:t>“¿Cuál es el “ejemplo” que esas sociedades de capitalismo liberal dan al resto del mundo? Primero, el de la riqueza y el poder tecnológico y militar. Esto, les gustaría adoptarlo a los demás, y a veces lo logran. (…) Pero al mismo tiempo presentan al mundo una imagen que causa rechazo, la de las sociedades, la de sociedades en las cuales reina un vacío total de significaciones. El único valor es el dinero, la notoriedad en los medios masivos de comunicación o el poder, en el sentido más vulgar e irrisorio del término”… (Op. cit.)</w:t>
      </w:r>
    </w:p>
    <w:p w:rsidR="007A6C1B" w:rsidRDefault="007A6C1B" w:rsidP="007A6C1B">
      <w:pPr>
        <w:pStyle w:val="NormalWeb"/>
        <w:jc w:val="both"/>
      </w:pPr>
      <w:r>
        <w:t>“Ahora, vivimos en sociedades en que esos valores (la honradez, el servicio al Estado, la transmisión del saber, el trabajo bien hecho, etc.) se volvieron pública y notoriamente irrisorios, en que solo cuenta la cantidad de dinero que usted se embolsó, no importa cómo, o el número de veces en que salió en televisión”… (Op. cit.)</w:t>
      </w:r>
    </w:p>
    <w:p w:rsidR="007A6C1B" w:rsidRDefault="007A6C1B" w:rsidP="007A6C1B">
      <w:pPr>
        <w:pStyle w:val="NormalWeb"/>
        <w:jc w:val="both"/>
      </w:pPr>
      <w:r>
        <w:t xml:space="preserve">“Todo esto no surge de un dictador, o de un puñado de capitalistas, o de un grupo de formadores de opinión: es una inmensa corriente histórico-social que va en esta dirección y que hace que todo se transforme en insignificante. La televisión ofrece, evidentemente, el mejor ejemplo de ello: el hecho de que algo se sitúa en el centro de la actualidad durante veinticuatro horas. Se transforma en insignificante y deja de existir veinticuatro horas después porque ya se encontró o habrá que encontrar otra cosa que ocupe su lugar. Culto de lo efímero que exige al mismo tiempo una contracción extrema: lo que la televisión norteamericana llama “attention span”, es decir la duración útil de la atención de un espectador, era de diez minutos hace algunos años, reduciéndose gradualmente a cinco minutos, luego a un minuto y, ahora, a diez segundos. El spot televisivo de diez segundos es considerado como el medio de comunicación más eficaz, es el que se utiliza durante las campañas presidenciales, y es totalmente comprensible que estos spots no contengan nada sustancial, sino que estén dedicados a insinuaciones difamatorias. Aparentemente, es lo único que el telespectador es capaz de asimilar”… (Op. cit.) </w:t>
      </w:r>
    </w:p>
    <w:p w:rsidR="007A6C1B" w:rsidRDefault="007A6C1B" w:rsidP="007A6C1B">
      <w:pPr>
        <w:pStyle w:val="NormalWeb"/>
        <w:jc w:val="both"/>
      </w:pPr>
      <w:r>
        <w:t>“Son los publicistas los que dicen: “nuestra firma es más creativa que las otras”. Puede serlo para crear idioteces o monstruosidades” (Op. cit.)</w:t>
      </w:r>
    </w:p>
    <w:p w:rsidR="007A6C1B" w:rsidRDefault="007A6C1B" w:rsidP="007A6C1B">
      <w:pPr>
        <w:pStyle w:val="NormalWeb"/>
        <w:jc w:val="both"/>
      </w:pPr>
      <w:r>
        <w:t xml:space="preserve">“La esperanza “racional” de reconciliar la economía ficticia y la economía real es perfectamente utópica: esos miles de millones de dólares solo existen virtualmente, son intransferibles a la economía real; por suerte, además, ya que si en virtud de algún milagro fuera posible reinyectarlos en las economías de producción, se produciría una verdadera catástrofe. Tampoco intentemos reunir las dos partes disociadas de la guerra, dejemos que la guerra virtual siga en órbita, ya que es ahí donde nos protege: en su abstracción extrema, en su excentricidad monstruosa, lo nuclear es nuestra mejor protección. Y acostumbrémonos a vivir a la sombra de estas excrecencias monstruosas: la bomba orbital, la especulación financiera, la deuda mundial, la superpoblación (para la que aún no se ha encontrado una solución orbital, tal vez aquí también en la circulación, en la movilidad excéntrica de los excedentes). Tal y como son, se exorcizan en su exceso, en su propia hiperrealidad, y dejan el mundo en cierto modo intacto, liberado de su doble”… (Pantalla total - Jean Baudrillard - 2000) </w:t>
      </w:r>
    </w:p>
    <w:p w:rsidR="007A6C1B" w:rsidRDefault="007A6C1B" w:rsidP="007A6C1B">
      <w:pPr>
        <w:pStyle w:val="NormalWeb"/>
        <w:jc w:val="both"/>
      </w:pPr>
      <w:r>
        <w:lastRenderedPageBreak/>
        <w:t>“El sida, el crac bursátil (seguido de los “raiders” y de las OPA en cadena), los virus electrónicos, estamos mimados en materia de acontecimientos “superconductores”, de esa especia de desencadenamientos intempestivos intercontinentales que ya no afectan a Estados, individuos o instituciones, sino a estructuras, transversales: el sexo, el dinero, la información, la comunicación”… (Op. cit.)</w:t>
      </w:r>
    </w:p>
    <w:p w:rsidR="007A6C1B" w:rsidRDefault="007A6C1B" w:rsidP="007A6C1B">
      <w:pPr>
        <w:pStyle w:val="NormalWeb"/>
        <w:jc w:val="both"/>
      </w:pPr>
      <w:r>
        <w:t>“El principio mismo de la información y de la comunicación es el de un valor ya no referencial, sino fundado en la circulación pura. Puro valor añadido por el hecho de que el mensaje, el sentido, pasan de imagen en imagen y de pantalla en pantalla. Ya no es ni siquiera la plusvalía ni el valor de cambio de la mercancía (que sin embargo se anticipa ya a este proceso), que en principio se sigue articulando sobre un valor de cambio y, por tanto, depende aún de la esfera de la economía. Aquí ya no hay un cambio propiamente dicho, estamos en la circulación pura y la reacción en cadena al hilo de las redes, es una definición del valor totalmente nueva, un valor puramente centrífugo, vinculado a la velocidad pura y a la multiplicación de los intercambios. Es lo que ocurre en el ámbito de la comunicación y de la información, hecho de virtualidad operacional y nunca operativa”… (Op. cit.)</w:t>
      </w:r>
    </w:p>
    <w:p w:rsidR="007A6C1B" w:rsidRDefault="007A6C1B" w:rsidP="007A6C1B">
      <w:pPr>
        <w:pStyle w:val="NormalWeb"/>
        <w:jc w:val="both"/>
      </w:pPr>
      <w:r>
        <w:t>“Con las autopistas de la información ocurrirá lo mismo que con las del tráfico. Anulación del paisaje, desertización del territorio, abolición de las distancias reales. Lo que aún no es sino físico y geográfico en el caso de nuestras autopistas adquirirá toda su dimensión en el campo electrónico con la abolición de las distancias mentales y el encogimiento absoluto del tiempo.  Todos los cortocircuitos (y la instauración de este hiperespacio planetario equivale a un inmenso cortocircuito) crean electrochoques. Y aquello que entrevemos ya no es solo el desierto del territorio, sino el desierto de lo social, el desierto del trabajo, el desierto del cuerpo que la información irá engendrando por su propia concentración. Una especie de “big crunch” contemporáneo del “big bang” de los mercados financieros y de las redes de información. Estamos solo en los albores del proceso, pero los residuos y los desiertos crecen ya mucho más rápido que el proceso informático mismo. Los dos universos, aunque cortados literalmente el uno del otro, son igualmente exponenciales”… (Op. cit.)</w:t>
      </w:r>
    </w:p>
    <w:p w:rsidR="007A6C1B" w:rsidRDefault="007A6C1B" w:rsidP="007A6C1B">
      <w:pPr>
        <w:pStyle w:val="NormalWeb"/>
        <w:jc w:val="both"/>
      </w:pPr>
      <w:r>
        <w:t>Allí donde los apóstoles solo ven una maravillosa expansión centrífuga ¿no nos encaminamos acaso hacia una saturación y una densidad tales que acabarán generando una deflación y un derrumbamiento automático? (una implosión por superación de la masa crítica). (Op. cit.)</w:t>
      </w:r>
    </w:p>
    <w:p w:rsidR="007A6C1B" w:rsidRDefault="007A6C1B" w:rsidP="007A6C1B">
      <w:pPr>
        <w:pStyle w:val="NormalWeb"/>
        <w:jc w:val="both"/>
        <w:rPr>
          <w:u w:val="single"/>
        </w:rPr>
      </w:pPr>
      <w:r>
        <w:rPr>
          <w:b/>
          <w:u w:val="single"/>
        </w:rPr>
        <w:t>Los mitos y los timos</w:t>
      </w:r>
      <w:r>
        <w:rPr>
          <w:u w:val="single"/>
        </w:rPr>
        <w:t>: ¿diseñados para humanos? (“todo depende de según como se mire”) (</w:t>
      </w:r>
      <w:r>
        <w:rPr>
          <w:b/>
          <w:u w:val="single"/>
        </w:rPr>
        <w:t>3/5/12</w:t>
      </w:r>
      <w:r>
        <w:rPr>
          <w:u w:val="single"/>
        </w:rPr>
        <w:t xml:space="preserve">) </w:t>
      </w:r>
    </w:p>
    <w:p w:rsidR="007A6C1B" w:rsidRDefault="007A6C1B" w:rsidP="007A6C1B">
      <w:pPr>
        <w:pStyle w:val="NormalWeb"/>
        <w:jc w:val="both"/>
        <w:rPr>
          <w:u w:val="single"/>
        </w:rPr>
      </w:pPr>
      <w:r>
        <w:rPr>
          <w:u w:val="single"/>
        </w:rPr>
        <w:t>Castillos de amor y de espanto (I)</w:t>
      </w:r>
    </w:p>
    <w:p w:rsidR="009266BB" w:rsidRPr="008622B3" w:rsidRDefault="009266BB" w:rsidP="007A6C1B">
      <w:pPr>
        <w:pStyle w:val="NormalWeb"/>
        <w:jc w:val="both"/>
      </w:pPr>
      <w:r>
        <w:t xml:space="preserve">Apple impuso la moda que ha creado escuela. Los ordenadores, los teléfonos y hasta el radiocasete se presentan como si fueran pasarelas de moda, envueltos en misterio, calentando las vísperas de un gran show, solo para un grupo de periodistas escogidos que hagan ¡Ohhh¡ y ¡Ahh¡. En la tarde londinense del jueves (3/5/12), Samsung presentó así su nuevo smartphone Galaxy III, estrella de los próximos Juegos Olímpicos, que nace para seguir liderando la venta mundial de éstos aparatos y, con ello, para hacer frente al futuro iPhone 5, previsto para el otoño (del hemisferio norte). </w:t>
      </w:r>
    </w:p>
    <w:p w:rsidR="007A6C1B" w:rsidRDefault="007A6C1B" w:rsidP="007A6C1B">
      <w:pPr>
        <w:shd w:val="clear" w:color="auto" w:fill="111111"/>
      </w:pPr>
      <w:r>
        <w:rPr>
          <w:noProof/>
          <w:lang w:eastAsia="es-ES"/>
        </w:rPr>
        <w:lastRenderedPageBreak/>
        <w:drawing>
          <wp:inline distT="0" distB="0" distL="0" distR="0" wp14:anchorId="3839D76E" wp14:editId="1E0A56A7">
            <wp:extent cx="5816600" cy="5683250"/>
            <wp:effectExtent l="0" t="0" r="0" b="0"/>
            <wp:docPr id="189" name="Imagen 189" descr="http://ep00.epimg.net/tecnologia/imagenes/2012/05/03/actualidad/1336057010_123489_1336133752_sumario_gran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http://ep00.epimg.net/tecnologia/imagenes/2012/05/03/actualidad/1336057010_123489_1336133752_sumario_grande.png"/>
                    <pic:cNvPicPr>
                      <a:picLocks noChangeAspect="1" noChangeArrowheads="1"/>
                    </pic:cNvPicPr>
                  </pic:nvPicPr>
                  <pic:blipFill>
                    <a:blip r:embed="rId225" r:link="rId226">
                      <a:extLst>
                        <a:ext uri="{28A0092B-C50C-407E-A947-70E740481C1C}">
                          <a14:useLocalDpi xmlns:a14="http://schemas.microsoft.com/office/drawing/2010/main" val="0"/>
                        </a:ext>
                      </a:extLst>
                    </a:blip>
                    <a:srcRect/>
                    <a:stretch>
                      <a:fillRect/>
                    </a:stretch>
                  </pic:blipFill>
                  <pic:spPr bwMode="auto">
                    <a:xfrm>
                      <a:off x="0" y="0"/>
                      <a:ext cx="5816600" cy="5683250"/>
                    </a:xfrm>
                    <a:prstGeom prst="rect">
                      <a:avLst/>
                    </a:prstGeom>
                    <a:noFill/>
                    <a:ln>
                      <a:noFill/>
                    </a:ln>
                  </pic:spPr>
                </pic:pic>
              </a:graphicData>
            </a:graphic>
          </wp:inline>
        </w:drawing>
      </w:r>
    </w:p>
    <w:p w:rsidR="007A6C1B" w:rsidRDefault="009266BB" w:rsidP="007A6C1B">
      <w:pPr>
        <w:pStyle w:val="NormalWeb"/>
        <w:jc w:val="both"/>
      </w:pPr>
      <w:r>
        <w:t xml:space="preserve"> </w:t>
      </w:r>
      <w:r w:rsidR="007A6C1B">
        <w:t xml:space="preserve">“Diseñado para humanos”, ese es el reclamo de Samsung para su nuevo móvil, el teléfono que quiere competir en la gama más alta y lo hace a lo grande. Con la orquesta del Metropolitan de Londres. El Samsung Galaxy S3 marca una línea de innovación con un teléfono de solo 133 gramos, pantalla de 4,8 pulgadas de alta definición y procesador de cuatro núcleos. Lo importante en esta ocasión es que va acompañado de algunas características que se salen de lo normal, como el reconocimiento de la posición de lectura del consumidor, así se adapta al ángulo para mejorar la visión. </w:t>
      </w:r>
    </w:p>
    <w:p w:rsidR="007A6C1B" w:rsidRDefault="007A6C1B" w:rsidP="007A6C1B">
      <w:pPr>
        <w:pStyle w:val="NormalWeb"/>
        <w:jc w:val="both"/>
      </w:pPr>
      <w:r>
        <w:t xml:space="preserve">Al estilo del Siri de Apple, S Voice reconoce el habla pero abre además aplicaciones. A diferencia de Apple, el S Voice ya reconoce el español (de España y Latinoamérica), además del inglés (Reino Unido y EEUU), italiano, alemán, francés y coreano. Saldrá en 145 países con acuerdos con 296 operadores. Será el 29 de mayo en España y Europa; en verano (del hemisferio norte) lo hará en Japón y Corea del Sur, versión 4G y en diciembre en Estados Unidos con esta nueva tecnología. </w:t>
      </w:r>
    </w:p>
    <w:p w:rsidR="007A6C1B" w:rsidRDefault="007A6C1B" w:rsidP="007A6C1B">
      <w:pPr>
        <w:pStyle w:val="NormalWeb"/>
        <w:jc w:val="both"/>
      </w:pPr>
      <w:r>
        <w:t xml:space="preserve">También llega con el chip NFC, para comunicaciones acercando el teléfono a puntos de contacto, y que sirve para algo más que para pagar. Se pueden pasar fotos, una opción </w:t>
      </w:r>
      <w:r>
        <w:lastRenderedPageBreak/>
        <w:t>que parece muy cómoda, siempre que se encuentre con otros terminales compatibles con este chip o uno similares. La idea es buena, aunque depende de que se popularice esta tecnología para que sea práctica. Los iPhone no lo tienen, aunque probablemente el próximo sí.</w:t>
      </w:r>
    </w:p>
    <w:p w:rsidR="007A6C1B" w:rsidRDefault="007A6C1B" w:rsidP="007A6C1B">
      <w:pPr>
        <w:pStyle w:val="NormalWeb"/>
        <w:jc w:val="both"/>
      </w:pPr>
      <w:r>
        <w:t>A diferencia del Siri de Apple, el S Voice ya reconoce el español, además del inglés, italiano, alemán, francés y coreano</w:t>
      </w:r>
    </w:p>
    <w:p w:rsidR="007A6C1B" w:rsidRDefault="007A6C1B" w:rsidP="007A6C1B">
      <w:pPr>
        <w:pStyle w:val="NormalWeb"/>
        <w:jc w:val="both"/>
      </w:pPr>
      <w:r>
        <w:t>El presidente de móviles de Samsung, JK Shin tomó la palabra, para dejar claro su ambición: “Ha habido muchos rumores y especulaciones sobre este teléfono; solo hay una cosa clara, es el mejor móvil del mundo”. Habrá que darle un voto de confianza, aunque faltaba tocarlo y usarlo por los 2.000 invitados al acto.</w:t>
      </w:r>
    </w:p>
    <w:p w:rsidR="007A6C1B" w:rsidRDefault="007A6C1B" w:rsidP="007A6C1B">
      <w:pPr>
        <w:pStyle w:val="NormalWeb"/>
        <w:jc w:val="both"/>
      </w:pPr>
      <w:r>
        <w:t xml:space="preserve">Para empezar, se mantiene la cámara de 8 megapíxeles del Galaxy II, pero cambia la velocidad entre foto y foto, pues apenas hay demora. También es interesante, aparte del nombre, Pop up play: para aprovechar mejor la generosa pantalla, se puede, por ejemplo, consultar el correo en la parte inferior, mientras que en la superior se carga un vídeo o una búsqueda. No se hizo demasiado hincapié en esta opción durante la presentación, pero seguro que es un aspecto que gustará al público y que imitarán los competidores. </w:t>
      </w:r>
    </w:p>
    <w:p w:rsidR="007A6C1B" w:rsidRDefault="007A6C1B" w:rsidP="007A6C1B">
      <w:pPr>
        <w:pStyle w:val="NormalWeb"/>
        <w:jc w:val="both"/>
      </w:pPr>
      <w:r>
        <w:t>Samsung no se resiste a la moda de los complementos, el móvil llega con una gama de accesorios, desde un lápiz táctil, al estilo de su híbrido Galaxy Note, a un cargador inalámbrico (basta con posarlo encima para que se llene la batería), y casualmente, muy similar a las coberturas magnéticas de Apple, una funda lateral que activa el teléfono al desplegarla. La coreana no renuncia a incluir una tienda de juegos, películas y libros. Mucho detalle, pero falto uno, el más importante: su precio.</w:t>
      </w:r>
    </w:p>
    <w:p w:rsidR="007A6C1B" w:rsidRDefault="007A6C1B" w:rsidP="007A6C1B">
      <w:pPr>
        <w:pStyle w:val="NormalWeb"/>
        <w:jc w:val="both"/>
      </w:pPr>
      <w:r>
        <w:t xml:space="preserve"> Galaxy III, con un renovado procesador de cuatro núcleos y pantalla de alta definición, está llamado a suceder el superventas de la firma coreana, Samsung Galaxy II. No lo tiene fácil. Del Galaxy II se han vendido 20 millones de unidades, y es la mejor alternativa a los iPhone de Apple, con la que comienza a tratarse de tú a tú. Las cifras del último trimestre ponen a Samsung a la cabeza: 47 millones contra 35 millones.</w:t>
      </w:r>
    </w:p>
    <w:p w:rsidR="007A6C1B" w:rsidRDefault="007A6C1B" w:rsidP="007A6C1B">
      <w:pPr>
        <w:pStyle w:val="NormalWeb"/>
        <w:jc w:val="both"/>
      </w:pPr>
      <w:r>
        <w:t>Del Galaxy II se han vendido 20 millones de unidades. Las cifras del último trimestre ponen a Samsung por delante de Apple: 47 a 35</w:t>
      </w:r>
    </w:p>
    <w:p w:rsidR="007A6C1B" w:rsidRDefault="007A6C1B" w:rsidP="007A6C1B">
      <w:pPr>
        <w:pStyle w:val="NormalWeb"/>
        <w:jc w:val="both"/>
      </w:pPr>
      <w:r>
        <w:t xml:space="preserve">Samsung es competidor al tiempo que proveedor de la empresa fundada por Steve Jobs. Así la coreana ha fabricado chips para Apple y ahora es la encargada de dar forma a la pantalla Retina del nuevo iPad. El gran reclamo de la tableta la fabrica su máximo competidor. </w:t>
      </w:r>
    </w:p>
    <w:p w:rsidR="007A6C1B" w:rsidRDefault="007A6C1B" w:rsidP="007A6C1B">
      <w:pPr>
        <w:pStyle w:val="NormalWeb"/>
        <w:jc w:val="both"/>
      </w:pPr>
      <w:r>
        <w:t>Con la gama Galaxy Samsung comienza a rozar su sueño de dominar el mundo de la telefonía móvil. Ha creado una marca universal, con diferentes estilos, calidades y características. Los aparatos van de las tabletas Tab, a los reproductores multimedia de bolsillo. Pero la estrella son sus móviles. El primero, el Galaxy S, salió en marzo de 2010, y diez meses después había vendido más de 10 millones de unidades. Todavía sigue presente con una versión remozada, el SCL, para empresas, con menor memoria interna (cuatro gigas en lugar de ocho o 16), pantalla de menor luminosidad y una gestión mejorada de la batería.</w:t>
      </w:r>
    </w:p>
    <w:p w:rsidR="007A6C1B" w:rsidRDefault="007A6C1B" w:rsidP="007A6C1B">
      <w:pPr>
        <w:pStyle w:val="NormalWeb"/>
        <w:jc w:val="both"/>
      </w:pPr>
      <w:r>
        <w:lastRenderedPageBreak/>
        <w:t>En su momento rompió moldes por su diseño -por otra parte, tan parecido al iPhone-, su cámara de cinco megapíxeles y la grabación de vídeo en alta definición. Después llegó el citado Galaxy S II, con cámara de ocho megapíxeles, batería mejorada y, la gran ventaja de Android frente al sistema operativo de Apple, que se adapta fácilmente al gusto de cada uno, permitiendo mayor personalización, con programas en el escritorio y la agenda, el tiempo, o los últimos correos en pantalla a la vista, sin necesidad de saltar de programa en programa.</w:t>
      </w:r>
    </w:p>
    <w:p w:rsidR="007A6C1B" w:rsidRDefault="007A6C1B" w:rsidP="007A6C1B">
      <w:pPr>
        <w:pStyle w:val="NormalWeb"/>
        <w:jc w:val="both"/>
      </w:pPr>
      <w:r>
        <w:t>Volcado en el sistema operativo Android, Samsung estrenó su última versión con el Galaxy Nexus, lo que prueba la confianza que ha depositado Google en Samsung (aunque la aventura con los portátiles Chrome no haya tenido similar éxito).</w:t>
      </w:r>
    </w:p>
    <w:p w:rsidR="007A6C1B" w:rsidRDefault="007A6C1B" w:rsidP="007A6C1B">
      <w:pPr>
        <w:pStyle w:val="NormalWeb"/>
        <w:jc w:val="both"/>
      </w:pPr>
      <w:r>
        <w:t>Galaxy parece no tener fin. Si funciona en la gama alta, ¿por qué no probar en la media y baja? Así nació la versión Mini, de poco más de 150 euros. Los Galaxy Ace son la clase media, los que disfrutan de flash, cámara de cinco megapíxeles, pantalla de mediano tamaño y múltiples opciones: con doble SIM, con teclado. Este segmento es el más ofrecido por las operadoras para invitar a los clientes a saltar del móvil al teléfono inteligente.</w:t>
      </w:r>
    </w:p>
    <w:p w:rsidR="007A6C1B" w:rsidRDefault="007A6C1B" w:rsidP="007A6C1B">
      <w:pPr>
        <w:pStyle w:val="NormalWeb"/>
        <w:jc w:val="both"/>
      </w:pPr>
      <w:r>
        <w:t>En esta pugna con Apple, Samsung, un monstruo coreano que fabrica desde pantallas para iPad hasta lavadoras, también ha sabido innovar. Fruto de ello es uno de sus aparatos estrella, el Galaxy Note, a caballo entre el smartphone y la tableta, que ha conseguido un público propio. Gracias a su amplia gama puede competir con todos, y ahora con Galaxy III el objetivo no es el iPhone 4S, ya en la calle, sino en superar al iPhone 5 del próximo otoño (del hemisferio norte)</w:t>
      </w:r>
    </w:p>
    <w:p w:rsidR="007A6C1B" w:rsidRDefault="007A6C1B" w:rsidP="007A6C1B">
      <w:pPr>
        <w:pStyle w:val="NormalWeb"/>
        <w:jc w:val="both"/>
        <w:rPr>
          <w:u w:val="single"/>
        </w:rPr>
      </w:pPr>
      <w:r>
        <w:rPr>
          <w:u w:val="single"/>
        </w:rPr>
        <w:t>Castillos de amor y de espanto (II)</w:t>
      </w:r>
    </w:p>
    <w:p w:rsidR="007A6C1B" w:rsidRPr="009266BB" w:rsidRDefault="009266BB" w:rsidP="007A6C1B">
      <w:pPr>
        <w:jc w:val="both"/>
        <w:rPr>
          <w:rFonts w:ascii="Times New Roman" w:hAnsi="Times New Roman" w:cs="Times New Roman"/>
          <w:sz w:val="24"/>
          <w:szCs w:val="24"/>
          <w:u w:val="single"/>
        </w:rPr>
      </w:pPr>
      <w:r>
        <w:rPr>
          <w:rFonts w:ascii="Times New Roman" w:hAnsi="Times New Roman" w:cs="Times New Roman"/>
          <w:sz w:val="24"/>
          <w:szCs w:val="24"/>
          <w:u w:val="single"/>
        </w:rPr>
        <w:t>La “pasarela” de las tablets</w:t>
      </w:r>
    </w:p>
    <w:tbl>
      <w:tblPr>
        <w:tblW w:w="0" w:type="auto"/>
        <w:tblCellSpacing w:w="15" w:type="dxa"/>
        <w:tblLook w:val="04A0" w:firstRow="1" w:lastRow="0" w:firstColumn="1" w:lastColumn="0" w:noHBand="0" w:noVBand="1"/>
      </w:tblPr>
      <w:tblGrid>
        <w:gridCol w:w="1192"/>
        <w:gridCol w:w="1846"/>
        <w:gridCol w:w="1847"/>
        <w:gridCol w:w="1847"/>
        <w:gridCol w:w="1862"/>
      </w:tblGrid>
      <w:tr w:rsidR="007A6C1B" w:rsidTr="00960B55">
        <w:trPr>
          <w:tblCellSpacing w:w="15" w:type="dxa"/>
        </w:trPr>
        <w:tc>
          <w:tcPr>
            <w:tcW w:w="0" w:type="auto"/>
            <w:tcMar>
              <w:top w:w="15" w:type="dxa"/>
              <w:left w:w="15" w:type="dxa"/>
              <w:bottom w:w="15" w:type="dxa"/>
              <w:right w:w="15" w:type="dxa"/>
            </w:tcMar>
            <w:vAlign w:val="center"/>
            <w:hideMark/>
          </w:tcPr>
          <w:p w:rsidR="007A6C1B" w:rsidRDefault="007A6C1B" w:rsidP="00960B55">
            <w:pPr>
              <w:rPr>
                <w:sz w:val="20"/>
                <w:szCs w:val="20"/>
              </w:rPr>
            </w:pPr>
          </w:p>
        </w:tc>
        <w:tc>
          <w:tcPr>
            <w:tcW w:w="0" w:type="auto"/>
            <w:tcMar>
              <w:top w:w="15" w:type="dxa"/>
              <w:left w:w="15" w:type="dxa"/>
              <w:bottom w:w="15" w:type="dxa"/>
              <w:right w:w="15" w:type="dxa"/>
            </w:tcMar>
            <w:vAlign w:val="center"/>
            <w:hideMark/>
          </w:tcPr>
          <w:p w:rsidR="007A6C1B" w:rsidRDefault="007A6C1B" w:rsidP="00960B55">
            <w:pPr>
              <w:jc w:val="center"/>
              <w:rPr>
                <w:b/>
                <w:bCs/>
              </w:rPr>
            </w:pPr>
            <w:r>
              <w:rPr>
                <w:b/>
                <w:noProof/>
                <w:lang w:eastAsia="es-ES"/>
              </w:rPr>
              <w:drawing>
                <wp:inline distT="0" distB="0" distL="0" distR="0" wp14:anchorId="0DAB0748" wp14:editId="75431AFD">
                  <wp:extent cx="1328515" cy="914400"/>
                  <wp:effectExtent l="0" t="0" r="5080" b="0"/>
                  <wp:docPr id="190" name="Imagen 190" descr="Apple iPa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Apple iPad 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330960" cy="916083"/>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7A6C1B" w:rsidRDefault="007A6C1B" w:rsidP="00960B55">
            <w:pPr>
              <w:jc w:val="center"/>
              <w:rPr>
                <w:b/>
                <w:bCs/>
              </w:rPr>
            </w:pPr>
            <w:r>
              <w:rPr>
                <w:b/>
                <w:noProof/>
                <w:lang w:eastAsia="es-ES"/>
              </w:rPr>
              <w:drawing>
                <wp:inline distT="0" distB="0" distL="0" distR="0" wp14:anchorId="2A6F40D7" wp14:editId="0917455C">
                  <wp:extent cx="1332851" cy="825500"/>
                  <wp:effectExtent l="0" t="0" r="1270" b="0"/>
                  <wp:docPr id="191" name="Imagen 191" descr="Motorola X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torola Xoom"/>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330960" cy="824329"/>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7A6C1B" w:rsidRDefault="007A6C1B" w:rsidP="00960B55">
            <w:pPr>
              <w:jc w:val="center"/>
              <w:rPr>
                <w:b/>
                <w:bCs/>
              </w:rPr>
            </w:pPr>
            <w:r>
              <w:rPr>
                <w:b/>
                <w:noProof/>
                <w:lang w:eastAsia="es-ES"/>
              </w:rPr>
              <w:drawing>
                <wp:inline distT="0" distB="0" distL="0" distR="0" wp14:anchorId="5CCC9850" wp14:editId="2FFC1040">
                  <wp:extent cx="1327150" cy="895350"/>
                  <wp:effectExtent l="0" t="0" r="6350" b="0"/>
                  <wp:docPr id="192" name="Imagen 192" descr="HP Touchp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HP Touchpad"/>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330960" cy="897920"/>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7A6C1B" w:rsidRDefault="007A6C1B" w:rsidP="00960B55">
            <w:pPr>
              <w:jc w:val="center"/>
              <w:rPr>
                <w:b/>
                <w:bCs/>
              </w:rPr>
            </w:pPr>
            <w:r>
              <w:rPr>
                <w:b/>
                <w:noProof/>
                <w:lang w:eastAsia="es-ES"/>
              </w:rPr>
              <w:drawing>
                <wp:inline distT="0" distB="0" distL="0" distR="0" wp14:anchorId="74084342" wp14:editId="7C093D46">
                  <wp:extent cx="1331891" cy="869950"/>
                  <wp:effectExtent l="0" t="0" r="1905" b="6350"/>
                  <wp:docPr id="193" name="Imagen 193" descr="BlackBerry Play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BlackBerry PlayBook"/>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330960" cy="869342"/>
                          </a:xfrm>
                          <a:prstGeom prst="rect">
                            <a:avLst/>
                          </a:prstGeom>
                          <a:noFill/>
                          <a:ln>
                            <a:noFill/>
                          </a:ln>
                        </pic:spPr>
                      </pic:pic>
                    </a:graphicData>
                  </a:graphic>
                </wp:inline>
              </w:drawing>
            </w:r>
          </w:p>
        </w:tc>
      </w:tr>
      <w:tr w:rsidR="007A6C1B" w:rsidTr="00960B55">
        <w:trPr>
          <w:tblCellSpacing w:w="15" w:type="dxa"/>
        </w:trPr>
        <w:tc>
          <w:tcPr>
            <w:tcW w:w="0" w:type="auto"/>
            <w:shd w:val="clear" w:color="auto" w:fill="6600CC"/>
            <w:tcMar>
              <w:top w:w="15" w:type="dxa"/>
              <w:left w:w="15" w:type="dxa"/>
              <w:bottom w:w="15" w:type="dxa"/>
              <w:right w:w="15" w:type="dxa"/>
            </w:tcMar>
            <w:vAlign w:val="center"/>
            <w:hideMark/>
          </w:tcPr>
          <w:p w:rsidR="007A6C1B" w:rsidRDefault="007A6C1B" w:rsidP="00960B55">
            <w:pPr>
              <w:rPr>
                <w:sz w:val="20"/>
                <w:szCs w:val="20"/>
              </w:rPr>
            </w:pPr>
          </w:p>
        </w:tc>
        <w:tc>
          <w:tcPr>
            <w:tcW w:w="0" w:type="auto"/>
            <w:shd w:val="clear" w:color="auto" w:fill="6600CC"/>
            <w:tcMar>
              <w:top w:w="15" w:type="dxa"/>
              <w:left w:w="15" w:type="dxa"/>
              <w:bottom w:w="15" w:type="dxa"/>
              <w:right w:w="15" w:type="dxa"/>
            </w:tcMar>
            <w:vAlign w:val="center"/>
            <w:hideMark/>
          </w:tcPr>
          <w:p w:rsidR="007A6C1B" w:rsidRDefault="007A6C1B" w:rsidP="00960B55">
            <w:pPr>
              <w:jc w:val="center"/>
              <w:rPr>
                <w:b/>
                <w:bCs/>
                <w:color w:val="FFFFFF"/>
              </w:rPr>
            </w:pPr>
            <w:r>
              <w:rPr>
                <w:b/>
                <w:bCs/>
                <w:color w:val="FFFFFF"/>
              </w:rPr>
              <w:t>iPad 2</w:t>
            </w:r>
          </w:p>
        </w:tc>
        <w:tc>
          <w:tcPr>
            <w:tcW w:w="0" w:type="auto"/>
            <w:shd w:val="clear" w:color="auto" w:fill="6600CC"/>
            <w:tcMar>
              <w:top w:w="15" w:type="dxa"/>
              <w:left w:w="15" w:type="dxa"/>
              <w:bottom w:w="15" w:type="dxa"/>
              <w:right w:w="15" w:type="dxa"/>
            </w:tcMar>
            <w:vAlign w:val="center"/>
            <w:hideMark/>
          </w:tcPr>
          <w:p w:rsidR="007A6C1B" w:rsidRDefault="007A6C1B" w:rsidP="00960B55">
            <w:pPr>
              <w:jc w:val="center"/>
              <w:rPr>
                <w:b/>
                <w:bCs/>
                <w:color w:val="FFFFFF"/>
              </w:rPr>
            </w:pPr>
            <w:r>
              <w:rPr>
                <w:b/>
                <w:bCs/>
                <w:color w:val="FFFFFF"/>
              </w:rPr>
              <w:t>Motorola Xoom</w:t>
            </w:r>
          </w:p>
        </w:tc>
        <w:tc>
          <w:tcPr>
            <w:tcW w:w="0" w:type="auto"/>
            <w:shd w:val="clear" w:color="auto" w:fill="6600CC"/>
            <w:tcMar>
              <w:top w:w="15" w:type="dxa"/>
              <w:left w:w="15" w:type="dxa"/>
              <w:bottom w:w="15" w:type="dxa"/>
              <w:right w:w="15" w:type="dxa"/>
            </w:tcMar>
            <w:vAlign w:val="center"/>
            <w:hideMark/>
          </w:tcPr>
          <w:p w:rsidR="007A6C1B" w:rsidRDefault="007A6C1B" w:rsidP="00960B55">
            <w:pPr>
              <w:jc w:val="center"/>
              <w:rPr>
                <w:b/>
                <w:bCs/>
                <w:color w:val="FFFFFF"/>
              </w:rPr>
            </w:pPr>
            <w:r>
              <w:rPr>
                <w:b/>
                <w:bCs/>
                <w:color w:val="FFFFFF"/>
              </w:rPr>
              <w:t>HP TouchPad</w:t>
            </w:r>
          </w:p>
        </w:tc>
        <w:tc>
          <w:tcPr>
            <w:tcW w:w="0" w:type="auto"/>
            <w:shd w:val="clear" w:color="auto" w:fill="6600CC"/>
            <w:tcMar>
              <w:top w:w="15" w:type="dxa"/>
              <w:left w:w="15" w:type="dxa"/>
              <w:bottom w:w="15" w:type="dxa"/>
              <w:right w:w="15" w:type="dxa"/>
            </w:tcMar>
            <w:vAlign w:val="center"/>
            <w:hideMark/>
          </w:tcPr>
          <w:p w:rsidR="007A6C1B" w:rsidRDefault="007A6C1B" w:rsidP="00960B55">
            <w:pPr>
              <w:jc w:val="center"/>
              <w:rPr>
                <w:b/>
                <w:bCs/>
                <w:color w:val="FFFFFF"/>
              </w:rPr>
            </w:pPr>
            <w:r>
              <w:rPr>
                <w:b/>
                <w:bCs/>
                <w:color w:val="FFFFFF"/>
              </w:rPr>
              <w:t>BlackBerry PlayBook</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Procesador</w:t>
            </w:r>
          </w:p>
        </w:tc>
        <w:tc>
          <w:tcPr>
            <w:tcW w:w="0" w:type="auto"/>
            <w:tcMar>
              <w:top w:w="15" w:type="dxa"/>
              <w:left w:w="15" w:type="dxa"/>
              <w:bottom w:w="15" w:type="dxa"/>
              <w:right w:w="15" w:type="dxa"/>
            </w:tcMar>
            <w:vAlign w:val="center"/>
            <w:hideMark/>
          </w:tcPr>
          <w:p w:rsidR="007A6C1B" w:rsidRDefault="007A6C1B" w:rsidP="00960B55">
            <w:r>
              <w:t>Apple A5 de doble núcleo a 1 GHz</w:t>
            </w:r>
          </w:p>
        </w:tc>
        <w:tc>
          <w:tcPr>
            <w:tcW w:w="0" w:type="auto"/>
            <w:tcMar>
              <w:top w:w="15" w:type="dxa"/>
              <w:left w:w="15" w:type="dxa"/>
              <w:bottom w:w="15" w:type="dxa"/>
              <w:right w:w="15" w:type="dxa"/>
            </w:tcMar>
            <w:vAlign w:val="center"/>
            <w:hideMark/>
          </w:tcPr>
          <w:p w:rsidR="007A6C1B" w:rsidRDefault="007A6C1B" w:rsidP="00960B55">
            <w:r>
              <w:t>Nvidia Tegra 2 de doble núcleo a 1 GHz</w:t>
            </w:r>
          </w:p>
        </w:tc>
        <w:tc>
          <w:tcPr>
            <w:tcW w:w="0" w:type="auto"/>
            <w:tcMar>
              <w:top w:w="15" w:type="dxa"/>
              <w:left w:w="15" w:type="dxa"/>
              <w:bottom w:w="15" w:type="dxa"/>
              <w:right w:w="15" w:type="dxa"/>
            </w:tcMar>
            <w:vAlign w:val="center"/>
            <w:hideMark/>
          </w:tcPr>
          <w:p w:rsidR="007A6C1B" w:rsidRDefault="007A6C1B" w:rsidP="00960B55">
            <w:r>
              <w:t>Qualcomm Snapdragon de doble núcleo a 1,2 GHz</w:t>
            </w:r>
          </w:p>
        </w:tc>
        <w:tc>
          <w:tcPr>
            <w:tcW w:w="0" w:type="auto"/>
            <w:tcMar>
              <w:top w:w="15" w:type="dxa"/>
              <w:left w:w="15" w:type="dxa"/>
              <w:bottom w:w="15" w:type="dxa"/>
              <w:right w:w="15" w:type="dxa"/>
            </w:tcMar>
            <w:vAlign w:val="center"/>
            <w:hideMark/>
          </w:tcPr>
          <w:p w:rsidR="007A6C1B" w:rsidRDefault="007A6C1B" w:rsidP="00960B55">
            <w:r>
              <w:t>Procesador de doble núcleo a 1 GHz</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Procesador gráfico</w:t>
            </w:r>
          </w:p>
        </w:tc>
        <w:tc>
          <w:tcPr>
            <w:tcW w:w="0" w:type="auto"/>
            <w:shd w:val="clear" w:color="auto" w:fill="C6FF00"/>
            <w:tcMar>
              <w:top w:w="15" w:type="dxa"/>
              <w:left w:w="15" w:type="dxa"/>
              <w:bottom w:w="15" w:type="dxa"/>
              <w:right w:w="15" w:type="dxa"/>
            </w:tcMar>
            <w:vAlign w:val="center"/>
            <w:hideMark/>
          </w:tcPr>
          <w:p w:rsidR="007A6C1B" w:rsidRDefault="00B324C0" w:rsidP="00960B55">
            <w:hyperlink r:id="rId231" w:history="1">
              <w:r w:rsidR="007A6C1B">
                <w:rPr>
                  <w:rStyle w:val="Hipervnculo"/>
                </w:rPr>
                <w:t>PowerVR SGX543MP2</w:t>
              </w:r>
            </w:hyperlink>
          </w:p>
        </w:tc>
        <w:tc>
          <w:tcPr>
            <w:tcW w:w="0" w:type="auto"/>
            <w:tcMar>
              <w:top w:w="15" w:type="dxa"/>
              <w:left w:w="15" w:type="dxa"/>
              <w:bottom w:w="15" w:type="dxa"/>
              <w:right w:w="15" w:type="dxa"/>
            </w:tcMar>
            <w:vAlign w:val="center"/>
            <w:hideMark/>
          </w:tcPr>
          <w:p w:rsidR="007A6C1B" w:rsidRDefault="007A6C1B" w:rsidP="00960B55">
            <w:r>
              <w:t>GeForce GPU 333</w:t>
            </w:r>
          </w:p>
        </w:tc>
        <w:tc>
          <w:tcPr>
            <w:tcW w:w="0" w:type="auto"/>
            <w:tcMar>
              <w:top w:w="15" w:type="dxa"/>
              <w:left w:w="15" w:type="dxa"/>
              <w:bottom w:w="15" w:type="dxa"/>
              <w:right w:w="15" w:type="dxa"/>
            </w:tcMar>
            <w:vAlign w:val="center"/>
            <w:hideMark/>
          </w:tcPr>
          <w:p w:rsidR="007A6C1B" w:rsidRDefault="007A6C1B" w:rsidP="00960B55">
            <w:r>
              <w:t>Adreno 220</w:t>
            </w:r>
          </w:p>
        </w:tc>
        <w:tc>
          <w:tcPr>
            <w:tcW w:w="0" w:type="auto"/>
            <w:tcMar>
              <w:top w:w="15" w:type="dxa"/>
              <w:left w:w="15" w:type="dxa"/>
              <w:bottom w:w="15" w:type="dxa"/>
              <w:right w:w="15" w:type="dxa"/>
            </w:tcMar>
            <w:vAlign w:val="center"/>
            <w:hideMark/>
          </w:tcPr>
          <w:p w:rsidR="007A6C1B" w:rsidRDefault="007A6C1B" w:rsidP="00960B55">
            <w:r>
              <w:t>Desconocido</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Memoria</w:t>
            </w:r>
          </w:p>
        </w:tc>
        <w:tc>
          <w:tcPr>
            <w:tcW w:w="0" w:type="auto"/>
            <w:tcMar>
              <w:top w:w="15" w:type="dxa"/>
              <w:left w:w="15" w:type="dxa"/>
              <w:bottom w:w="15" w:type="dxa"/>
              <w:right w:w="15" w:type="dxa"/>
            </w:tcMar>
            <w:vAlign w:val="center"/>
            <w:hideMark/>
          </w:tcPr>
          <w:p w:rsidR="007A6C1B" w:rsidRDefault="007A6C1B" w:rsidP="00960B55">
            <w:r>
              <w:t>512 MB</w:t>
            </w:r>
          </w:p>
        </w:tc>
        <w:tc>
          <w:tcPr>
            <w:tcW w:w="0" w:type="auto"/>
            <w:shd w:val="clear" w:color="auto" w:fill="C6FF00"/>
            <w:tcMar>
              <w:top w:w="15" w:type="dxa"/>
              <w:left w:w="15" w:type="dxa"/>
              <w:bottom w:w="15" w:type="dxa"/>
              <w:right w:w="15" w:type="dxa"/>
            </w:tcMar>
            <w:vAlign w:val="center"/>
            <w:hideMark/>
          </w:tcPr>
          <w:p w:rsidR="007A6C1B" w:rsidRDefault="007A6C1B" w:rsidP="00960B55">
            <w:r>
              <w:t>1 GB</w:t>
            </w:r>
          </w:p>
        </w:tc>
        <w:tc>
          <w:tcPr>
            <w:tcW w:w="0" w:type="auto"/>
            <w:shd w:val="clear" w:color="auto" w:fill="C6FF00"/>
            <w:tcMar>
              <w:top w:w="15" w:type="dxa"/>
              <w:left w:w="15" w:type="dxa"/>
              <w:bottom w:w="15" w:type="dxa"/>
              <w:right w:w="15" w:type="dxa"/>
            </w:tcMar>
            <w:vAlign w:val="center"/>
            <w:hideMark/>
          </w:tcPr>
          <w:p w:rsidR="007A6C1B" w:rsidRDefault="007A6C1B" w:rsidP="00960B55">
            <w:r>
              <w:t>1 GB</w:t>
            </w:r>
          </w:p>
        </w:tc>
        <w:tc>
          <w:tcPr>
            <w:tcW w:w="0" w:type="auto"/>
            <w:shd w:val="clear" w:color="auto" w:fill="C6FF00"/>
            <w:tcMar>
              <w:top w:w="15" w:type="dxa"/>
              <w:left w:w="15" w:type="dxa"/>
              <w:bottom w:w="15" w:type="dxa"/>
              <w:right w:w="15" w:type="dxa"/>
            </w:tcMar>
            <w:vAlign w:val="center"/>
            <w:hideMark/>
          </w:tcPr>
          <w:p w:rsidR="007A6C1B" w:rsidRDefault="007A6C1B" w:rsidP="00960B55">
            <w:r>
              <w:t>1 GB</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lastRenderedPageBreak/>
              <w:t>Pantalla</w:t>
            </w:r>
          </w:p>
        </w:tc>
        <w:tc>
          <w:tcPr>
            <w:tcW w:w="0" w:type="auto"/>
            <w:tcMar>
              <w:top w:w="15" w:type="dxa"/>
              <w:left w:w="15" w:type="dxa"/>
              <w:bottom w:w="15" w:type="dxa"/>
              <w:right w:w="15" w:type="dxa"/>
            </w:tcMar>
            <w:vAlign w:val="center"/>
            <w:hideMark/>
          </w:tcPr>
          <w:p w:rsidR="007A6C1B" w:rsidRDefault="007A6C1B" w:rsidP="00960B55">
            <w:r>
              <w:t>9,7 pulgadas</w:t>
            </w:r>
          </w:p>
        </w:tc>
        <w:tc>
          <w:tcPr>
            <w:tcW w:w="0" w:type="auto"/>
            <w:tcMar>
              <w:top w:w="15" w:type="dxa"/>
              <w:left w:w="15" w:type="dxa"/>
              <w:bottom w:w="15" w:type="dxa"/>
              <w:right w:w="15" w:type="dxa"/>
            </w:tcMar>
            <w:vAlign w:val="center"/>
            <w:hideMark/>
          </w:tcPr>
          <w:p w:rsidR="007A6C1B" w:rsidRDefault="007A6C1B" w:rsidP="00960B55">
            <w:r>
              <w:t>10,1 pulgadas</w:t>
            </w:r>
          </w:p>
        </w:tc>
        <w:tc>
          <w:tcPr>
            <w:tcW w:w="0" w:type="auto"/>
            <w:tcMar>
              <w:top w:w="15" w:type="dxa"/>
              <w:left w:w="15" w:type="dxa"/>
              <w:bottom w:w="15" w:type="dxa"/>
              <w:right w:w="15" w:type="dxa"/>
            </w:tcMar>
            <w:vAlign w:val="center"/>
            <w:hideMark/>
          </w:tcPr>
          <w:p w:rsidR="007A6C1B" w:rsidRDefault="007A6C1B" w:rsidP="00960B55">
            <w:r>
              <w:t>9,7 pulgadas</w:t>
            </w:r>
          </w:p>
        </w:tc>
        <w:tc>
          <w:tcPr>
            <w:tcW w:w="0" w:type="auto"/>
            <w:tcMar>
              <w:top w:w="15" w:type="dxa"/>
              <w:left w:w="15" w:type="dxa"/>
              <w:bottom w:w="15" w:type="dxa"/>
              <w:right w:w="15" w:type="dxa"/>
            </w:tcMar>
            <w:vAlign w:val="center"/>
            <w:hideMark/>
          </w:tcPr>
          <w:p w:rsidR="007A6C1B" w:rsidRDefault="007A6C1B" w:rsidP="00960B55">
            <w:r>
              <w:t>7 pulgadas</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Resolución</w:t>
            </w:r>
          </w:p>
        </w:tc>
        <w:tc>
          <w:tcPr>
            <w:tcW w:w="0" w:type="auto"/>
            <w:tcMar>
              <w:top w:w="15" w:type="dxa"/>
              <w:left w:w="15" w:type="dxa"/>
              <w:bottom w:w="15" w:type="dxa"/>
              <w:right w:w="15" w:type="dxa"/>
            </w:tcMar>
            <w:vAlign w:val="center"/>
            <w:hideMark/>
          </w:tcPr>
          <w:p w:rsidR="007A6C1B" w:rsidRDefault="007A6C1B" w:rsidP="00960B55">
            <w:r>
              <w:t>1024 × 768 píxeles (132 ppp)</w:t>
            </w:r>
          </w:p>
        </w:tc>
        <w:tc>
          <w:tcPr>
            <w:tcW w:w="0" w:type="auto"/>
            <w:shd w:val="clear" w:color="auto" w:fill="C6FF00"/>
            <w:tcMar>
              <w:top w:w="15" w:type="dxa"/>
              <w:left w:w="15" w:type="dxa"/>
              <w:bottom w:w="15" w:type="dxa"/>
              <w:right w:w="15" w:type="dxa"/>
            </w:tcMar>
            <w:vAlign w:val="center"/>
            <w:hideMark/>
          </w:tcPr>
          <w:p w:rsidR="007A6C1B" w:rsidRDefault="007A6C1B" w:rsidP="00960B55">
            <w:r>
              <w:t>1280 × 800 píxeles (150 ppp)</w:t>
            </w:r>
          </w:p>
        </w:tc>
        <w:tc>
          <w:tcPr>
            <w:tcW w:w="0" w:type="auto"/>
            <w:tcMar>
              <w:top w:w="15" w:type="dxa"/>
              <w:left w:w="15" w:type="dxa"/>
              <w:bottom w:w="15" w:type="dxa"/>
              <w:right w:w="15" w:type="dxa"/>
            </w:tcMar>
            <w:vAlign w:val="center"/>
            <w:hideMark/>
          </w:tcPr>
          <w:p w:rsidR="007A6C1B" w:rsidRDefault="007A6C1B" w:rsidP="00960B55">
            <w:r>
              <w:t>1024 × 768 píxeles (132 ppp)</w:t>
            </w:r>
          </w:p>
        </w:tc>
        <w:tc>
          <w:tcPr>
            <w:tcW w:w="0" w:type="auto"/>
            <w:tcMar>
              <w:top w:w="15" w:type="dxa"/>
              <w:left w:w="15" w:type="dxa"/>
              <w:bottom w:w="15" w:type="dxa"/>
              <w:right w:w="15" w:type="dxa"/>
            </w:tcMar>
            <w:vAlign w:val="center"/>
            <w:hideMark/>
          </w:tcPr>
          <w:p w:rsidR="007A6C1B" w:rsidRDefault="007A6C1B" w:rsidP="00960B55">
            <w:r>
              <w:t>1024 × 600 píxeles</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Cámaras</w:t>
            </w:r>
          </w:p>
        </w:tc>
        <w:tc>
          <w:tcPr>
            <w:tcW w:w="0" w:type="auto"/>
            <w:tcMar>
              <w:top w:w="15" w:type="dxa"/>
              <w:left w:w="15" w:type="dxa"/>
              <w:bottom w:w="15" w:type="dxa"/>
              <w:right w:w="15" w:type="dxa"/>
            </w:tcMar>
            <w:vAlign w:val="center"/>
            <w:hideMark/>
          </w:tcPr>
          <w:p w:rsidR="007A6C1B" w:rsidRDefault="007A6C1B" w:rsidP="00960B55">
            <w:r>
              <w:t>Frontal VGA y trasera para vídeo a 720p</w:t>
            </w:r>
          </w:p>
        </w:tc>
        <w:tc>
          <w:tcPr>
            <w:tcW w:w="0" w:type="auto"/>
            <w:tcMar>
              <w:top w:w="15" w:type="dxa"/>
              <w:left w:w="15" w:type="dxa"/>
              <w:bottom w:w="15" w:type="dxa"/>
              <w:right w:w="15" w:type="dxa"/>
            </w:tcMar>
            <w:vAlign w:val="center"/>
            <w:hideMark/>
          </w:tcPr>
          <w:p w:rsidR="007A6C1B" w:rsidRDefault="007A6C1B" w:rsidP="00960B55">
            <w:r>
              <w:t>Frontal de 2 megapíxeles y trasera para vídeo a 720p (5 megapíxeles con flash dual)</w:t>
            </w:r>
          </w:p>
        </w:tc>
        <w:tc>
          <w:tcPr>
            <w:tcW w:w="0" w:type="auto"/>
            <w:tcMar>
              <w:top w:w="15" w:type="dxa"/>
              <w:left w:w="15" w:type="dxa"/>
              <w:bottom w:w="15" w:type="dxa"/>
              <w:right w:w="15" w:type="dxa"/>
            </w:tcMar>
            <w:vAlign w:val="center"/>
            <w:hideMark/>
          </w:tcPr>
          <w:p w:rsidR="007A6C1B" w:rsidRDefault="007A6C1B" w:rsidP="00960B55">
            <w:r>
              <w:t>Frontal de 1,3 megapíxeles</w:t>
            </w:r>
          </w:p>
        </w:tc>
        <w:tc>
          <w:tcPr>
            <w:tcW w:w="0" w:type="auto"/>
            <w:shd w:val="clear" w:color="auto" w:fill="C6FF00"/>
            <w:tcMar>
              <w:top w:w="15" w:type="dxa"/>
              <w:left w:w="15" w:type="dxa"/>
              <w:bottom w:w="15" w:type="dxa"/>
              <w:right w:w="15" w:type="dxa"/>
            </w:tcMar>
            <w:vAlign w:val="center"/>
            <w:hideMark/>
          </w:tcPr>
          <w:p w:rsidR="007A6C1B" w:rsidRDefault="007A6C1B" w:rsidP="00960B55">
            <w:r>
              <w:t>Frontal de 3 megapíxeles y trasera para vídeo a 1080p (5 megapíxeles)</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Sensores</w:t>
            </w:r>
          </w:p>
        </w:tc>
        <w:tc>
          <w:tcPr>
            <w:tcW w:w="0" w:type="auto"/>
            <w:tcMar>
              <w:top w:w="15" w:type="dxa"/>
              <w:left w:w="15" w:type="dxa"/>
              <w:bottom w:w="15" w:type="dxa"/>
              <w:right w:w="15" w:type="dxa"/>
            </w:tcMar>
            <w:vAlign w:val="center"/>
            <w:hideMark/>
          </w:tcPr>
          <w:p w:rsidR="007A6C1B" w:rsidRDefault="007A6C1B" w:rsidP="00960B55">
            <w:r>
              <w:t>Giroscopio de tres ejes, acelerómetro, sensor de luz ambiental y brújula digital</w:t>
            </w:r>
          </w:p>
        </w:tc>
        <w:tc>
          <w:tcPr>
            <w:tcW w:w="0" w:type="auto"/>
            <w:shd w:val="clear" w:color="auto" w:fill="C6FF00"/>
            <w:tcMar>
              <w:top w:w="15" w:type="dxa"/>
              <w:left w:w="15" w:type="dxa"/>
              <w:bottom w:w="15" w:type="dxa"/>
              <w:right w:w="15" w:type="dxa"/>
            </w:tcMar>
            <w:vAlign w:val="center"/>
            <w:hideMark/>
          </w:tcPr>
          <w:p w:rsidR="007A6C1B" w:rsidRDefault="007A6C1B" w:rsidP="00960B55">
            <w:r>
              <w:t>Giroscopio de tres ejes, acelerómetro, sensores de proximidad y luz ambiental y brújula digital</w:t>
            </w:r>
          </w:p>
        </w:tc>
        <w:tc>
          <w:tcPr>
            <w:tcW w:w="0" w:type="auto"/>
            <w:tcMar>
              <w:top w:w="15" w:type="dxa"/>
              <w:left w:w="15" w:type="dxa"/>
              <w:bottom w:w="15" w:type="dxa"/>
              <w:right w:w="15" w:type="dxa"/>
            </w:tcMar>
            <w:vAlign w:val="center"/>
            <w:hideMark/>
          </w:tcPr>
          <w:p w:rsidR="007A6C1B" w:rsidRDefault="007A6C1B" w:rsidP="00960B55">
            <w:r>
              <w:t>Giroscopio de tres ejes, acelerómetro, sensor de luz ambiental y brújula digital</w:t>
            </w:r>
          </w:p>
        </w:tc>
        <w:tc>
          <w:tcPr>
            <w:tcW w:w="0" w:type="auto"/>
            <w:tcMar>
              <w:top w:w="15" w:type="dxa"/>
              <w:left w:w="15" w:type="dxa"/>
              <w:bottom w:w="15" w:type="dxa"/>
              <w:right w:w="15" w:type="dxa"/>
            </w:tcMar>
            <w:vAlign w:val="center"/>
            <w:hideMark/>
          </w:tcPr>
          <w:p w:rsidR="007A6C1B" w:rsidRDefault="007A6C1B" w:rsidP="00960B55">
            <w:r>
              <w:t>Desconocido</w:t>
            </w:r>
          </w:p>
        </w:tc>
      </w:tr>
      <w:tr w:rsidR="007A6C1B" w:rsidRPr="00B324C0"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Conectividad</w:t>
            </w:r>
          </w:p>
        </w:tc>
        <w:tc>
          <w:tcPr>
            <w:tcW w:w="0" w:type="auto"/>
            <w:tcMar>
              <w:top w:w="15" w:type="dxa"/>
              <w:left w:w="15" w:type="dxa"/>
              <w:bottom w:w="15" w:type="dxa"/>
              <w:right w:w="15" w:type="dxa"/>
            </w:tcMar>
            <w:vAlign w:val="center"/>
            <w:hideMark/>
          </w:tcPr>
          <w:p w:rsidR="007A6C1B" w:rsidRDefault="007A6C1B" w:rsidP="00960B55">
            <w:r>
              <w:t>Wi-Fi 802.11n, Bluetooth 2.1 + EDR (modelo 3G cuatribanda y EDGE)</w:t>
            </w:r>
          </w:p>
        </w:tc>
        <w:tc>
          <w:tcPr>
            <w:tcW w:w="0" w:type="auto"/>
            <w:tcMar>
              <w:top w:w="15" w:type="dxa"/>
              <w:left w:w="15" w:type="dxa"/>
              <w:bottom w:w="15" w:type="dxa"/>
              <w:right w:w="15" w:type="dxa"/>
            </w:tcMar>
            <w:vAlign w:val="center"/>
            <w:hideMark/>
          </w:tcPr>
          <w:p w:rsidR="007A6C1B" w:rsidRDefault="007A6C1B" w:rsidP="00960B55">
            <w:r>
              <w:t>Wi-Fi 802.11n, Bluetooth 2.1 + EDR (modelo 3G tribanda y EDGE)</w:t>
            </w:r>
          </w:p>
        </w:tc>
        <w:tc>
          <w:tcPr>
            <w:tcW w:w="0" w:type="auto"/>
            <w:tcMar>
              <w:top w:w="15" w:type="dxa"/>
              <w:left w:w="15" w:type="dxa"/>
              <w:bottom w:w="15" w:type="dxa"/>
              <w:right w:w="15" w:type="dxa"/>
            </w:tcMar>
            <w:vAlign w:val="center"/>
            <w:hideMark/>
          </w:tcPr>
          <w:p w:rsidR="007A6C1B" w:rsidRDefault="007A6C1B" w:rsidP="00960B55">
            <w:r>
              <w:t>Wi-Fi 802.11n, Bluetooth 2.1 + EDR (modelo 3G tribanda y EDGE)</w:t>
            </w:r>
          </w:p>
        </w:tc>
        <w:tc>
          <w:tcPr>
            <w:tcW w:w="0" w:type="auto"/>
            <w:shd w:val="clear" w:color="auto" w:fill="C6FF00"/>
            <w:tcMar>
              <w:top w:w="15" w:type="dxa"/>
              <w:left w:w="15" w:type="dxa"/>
              <w:bottom w:w="15" w:type="dxa"/>
              <w:right w:w="15" w:type="dxa"/>
            </w:tcMar>
            <w:vAlign w:val="center"/>
            <w:hideMark/>
          </w:tcPr>
          <w:p w:rsidR="007A6C1B" w:rsidRDefault="007A6C1B" w:rsidP="00960B55">
            <w:pPr>
              <w:rPr>
                <w:lang w:val="en-US"/>
              </w:rPr>
            </w:pPr>
            <w:r>
              <w:rPr>
                <w:lang w:val="en-US"/>
              </w:rPr>
              <w:t>Wi-Fi 802.11n, Bluetooth 2.1 + EDR (modelo 4G)</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Capacidad</w:t>
            </w:r>
          </w:p>
        </w:tc>
        <w:tc>
          <w:tcPr>
            <w:tcW w:w="0" w:type="auto"/>
            <w:shd w:val="clear" w:color="auto" w:fill="C6FF00"/>
            <w:tcMar>
              <w:top w:w="15" w:type="dxa"/>
              <w:left w:w="15" w:type="dxa"/>
              <w:bottom w:w="15" w:type="dxa"/>
              <w:right w:w="15" w:type="dxa"/>
            </w:tcMar>
            <w:vAlign w:val="center"/>
            <w:hideMark/>
          </w:tcPr>
          <w:p w:rsidR="007A6C1B" w:rsidRDefault="007A6C1B" w:rsidP="00960B55">
            <w:r>
              <w:t>16, 32 o 64 GB</w:t>
            </w:r>
          </w:p>
        </w:tc>
        <w:tc>
          <w:tcPr>
            <w:tcW w:w="0" w:type="auto"/>
            <w:tcMar>
              <w:top w:w="15" w:type="dxa"/>
              <w:left w:w="15" w:type="dxa"/>
              <w:bottom w:w="15" w:type="dxa"/>
              <w:right w:w="15" w:type="dxa"/>
            </w:tcMar>
            <w:vAlign w:val="center"/>
            <w:hideMark/>
          </w:tcPr>
          <w:p w:rsidR="007A6C1B" w:rsidRDefault="007A6C1B" w:rsidP="00960B55">
            <w:r>
              <w:t>32 GB</w:t>
            </w:r>
          </w:p>
        </w:tc>
        <w:tc>
          <w:tcPr>
            <w:tcW w:w="0" w:type="auto"/>
            <w:tcMar>
              <w:top w:w="15" w:type="dxa"/>
              <w:left w:w="15" w:type="dxa"/>
              <w:bottom w:w="15" w:type="dxa"/>
              <w:right w:w="15" w:type="dxa"/>
            </w:tcMar>
            <w:vAlign w:val="center"/>
            <w:hideMark/>
          </w:tcPr>
          <w:p w:rsidR="007A6C1B" w:rsidRDefault="007A6C1B" w:rsidP="00960B55">
            <w:r>
              <w:t>16 o 32 G</w:t>
            </w:r>
          </w:p>
        </w:tc>
        <w:tc>
          <w:tcPr>
            <w:tcW w:w="0" w:type="auto"/>
            <w:shd w:val="clear" w:color="auto" w:fill="C6FF00"/>
            <w:tcMar>
              <w:top w:w="15" w:type="dxa"/>
              <w:left w:w="15" w:type="dxa"/>
              <w:bottom w:w="15" w:type="dxa"/>
              <w:right w:w="15" w:type="dxa"/>
            </w:tcMar>
            <w:vAlign w:val="center"/>
            <w:hideMark/>
          </w:tcPr>
          <w:p w:rsidR="007A6C1B" w:rsidRDefault="007A6C1B" w:rsidP="00960B55">
            <w:r>
              <w:t>16, 32 o 64 GB</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Autonomía</w:t>
            </w:r>
          </w:p>
        </w:tc>
        <w:tc>
          <w:tcPr>
            <w:tcW w:w="0" w:type="auto"/>
            <w:shd w:val="clear" w:color="auto" w:fill="C6FF00"/>
            <w:tcMar>
              <w:top w:w="15" w:type="dxa"/>
              <w:left w:w="15" w:type="dxa"/>
              <w:bottom w:w="15" w:type="dxa"/>
              <w:right w:w="15" w:type="dxa"/>
            </w:tcMar>
            <w:vAlign w:val="center"/>
            <w:hideMark/>
          </w:tcPr>
          <w:p w:rsidR="007A6C1B" w:rsidRDefault="007A6C1B" w:rsidP="00960B55">
            <w:r>
              <w:t>Hasta 10 horas</w:t>
            </w:r>
          </w:p>
        </w:tc>
        <w:tc>
          <w:tcPr>
            <w:tcW w:w="0" w:type="auto"/>
            <w:tcMar>
              <w:top w:w="15" w:type="dxa"/>
              <w:left w:w="15" w:type="dxa"/>
              <w:bottom w:w="15" w:type="dxa"/>
              <w:right w:w="15" w:type="dxa"/>
            </w:tcMar>
            <w:vAlign w:val="center"/>
            <w:hideMark/>
          </w:tcPr>
          <w:p w:rsidR="007A6C1B" w:rsidRDefault="007A6C1B" w:rsidP="00960B55">
            <w:r>
              <w:t>Hasta 10 horas (cerca de la mitad en el mundo real)</w:t>
            </w:r>
          </w:p>
        </w:tc>
        <w:tc>
          <w:tcPr>
            <w:tcW w:w="0" w:type="auto"/>
            <w:tcMar>
              <w:top w:w="15" w:type="dxa"/>
              <w:left w:w="15" w:type="dxa"/>
              <w:bottom w:w="15" w:type="dxa"/>
              <w:right w:w="15" w:type="dxa"/>
            </w:tcMar>
            <w:vAlign w:val="center"/>
            <w:hideMark/>
          </w:tcPr>
          <w:p w:rsidR="007A6C1B" w:rsidRDefault="007A6C1B" w:rsidP="00960B55">
            <w:r>
              <w:t>Hasta 8 horas</w:t>
            </w:r>
          </w:p>
        </w:tc>
        <w:tc>
          <w:tcPr>
            <w:tcW w:w="0" w:type="auto"/>
            <w:tcMar>
              <w:top w:w="15" w:type="dxa"/>
              <w:left w:w="15" w:type="dxa"/>
              <w:bottom w:w="15" w:type="dxa"/>
              <w:right w:w="15" w:type="dxa"/>
            </w:tcMar>
            <w:vAlign w:val="center"/>
            <w:hideMark/>
          </w:tcPr>
          <w:p w:rsidR="007A6C1B" w:rsidRDefault="007A6C1B" w:rsidP="00960B55">
            <w:r>
              <w:t>Hasta 5 horas</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Entradas y salidas</w:t>
            </w:r>
          </w:p>
        </w:tc>
        <w:tc>
          <w:tcPr>
            <w:tcW w:w="0" w:type="auto"/>
            <w:tcMar>
              <w:top w:w="15" w:type="dxa"/>
              <w:left w:w="15" w:type="dxa"/>
              <w:bottom w:w="15" w:type="dxa"/>
              <w:right w:w="15" w:type="dxa"/>
            </w:tcMar>
            <w:vAlign w:val="center"/>
            <w:hideMark/>
          </w:tcPr>
          <w:p w:rsidR="007A6C1B" w:rsidRDefault="007A6C1B" w:rsidP="00960B55">
            <w:r>
              <w:t>Conector de Dock de 30 clavijas, auriculares estéreo de 3,5 mm, altavoz integrado y micrófono (adaptador HDMI opcional)</w:t>
            </w:r>
          </w:p>
        </w:tc>
        <w:tc>
          <w:tcPr>
            <w:tcW w:w="0" w:type="auto"/>
            <w:shd w:val="clear" w:color="auto" w:fill="C6FF00"/>
            <w:tcMar>
              <w:top w:w="15" w:type="dxa"/>
              <w:left w:w="15" w:type="dxa"/>
              <w:bottom w:w="15" w:type="dxa"/>
              <w:right w:w="15" w:type="dxa"/>
            </w:tcMar>
            <w:vAlign w:val="center"/>
            <w:hideMark/>
          </w:tcPr>
          <w:p w:rsidR="007A6C1B" w:rsidRDefault="007A6C1B" w:rsidP="00960B55">
            <w:r>
              <w:t>Conectores MicroUSB y MicroHDMI, auriculares estéreo de 3,5 mm, altavoz integrado y micrófono</w:t>
            </w:r>
          </w:p>
        </w:tc>
        <w:tc>
          <w:tcPr>
            <w:tcW w:w="0" w:type="auto"/>
            <w:tcMar>
              <w:top w:w="15" w:type="dxa"/>
              <w:left w:w="15" w:type="dxa"/>
              <w:bottom w:w="15" w:type="dxa"/>
              <w:right w:w="15" w:type="dxa"/>
            </w:tcMar>
            <w:vAlign w:val="center"/>
            <w:hideMark/>
          </w:tcPr>
          <w:p w:rsidR="007A6C1B" w:rsidRDefault="007A6C1B" w:rsidP="00960B55">
            <w:r>
              <w:t>Conector MicroUSB, auriculares estéreo de 3,5 mm, altavoz integrado y micrófono</w:t>
            </w:r>
          </w:p>
        </w:tc>
        <w:tc>
          <w:tcPr>
            <w:tcW w:w="0" w:type="auto"/>
            <w:shd w:val="clear" w:color="auto" w:fill="C6FF00"/>
            <w:tcMar>
              <w:top w:w="15" w:type="dxa"/>
              <w:left w:w="15" w:type="dxa"/>
              <w:bottom w:w="15" w:type="dxa"/>
              <w:right w:w="15" w:type="dxa"/>
            </w:tcMar>
            <w:vAlign w:val="center"/>
            <w:hideMark/>
          </w:tcPr>
          <w:p w:rsidR="007A6C1B" w:rsidRDefault="007A6C1B" w:rsidP="00960B55">
            <w:r>
              <w:t>Conectores MicroUSB y MicroHDMI, auriculares estéreo de 3,5 mm, altavoz integrado y micrófono</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Sistema operativo</w:t>
            </w:r>
          </w:p>
        </w:tc>
        <w:tc>
          <w:tcPr>
            <w:tcW w:w="0" w:type="auto"/>
            <w:tcMar>
              <w:top w:w="15" w:type="dxa"/>
              <w:left w:w="15" w:type="dxa"/>
              <w:bottom w:w="15" w:type="dxa"/>
              <w:right w:w="15" w:type="dxa"/>
            </w:tcMar>
            <w:vAlign w:val="center"/>
            <w:hideMark/>
          </w:tcPr>
          <w:p w:rsidR="007A6C1B" w:rsidRDefault="007A6C1B" w:rsidP="00960B55">
            <w:r>
              <w:t>iOS 4.3</w:t>
            </w:r>
          </w:p>
        </w:tc>
        <w:tc>
          <w:tcPr>
            <w:tcW w:w="0" w:type="auto"/>
            <w:tcMar>
              <w:top w:w="15" w:type="dxa"/>
              <w:left w:w="15" w:type="dxa"/>
              <w:bottom w:w="15" w:type="dxa"/>
              <w:right w:w="15" w:type="dxa"/>
            </w:tcMar>
            <w:vAlign w:val="center"/>
            <w:hideMark/>
          </w:tcPr>
          <w:p w:rsidR="007A6C1B" w:rsidRDefault="007A6C1B" w:rsidP="00960B55">
            <w:r>
              <w:t>Android 3.0</w:t>
            </w:r>
          </w:p>
        </w:tc>
        <w:tc>
          <w:tcPr>
            <w:tcW w:w="0" w:type="auto"/>
            <w:tcMar>
              <w:top w:w="15" w:type="dxa"/>
              <w:left w:w="15" w:type="dxa"/>
              <w:bottom w:w="15" w:type="dxa"/>
              <w:right w:w="15" w:type="dxa"/>
            </w:tcMar>
            <w:vAlign w:val="center"/>
            <w:hideMark/>
          </w:tcPr>
          <w:p w:rsidR="007A6C1B" w:rsidRDefault="007A6C1B" w:rsidP="00960B55">
            <w:r>
              <w:t>webOS</w:t>
            </w:r>
          </w:p>
        </w:tc>
        <w:tc>
          <w:tcPr>
            <w:tcW w:w="0" w:type="auto"/>
            <w:tcMar>
              <w:top w:w="15" w:type="dxa"/>
              <w:left w:w="15" w:type="dxa"/>
              <w:bottom w:w="15" w:type="dxa"/>
              <w:right w:w="15" w:type="dxa"/>
            </w:tcMar>
            <w:vAlign w:val="center"/>
            <w:hideMark/>
          </w:tcPr>
          <w:p w:rsidR="007A6C1B" w:rsidRDefault="007A6C1B" w:rsidP="00960B55">
            <w:r>
              <w:t>BlackBerry Tablet OS (QNX)</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 xml:space="preserve">Aplicaciones </w:t>
            </w:r>
            <w:r>
              <w:rPr>
                <w:b/>
                <w:bCs/>
              </w:rPr>
              <w:lastRenderedPageBreak/>
              <w:t>específicas</w:t>
            </w:r>
          </w:p>
        </w:tc>
        <w:tc>
          <w:tcPr>
            <w:tcW w:w="0" w:type="auto"/>
            <w:shd w:val="clear" w:color="auto" w:fill="C6FF00"/>
            <w:tcMar>
              <w:top w:w="15" w:type="dxa"/>
              <w:left w:w="15" w:type="dxa"/>
              <w:bottom w:w="15" w:type="dxa"/>
              <w:right w:w="15" w:type="dxa"/>
            </w:tcMar>
            <w:vAlign w:val="center"/>
            <w:hideMark/>
          </w:tcPr>
          <w:p w:rsidR="007A6C1B" w:rsidRDefault="007A6C1B" w:rsidP="00960B55">
            <w:r>
              <w:lastRenderedPageBreak/>
              <w:t>65.000 aplicaciones</w:t>
            </w:r>
          </w:p>
        </w:tc>
        <w:tc>
          <w:tcPr>
            <w:tcW w:w="0" w:type="auto"/>
            <w:tcMar>
              <w:top w:w="15" w:type="dxa"/>
              <w:left w:w="15" w:type="dxa"/>
              <w:bottom w:w="15" w:type="dxa"/>
              <w:right w:w="15" w:type="dxa"/>
            </w:tcMar>
            <w:vAlign w:val="center"/>
            <w:hideMark/>
          </w:tcPr>
          <w:p w:rsidR="007A6C1B" w:rsidRDefault="007A6C1B" w:rsidP="00960B55">
            <w:r>
              <w:t>Menos de 20</w:t>
            </w:r>
          </w:p>
        </w:tc>
        <w:tc>
          <w:tcPr>
            <w:tcW w:w="0" w:type="auto"/>
            <w:tcMar>
              <w:top w:w="15" w:type="dxa"/>
              <w:left w:w="15" w:type="dxa"/>
              <w:bottom w:w="15" w:type="dxa"/>
              <w:right w:w="15" w:type="dxa"/>
            </w:tcMar>
            <w:vAlign w:val="center"/>
            <w:hideMark/>
          </w:tcPr>
          <w:p w:rsidR="007A6C1B" w:rsidRDefault="007A6C1B" w:rsidP="00960B55">
            <w:r>
              <w:t>Desconocido, sin presencia actual</w:t>
            </w:r>
          </w:p>
        </w:tc>
        <w:tc>
          <w:tcPr>
            <w:tcW w:w="0" w:type="auto"/>
            <w:tcMar>
              <w:top w:w="15" w:type="dxa"/>
              <w:left w:w="15" w:type="dxa"/>
              <w:bottom w:w="15" w:type="dxa"/>
              <w:right w:w="15" w:type="dxa"/>
            </w:tcMar>
            <w:vAlign w:val="center"/>
            <w:hideMark/>
          </w:tcPr>
          <w:p w:rsidR="007A6C1B" w:rsidRDefault="007A6C1B" w:rsidP="00960B55">
            <w:r>
              <w:t>Desconocido, sin presencia actual</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lastRenderedPageBreak/>
              <w:t>Dimensiones (alto x ancho)</w:t>
            </w:r>
          </w:p>
        </w:tc>
        <w:tc>
          <w:tcPr>
            <w:tcW w:w="0" w:type="auto"/>
            <w:tcMar>
              <w:top w:w="15" w:type="dxa"/>
              <w:left w:w="15" w:type="dxa"/>
              <w:bottom w:w="15" w:type="dxa"/>
              <w:right w:w="15" w:type="dxa"/>
            </w:tcMar>
            <w:vAlign w:val="center"/>
            <w:hideMark/>
          </w:tcPr>
          <w:p w:rsidR="007A6C1B" w:rsidRDefault="007A6C1B" w:rsidP="00960B55">
            <w:r>
              <w:t>24,12 × 18,57 cm</w:t>
            </w:r>
          </w:p>
        </w:tc>
        <w:tc>
          <w:tcPr>
            <w:tcW w:w="0" w:type="auto"/>
            <w:tcMar>
              <w:top w:w="15" w:type="dxa"/>
              <w:left w:w="15" w:type="dxa"/>
              <w:bottom w:w="15" w:type="dxa"/>
              <w:right w:w="15" w:type="dxa"/>
            </w:tcMar>
            <w:vAlign w:val="center"/>
            <w:hideMark/>
          </w:tcPr>
          <w:p w:rsidR="007A6C1B" w:rsidRDefault="007A6C1B" w:rsidP="00960B55">
            <w:r>
              <w:t>25 × 17 cm</w:t>
            </w:r>
          </w:p>
        </w:tc>
        <w:tc>
          <w:tcPr>
            <w:tcW w:w="0" w:type="auto"/>
            <w:tcMar>
              <w:top w:w="15" w:type="dxa"/>
              <w:left w:w="15" w:type="dxa"/>
              <w:bottom w:w="15" w:type="dxa"/>
              <w:right w:w="15" w:type="dxa"/>
            </w:tcMar>
            <w:vAlign w:val="center"/>
            <w:hideMark/>
          </w:tcPr>
          <w:p w:rsidR="007A6C1B" w:rsidRDefault="007A6C1B" w:rsidP="00960B55">
            <w:r>
              <w:t>24 × 19 cm</w:t>
            </w:r>
          </w:p>
        </w:tc>
        <w:tc>
          <w:tcPr>
            <w:tcW w:w="0" w:type="auto"/>
            <w:tcMar>
              <w:top w:w="15" w:type="dxa"/>
              <w:left w:w="15" w:type="dxa"/>
              <w:bottom w:w="15" w:type="dxa"/>
              <w:right w:w="15" w:type="dxa"/>
            </w:tcMar>
            <w:vAlign w:val="center"/>
            <w:hideMark/>
          </w:tcPr>
          <w:p w:rsidR="007A6C1B" w:rsidRDefault="007A6C1B" w:rsidP="00960B55">
            <w:r>
              <w:t>19,4 × 13 cm</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Dimensiones (grosor)</w:t>
            </w:r>
          </w:p>
        </w:tc>
        <w:tc>
          <w:tcPr>
            <w:tcW w:w="0" w:type="auto"/>
            <w:shd w:val="clear" w:color="auto" w:fill="C6FF00"/>
            <w:tcMar>
              <w:top w:w="15" w:type="dxa"/>
              <w:left w:w="15" w:type="dxa"/>
              <w:bottom w:w="15" w:type="dxa"/>
              <w:right w:w="15" w:type="dxa"/>
            </w:tcMar>
            <w:vAlign w:val="center"/>
            <w:hideMark/>
          </w:tcPr>
          <w:p w:rsidR="007A6C1B" w:rsidRDefault="007A6C1B" w:rsidP="00960B55">
            <w:r>
              <w:t>0,88 cm</w:t>
            </w:r>
          </w:p>
        </w:tc>
        <w:tc>
          <w:tcPr>
            <w:tcW w:w="0" w:type="auto"/>
            <w:tcMar>
              <w:top w:w="15" w:type="dxa"/>
              <w:left w:w="15" w:type="dxa"/>
              <w:bottom w:w="15" w:type="dxa"/>
              <w:right w:w="15" w:type="dxa"/>
            </w:tcMar>
            <w:vAlign w:val="center"/>
            <w:hideMark/>
          </w:tcPr>
          <w:p w:rsidR="007A6C1B" w:rsidRDefault="007A6C1B" w:rsidP="00960B55">
            <w:r>
              <w:t>1,29 cm</w:t>
            </w:r>
          </w:p>
        </w:tc>
        <w:tc>
          <w:tcPr>
            <w:tcW w:w="0" w:type="auto"/>
            <w:tcMar>
              <w:top w:w="15" w:type="dxa"/>
              <w:left w:w="15" w:type="dxa"/>
              <w:bottom w:w="15" w:type="dxa"/>
              <w:right w:w="15" w:type="dxa"/>
            </w:tcMar>
            <w:vAlign w:val="center"/>
            <w:hideMark/>
          </w:tcPr>
          <w:p w:rsidR="007A6C1B" w:rsidRDefault="007A6C1B" w:rsidP="00960B55">
            <w:r>
              <w:t>1,37 cm</w:t>
            </w:r>
          </w:p>
        </w:tc>
        <w:tc>
          <w:tcPr>
            <w:tcW w:w="0" w:type="auto"/>
            <w:tcMar>
              <w:top w:w="15" w:type="dxa"/>
              <w:left w:w="15" w:type="dxa"/>
              <w:bottom w:w="15" w:type="dxa"/>
              <w:right w:w="15" w:type="dxa"/>
            </w:tcMar>
            <w:vAlign w:val="center"/>
            <w:hideMark/>
          </w:tcPr>
          <w:p w:rsidR="007A6C1B" w:rsidRDefault="007A6C1B" w:rsidP="00960B55">
            <w:r>
              <w:t>1 cm</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Peso</w:t>
            </w:r>
          </w:p>
        </w:tc>
        <w:tc>
          <w:tcPr>
            <w:tcW w:w="0" w:type="auto"/>
            <w:shd w:val="clear" w:color="auto" w:fill="C6FF00"/>
            <w:tcMar>
              <w:top w:w="15" w:type="dxa"/>
              <w:left w:w="15" w:type="dxa"/>
              <w:bottom w:w="15" w:type="dxa"/>
              <w:right w:w="15" w:type="dxa"/>
            </w:tcMar>
            <w:vAlign w:val="center"/>
            <w:hideMark/>
          </w:tcPr>
          <w:p w:rsidR="007A6C1B" w:rsidRDefault="007A6C1B" w:rsidP="00960B55">
            <w:r>
              <w:t>601 / 613 gramos (modelo 3G)</w:t>
            </w:r>
          </w:p>
        </w:tc>
        <w:tc>
          <w:tcPr>
            <w:tcW w:w="0" w:type="auto"/>
            <w:tcMar>
              <w:top w:w="15" w:type="dxa"/>
              <w:left w:w="15" w:type="dxa"/>
              <w:bottom w:w="15" w:type="dxa"/>
              <w:right w:w="15" w:type="dxa"/>
            </w:tcMar>
            <w:vAlign w:val="center"/>
            <w:hideMark/>
          </w:tcPr>
          <w:p w:rsidR="007A6C1B" w:rsidRDefault="007A6C1B" w:rsidP="00960B55">
            <w:r>
              <w:t>730 gramos</w:t>
            </w:r>
          </w:p>
        </w:tc>
        <w:tc>
          <w:tcPr>
            <w:tcW w:w="0" w:type="auto"/>
            <w:tcMar>
              <w:top w:w="15" w:type="dxa"/>
              <w:left w:w="15" w:type="dxa"/>
              <w:bottom w:w="15" w:type="dxa"/>
              <w:right w:w="15" w:type="dxa"/>
            </w:tcMar>
            <w:vAlign w:val="center"/>
            <w:hideMark/>
          </w:tcPr>
          <w:p w:rsidR="007A6C1B" w:rsidRDefault="007A6C1B" w:rsidP="00960B55">
            <w:r>
              <w:t>740 gramos</w:t>
            </w:r>
          </w:p>
        </w:tc>
        <w:tc>
          <w:tcPr>
            <w:tcW w:w="0" w:type="auto"/>
            <w:shd w:val="clear" w:color="auto" w:fill="C6FF00"/>
            <w:tcMar>
              <w:top w:w="15" w:type="dxa"/>
              <w:left w:w="15" w:type="dxa"/>
              <w:bottom w:w="15" w:type="dxa"/>
              <w:right w:w="15" w:type="dxa"/>
            </w:tcMar>
            <w:vAlign w:val="center"/>
            <w:hideMark/>
          </w:tcPr>
          <w:p w:rsidR="007A6C1B" w:rsidRDefault="007A6C1B" w:rsidP="00960B55">
            <w:r>
              <w:t>425 gramos</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Precio</w:t>
            </w:r>
          </w:p>
        </w:tc>
        <w:tc>
          <w:tcPr>
            <w:tcW w:w="0" w:type="auto"/>
            <w:shd w:val="clear" w:color="auto" w:fill="C6FF00"/>
            <w:tcMar>
              <w:top w:w="15" w:type="dxa"/>
              <w:left w:w="15" w:type="dxa"/>
              <w:bottom w:w="15" w:type="dxa"/>
              <w:right w:w="15" w:type="dxa"/>
            </w:tcMar>
            <w:vAlign w:val="center"/>
            <w:hideMark/>
          </w:tcPr>
          <w:p w:rsidR="007A6C1B" w:rsidRDefault="007A6C1B" w:rsidP="00960B55">
            <w:r>
              <w:t>Desde 499 dólares (479 euros)</w:t>
            </w:r>
          </w:p>
        </w:tc>
        <w:tc>
          <w:tcPr>
            <w:tcW w:w="0" w:type="auto"/>
            <w:tcMar>
              <w:top w:w="15" w:type="dxa"/>
              <w:left w:w="15" w:type="dxa"/>
              <w:bottom w:w="15" w:type="dxa"/>
              <w:right w:w="15" w:type="dxa"/>
            </w:tcMar>
            <w:vAlign w:val="center"/>
            <w:hideMark/>
          </w:tcPr>
          <w:p w:rsidR="007A6C1B" w:rsidRDefault="007A6C1B" w:rsidP="00960B55">
            <w:r>
              <w:t>Desde 599 dólares</w:t>
            </w:r>
          </w:p>
        </w:tc>
        <w:tc>
          <w:tcPr>
            <w:tcW w:w="0" w:type="auto"/>
            <w:tcMar>
              <w:top w:w="15" w:type="dxa"/>
              <w:left w:w="15" w:type="dxa"/>
              <w:bottom w:w="15" w:type="dxa"/>
              <w:right w:w="15" w:type="dxa"/>
            </w:tcMar>
            <w:vAlign w:val="center"/>
            <w:hideMark/>
          </w:tcPr>
          <w:p w:rsidR="007A6C1B" w:rsidRDefault="007A6C1B" w:rsidP="00960B55">
            <w:r>
              <w:t>Desde 699 dólares</w:t>
            </w:r>
          </w:p>
        </w:tc>
        <w:tc>
          <w:tcPr>
            <w:tcW w:w="0" w:type="auto"/>
            <w:shd w:val="clear" w:color="auto" w:fill="C6FF00"/>
            <w:tcMar>
              <w:top w:w="15" w:type="dxa"/>
              <w:left w:w="15" w:type="dxa"/>
              <w:bottom w:w="15" w:type="dxa"/>
              <w:right w:w="15" w:type="dxa"/>
            </w:tcMar>
            <w:vAlign w:val="center"/>
            <w:hideMark/>
          </w:tcPr>
          <w:p w:rsidR="007A6C1B" w:rsidRDefault="007A6C1B" w:rsidP="00960B55">
            <w:r>
              <w:t>Desde 499 dólares</w:t>
            </w:r>
          </w:p>
        </w:tc>
      </w:tr>
      <w:tr w:rsidR="007A6C1B" w:rsidTr="00960B55">
        <w:trPr>
          <w:tblCellSpacing w:w="15" w:type="dxa"/>
        </w:trPr>
        <w:tc>
          <w:tcPr>
            <w:tcW w:w="0" w:type="auto"/>
            <w:shd w:val="clear" w:color="auto" w:fill="CCCCFF"/>
            <w:tcMar>
              <w:top w:w="15" w:type="dxa"/>
              <w:left w:w="15" w:type="dxa"/>
              <w:bottom w:w="15" w:type="dxa"/>
              <w:right w:w="15" w:type="dxa"/>
            </w:tcMar>
            <w:vAlign w:val="center"/>
            <w:hideMark/>
          </w:tcPr>
          <w:p w:rsidR="007A6C1B" w:rsidRDefault="007A6C1B" w:rsidP="00960B55">
            <w:pPr>
              <w:jc w:val="center"/>
              <w:rPr>
                <w:b/>
                <w:bCs/>
              </w:rPr>
            </w:pPr>
            <w:r>
              <w:rPr>
                <w:b/>
                <w:bCs/>
              </w:rPr>
              <w:t>Disponibilidad</w:t>
            </w:r>
          </w:p>
        </w:tc>
        <w:tc>
          <w:tcPr>
            <w:tcW w:w="0" w:type="auto"/>
            <w:shd w:val="clear" w:color="auto" w:fill="C6FF00"/>
            <w:tcMar>
              <w:top w:w="15" w:type="dxa"/>
              <w:left w:w="15" w:type="dxa"/>
              <w:bottom w:w="15" w:type="dxa"/>
              <w:right w:w="15" w:type="dxa"/>
            </w:tcMar>
            <w:vAlign w:val="center"/>
            <w:hideMark/>
          </w:tcPr>
          <w:p w:rsidR="007A6C1B" w:rsidRDefault="007A6C1B" w:rsidP="00960B55">
            <w:r>
              <w:t>11 de marzo (25 en España)</w:t>
            </w:r>
          </w:p>
        </w:tc>
        <w:tc>
          <w:tcPr>
            <w:tcW w:w="0" w:type="auto"/>
            <w:tcMar>
              <w:top w:w="15" w:type="dxa"/>
              <w:left w:w="15" w:type="dxa"/>
              <w:bottom w:w="15" w:type="dxa"/>
              <w:right w:w="15" w:type="dxa"/>
            </w:tcMar>
            <w:vAlign w:val="center"/>
            <w:hideMark/>
          </w:tcPr>
          <w:p w:rsidR="007A6C1B" w:rsidRDefault="007A6C1B" w:rsidP="00960B55">
            <w:r>
              <w:t xml:space="preserve">24 de febrero (2º trimestre en España) </w:t>
            </w:r>
          </w:p>
        </w:tc>
        <w:tc>
          <w:tcPr>
            <w:tcW w:w="0" w:type="auto"/>
            <w:tcMar>
              <w:top w:w="15" w:type="dxa"/>
              <w:left w:w="15" w:type="dxa"/>
              <w:bottom w:w="15" w:type="dxa"/>
              <w:right w:w="15" w:type="dxa"/>
            </w:tcMar>
            <w:vAlign w:val="center"/>
            <w:hideMark/>
          </w:tcPr>
          <w:p w:rsidR="007A6C1B" w:rsidRDefault="007A6C1B" w:rsidP="00960B55">
            <w:r>
              <w:t>Verano 2011 (¿España?)</w:t>
            </w:r>
          </w:p>
        </w:tc>
        <w:tc>
          <w:tcPr>
            <w:tcW w:w="0" w:type="auto"/>
            <w:tcMar>
              <w:top w:w="15" w:type="dxa"/>
              <w:left w:w="15" w:type="dxa"/>
              <w:bottom w:w="15" w:type="dxa"/>
              <w:right w:w="15" w:type="dxa"/>
            </w:tcMar>
            <w:vAlign w:val="center"/>
            <w:hideMark/>
          </w:tcPr>
          <w:p w:rsidR="007A6C1B" w:rsidRDefault="007A6C1B" w:rsidP="00960B55">
            <w:r>
              <w:t>10 de abril (meses después en España)</w:t>
            </w:r>
          </w:p>
        </w:tc>
      </w:tr>
    </w:tbl>
    <w:p w:rsidR="007A6C1B" w:rsidRDefault="007A6C1B" w:rsidP="007A6C1B">
      <w:pPr>
        <w:jc w:val="both"/>
        <w:rPr>
          <w:u w:val="single"/>
        </w:rPr>
      </w:pPr>
    </w:p>
    <w:p w:rsidR="007A6C1B" w:rsidRPr="00CD3222" w:rsidRDefault="007A6C1B" w:rsidP="00FD5E9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Y diréis, ¿dónde está el Galaxy Tab 10.1? Bueno, hagamos un ejercicio mental en favor del ancho máximo de la tabla e imaginemos que donde pone Motorola Xoom, en realidad dice Galaxy Tab 10.1. Ambos tablets (y buena parte de los modelos con Android 3.0 HoneyComb presentados hasta la fecha) comparten un diseño y prestaciones muy similares que en este caso tan solo se diferencian en que el Galaxy Tab es algo más ligero (600 gramos), carece de salida micro HDMI y cuenta con una cámara trasera de 8 megapíxeles con grabación de vídeo a 1080p. El Tab se pondrá a la venta este mismo mes de marzo de la mano de Vodafone en versiones de 16 y 32 GB.</w:t>
      </w:r>
    </w:p>
    <w:p w:rsidR="007A6C1B" w:rsidRPr="00CD3222" w:rsidRDefault="007A6C1B" w:rsidP="007A6C1B">
      <w:pPr>
        <w:jc w:val="both"/>
        <w:rPr>
          <w:rFonts w:ascii="Times New Roman" w:hAnsi="Times New Roman" w:cs="Times New Roman"/>
          <w:sz w:val="24"/>
          <w:szCs w:val="24"/>
        </w:rPr>
      </w:pPr>
      <w:r w:rsidRPr="00CD3222">
        <w:rPr>
          <w:rFonts w:ascii="Times New Roman" w:hAnsi="Times New Roman" w:cs="Times New Roman"/>
          <w:sz w:val="24"/>
          <w:szCs w:val="24"/>
        </w:rPr>
        <w:t xml:space="preserve">- </w:t>
      </w:r>
      <w:r w:rsidRPr="00CD3222">
        <w:rPr>
          <w:rFonts w:ascii="Times New Roman" w:hAnsi="Times New Roman" w:cs="Times New Roman"/>
          <w:sz w:val="24"/>
          <w:szCs w:val="24"/>
          <w:u w:val="single"/>
        </w:rPr>
        <w:t>Niños adictos a la Blackberry</w:t>
      </w:r>
      <w:r w:rsidRPr="00CD3222">
        <w:rPr>
          <w:rFonts w:ascii="Times New Roman" w:hAnsi="Times New Roman" w:cs="Times New Roman"/>
          <w:sz w:val="24"/>
          <w:szCs w:val="24"/>
        </w:rPr>
        <w:t xml:space="preserve"> (El Confidencial - </w:t>
      </w:r>
      <w:r w:rsidRPr="00CD3222">
        <w:rPr>
          <w:rFonts w:ascii="Times New Roman" w:hAnsi="Times New Roman" w:cs="Times New Roman"/>
          <w:b/>
          <w:sz w:val="24"/>
          <w:szCs w:val="24"/>
        </w:rPr>
        <w:t>17/9/11</w:t>
      </w:r>
      <w:r w:rsidRPr="00CD3222">
        <w:rPr>
          <w:rFonts w:ascii="Times New Roman" w:hAnsi="Times New Roman" w:cs="Times New Roman"/>
          <w:sz w:val="24"/>
          <w:szCs w:val="24"/>
        </w:rPr>
        <w:t>)</w:t>
      </w:r>
    </w:p>
    <w:p w:rsidR="007A6C1B" w:rsidRDefault="007A6C1B" w:rsidP="007A6C1B">
      <w:pPr>
        <w:pStyle w:val="centro-texto-notis"/>
        <w:jc w:val="both"/>
      </w:pPr>
      <w:r>
        <w:rPr>
          <w:rStyle w:val="firma-negra-grande"/>
        </w:rPr>
        <w:t>(Por Marta Matute</w:t>
      </w:r>
      <w:r>
        <w:rPr>
          <w:rStyle w:val="hora-publi"/>
        </w:rPr>
        <w:t>)</w:t>
      </w:r>
    </w:p>
    <w:p w:rsidR="007A6C1B" w:rsidRDefault="007A6C1B" w:rsidP="007A6C1B">
      <w:pPr>
        <w:pStyle w:val="NormalWeb"/>
        <w:jc w:val="both"/>
        <w:rPr>
          <w:color w:val="FF0000"/>
          <w:u w:val="single"/>
        </w:rPr>
      </w:pPr>
      <w:r>
        <w:rPr>
          <w:color w:val="FF0000"/>
          <w:u w:val="single"/>
        </w:rPr>
        <w:t xml:space="preserve">Reunión estival. Un grupo de padres parlotea amigablemente en una terraza de la capital madrileña. Charlan de lo divino y de lo humano, y picotean. Mientras, sus retoños, preadolescentes de doce y trece años, se agrupan en unos bancos cercanos y juegan en silencio. Cada uno con él mismo, o mejor dicho, con su Blackberry. Sin levantar la cabeza. Sin mediar palabra. Casi sin respirar. Vamos, que si </w:t>
      </w:r>
      <w:r>
        <w:rPr>
          <w:rStyle w:val="Textoennegrita"/>
          <w:b w:val="0"/>
          <w:color w:val="FF0000"/>
          <w:u w:val="single"/>
        </w:rPr>
        <w:t>Gurb</w:t>
      </w:r>
      <w:r>
        <w:rPr>
          <w:rStyle w:val="Textoennegrita"/>
          <w:color w:val="FF0000"/>
          <w:u w:val="single"/>
        </w:rPr>
        <w:t xml:space="preserve"> </w:t>
      </w:r>
      <w:r>
        <w:rPr>
          <w:color w:val="FF0000"/>
          <w:u w:val="single"/>
        </w:rPr>
        <w:t xml:space="preserve">observase la escena no tendría la menor duda: estos niños han sido abducidos por una máquina, diría. Así de claro. </w:t>
      </w:r>
    </w:p>
    <w:p w:rsidR="007A6C1B" w:rsidRDefault="007A6C1B" w:rsidP="007A6C1B">
      <w:pPr>
        <w:pStyle w:val="NormalWeb"/>
        <w:jc w:val="both"/>
        <w:rPr>
          <w:color w:val="FF0000"/>
          <w:u w:val="single"/>
        </w:rPr>
      </w:pPr>
      <w:r>
        <w:rPr>
          <w:u w:val="single"/>
        </w:rPr>
        <w:t>Blackberry, hasta hace muy poco un artilugio electrónico en franca decadencia comercial, disfruta hoy de una segunda vida gracias al entusiasmo de los preadolescentes españoles, que se pirran por su posesión</w:t>
      </w:r>
      <w:r>
        <w:t xml:space="preserve">. Los </w:t>
      </w:r>
      <w:r>
        <w:rPr>
          <w:rStyle w:val="nfasis"/>
        </w:rPr>
        <w:t>chicos BB</w:t>
      </w:r>
      <w:r>
        <w:t xml:space="preserve">, como se autodenominan orgullosos </w:t>
      </w:r>
      <w:r>
        <w:rPr>
          <w:color w:val="FF0000"/>
          <w:u w:val="single"/>
        </w:rPr>
        <w:t xml:space="preserve">estos chavales, son ciudadanos en pleno desarrollo físico e intelectual </w:t>
      </w:r>
      <w:r>
        <w:rPr>
          <w:rStyle w:val="Textoennegrita"/>
          <w:color w:val="FF0000"/>
          <w:u w:val="single"/>
        </w:rPr>
        <w:t xml:space="preserve">“enganchados” a un terminal, que es móvil y ordenador a la vez, </w:t>
      </w:r>
      <w:r>
        <w:rPr>
          <w:color w:val="FF0000"/>
          <w:u w:val="single"/>
        </w:rPr>
        <w:t xml:space="preserve">y la puerta de acceso a las redes sociales. Aunque se reúnan, queden y estén juntos, esta </w:t>
      </w:r>
      <w:r>
        <w:rPr>
          <w:color w:val="FF0000"/>
          <w:u w:val="single"/>
        </w:rPr>
        <w:lastRenderedPageBreak/>
        <w:t xml:space="preserve">generación, que siempre lleva su BB encima, prefiere “chatear” a charlar: pasa su tiempo hablando a través de mensajes, como si fueran jóvenes mudos. </w:t>
      </w:r>
    </w:p>
    <w:p w:rsidR="007A6C1B" w:rsidRDefault="007A6C1B" w:rsidP="007A6C1B">
      <w:pPr>
        <w:pStyle w:val="NormalWeb"/>
        <w:jc w:val="both"/>
        <w:rPr>
          <w:u w:val="single"/>
        </w:rPr>
      </w:pPr>
      <w:r>
        <w:rPr>
          <w:u w:val="single"/>
        </w:rPr>
        <w:t xml:space="preserve">El psiquiatra </w:t>
      </w:r>
      <w:r>
        <w:rPr>
          <w:rStyle w:val="Textoennegrita"/>
          <w:b w:val="0"/>
          <w:u w:val="single"/>
        </w:rPr>
        <w:t>José Luis Pedreira</w:t>
      </w:r>
      <w:r>
        <w:rPr>
          <w:rStyle w:val="Textoennegrita"/>
          <w:u w:val="single"/>
        </w:rPr>
        <w:t>,</w:t>
      </w:r>
      <w:r>
        <w:rPr>
          <w:u w:val="single"/>
        </w:rPr>
        <w:t xml:space="preserve"> médico del Hospital Niño Jesús, de Madrid, es contundente: </w:t>
      </w:r>
      <w:r>
        <w:rPr>
          <w:rStyle w:val="Textoennegrita"/>
          <w:u w:val="single"/>
        </w:rPr>
        <w:t xml:space="preserve">los menores de 16 </w:t>
      </w:r>
      <w:r w:rsidR="00A73AE0">
        <w:rPr>
          <w:rStyle w:val="Textoennegrita"/>
          <w:u w:val="single"/>
        </w:rPr>
        <w:t>o</w:t>
      </w:r>
      <w:r>
        <w:rPr>
          <w:rStyle w:val="Textoennegrita"/>
          <w:u w:val="single"/>
        </w:rPr>
        <w:t xml:space="preserve"> 17 años no deberían poseer una Blackberry</w:t>
      </w:r>
      <w:r>
        <w:t xml:space="preserve">. </w:t>
      </w:r>
      <w:r>
        <w:rPr>
          <w:u w:val="single"/>
        </w:rPr>
        <w:t>“La línea que separa un simple hábito de consumo de la dependencia psicológica es muy delgada. Los síntomas de la sumisión no aparecen de repente y dan una subclínica latente que los padres incautos a veces minimizan. Son, sin quererlo, verdaderos cómplices de las casas comerciales”, advierte.</w:t>
      </w:r>
    </w:p>
    <w:p w:rsidR="007A6C1B" w:rsidRDefault="007A6C1B" w:rsidP="007A6C1B">
      <w:pPr>
        <w:pStyle w:val="NormalWeb"/>
        <w:jc w:val="both"/>
        <w:rPr>
          <w:u w:val="single"/>
        </w:rPr>
      </w:pPr>
      <w:r>
        <w:rPr>
          <w:u w:val="single"/>
        </w:rPr>
        <w:t>Los psiquiatras y psicólogos se dividen en tecnófobos y tecnófilos. Los primeros, sólo ven el lado oscuro del invento: aislamiento, acoso, descontrol y pérdida de identidad. Los segundos, se apuntan a los tiempos que corren: estos dispositivos potencian ciertas habilidades cognitivas, como la rapidez a la hora de tomar decisiones. El pensamiento se hace más operativo.</w:t>
      </w:r>
    </w:p>
    <w:p w:rsidR="007A6C1B" w:rsidRDefault="007A6C1B" w:rsidP="007A6C1B">
      <w:pPr>
        <w:pStyle w:val="NormalWeb"/>
        <w:jc w:val="both"/>
      </w:pPr>
      <w:r>
        <w:rPr>
          <w:color w:val="FF0000"/>
          <w:u w:val="single"/>
        </w:rPr>
        <w:t>Pero la alarma salta cuando se pronuncia la palabra maldita: adicción</w:t>
      </w:r>
      <w:r>
        <w:t>. Y es entonces cuando la discusión entre los expertos se hace interminable.</w:t>
      </w:r>
    </w:p>
    <w:p w:rsidR="007A6C1B" w:rsidRDefault="007A6C1B" w:rsidP="007A6C1B">
      <w:pPr>
        <w:pStyle w:val="NormalWeb"/>
        <w:jc w:val="both"/>
        <w:rPr>
          <w:b/>
        </w:rPr>
      </w:pPr>
      <w:r>
        <w:rPr>
          <w:rStyle w:val="Textoennegrita"/>
          <w:b w:val="0"/>
        </w:rPr>
        <w:t>Tecnófobos...</w:t>
      </w:r>
    </w:p>
    <w:p w:rsidR="007A6C1B" w:rsidRDefault="007A6C1B" w:rsidP="007A6C1B">
      <w:pPr>
        <w:pStyle w:val="NormalWeb"/>
        <w:jc w:val="both"/>
      </w:pPr>
      <w:r>
        <w:t xml:space="preserve">Los hay que niegan la mayor, como el doctor </w:t>
      </w:r>
      <w:r>
        <w:rPr>
          <w:rStyle w:val="Textoennegrita"/>
          <w:b w:val="0"/>
        </w:rPr>
        <w:t>Xavier Carbonell</w:t>
      </w:r>
      <w:r>
        <w:t xml:space="preserve">, profesor de Psicología de la Universidad Ramón Llull: “adicción es un término muy serio. No es posible comparar las repercusiones que puede tener en el niño o en el adolescente estar ‘enganchado’ a una maquinita con los problemas que acarrean drogas como la heroína, la cocaína y el alcohol. </w:t>
      </w:r>
      <w:r>
        <w:rPr>
          <w:rStyle w:val="Textoennegrita"/>
          <w:b w:val="0"/>
        </w:rPr>
        <w:t>Una cosa es un mal hábito, que hay que corregir, y otra muy distinta, una dependencia</w:t>
      </w:r>
      <w:r>
        <w:t xml:space="preserve">”. </w:t>
      </w:r>
    </w:p>
    <w:p w:rsidR="007A6C1B" w:rsidRDefault="007A6C1B" w:rsidP="007A6C1B">
      <w:pPr>
        <w:pStyle w:val="NormalWeb"/>
        <w:jc w:val="both"/>
      </w:pPr>
      <w:r>
        <w:t xml:space="preserve">Pero ¿qué ocurre cuando el chaval prefiere la Blackberry a verse con sus amigos, o </w:t>
      </w:r>
      <w:r>
        <w:rPr>
          <w:rStyle w:val="Textoennegrita"/>
          <w:u w:val="single"/>
        </w:rPr>
        <w:t>el adolescente presta más atención a su Iphone que a su novia</w:t>
      </w:r>
      <w:r>
        <w:t xml:space="preserve">, o el joven no rinde en los estudios porque revisa obsesivamente su correo electrónico? </w:t>
      </w:r>
      <w:r>
        <w:rPr>
          <w:rStyle w:val="Textoennegrita"/>
          <w:b w:val="0"/>
        </w:rPr>
        <w:t>Enrique Echeburúa</w:t>
      </w:r>
      <w:r>
        <w:t>, catedrático de Psicología Clínica de la Universidad del País Vasco, no tiene dudas: “pérdida de control y dependencia. Eso es lo que caracteriza a las adicciones. Y aunque resulte difícil de creer, esa pérdida de control y esa dependencia también pueden llegar a darse cuando uno convierte un terminal electrónico en un objeto de deseo y hace que su vida gire alrededor de él”.</w:t>
      </w:r>
    </w:p>
    <w:p w:rsidR="007A6C1B" w:rsidRDefault="007A6C1B" w:rsidP="007A6C1B">
      <w:pPr>
        <w:pStyle w:val="NormalWeb"/>
        <w:jc w:val="both"/>
      </w:pPr>
      <w:r>
        <w:rPr>
          <w:u w:val="single"/>
        </w:rPr>
        <w:t>No son muchos, desde luego. Pero ya se han dado casos de ingresos en las unidades de Psiquiatría Infantil</w:t>
      </w:r>
      <w:r>
        <w:t xml:space="preserve">. El doctor Pedreira relata la historia de uno de sus pacientes, un estudiante de 14 años encadenado a su ordenador: </w:t>
      </w:r>
      <w:r>
        <w:rPr>
          <w:u w:val="single"/>
        </w:rPr>
        <w:t>“</w:t>
      </w:r>
      <w:r>
        <w:rPr>
          <w:rStyle w:val="Textoennegrita"/>
          <w:u w:val="single"/>
        </w:rPr>
        <w:t>Tuvimos que internarlo porque mostraba todos los síntomas físicos de una abstinencia</w:t>
      </w:r>
      <w:r>
        <w:rPr>
          <w:u w:val="single"/>
        </w:rPr>
        <w:t>: ansiedad, irritabilidad, obsesión, insomnio”.</w:t>
      </w:r>
      <w:r>
        <w:t xml:space="preserve"> Muchas veces, el fracaso escolar es la primera señal de alarma de que algo no funciona correctamente. </w:t>
      </w:r>
    </w:p>
    <w:p w:rsidR="007A6C1B" w:rsidRDefault="007A6C1B" w:rsidP="007A6C1B">
      <w:pPr>
        <w:pStyle w:val="NormalWeb"/>
        <w:jc w:val="both"/>
      </w:pPr>
      <w:r>
        <w:t xml:space="preserve">Sin embargo, Carbonell y su equipo de la Ramón Llull, sólo certifican un caso de adicción a las nuevas tecnologías. Y viene de la mano de los juegos de rol en línea. “Entonces sí, </w:t>
      </w:r>
      <w:r>
        <w:rPr>
          <w:u w:val="single"/>
        </w:rPr>
        <w:t xml:space="preserve">a veces se puede producir una suplantación de la personalidad. Ojo, no estoy diciendo que se produzca una esquizofrenia, ni mucho menos. Digo que el individuo puede llegar a preferir la vida del héroe a la suya propia y sentirse más feliz, con las repercusiones personales y sociales que eso conlleva, cuando está sentado en el </w:t>
      </w:r>
      <w:r>
        <w:rPr>
          <w:u w:val="single"/>
        </w:rPr>
        <w:lastRenderedPageBreak/>
        <w:t>ordenador y es el caballero del antifaz. Voy a la vida real a comer, pero enseguida vuelvo a la vida virtual que es la que me satisface y fascina”.</w:t>
      </w:r>
    </w:p>
    <w:p w:rsidR="007A6C1B" w:rsidRDefault="007A6C1B" w:rsidP="007A6C1B">
      <w:pPr>
        <w:pStyle w:val="NormalWeb"/>
        <w:jc w:val="both"/>
      </w:pPr>
      <w:r>
        <w:t xml:space="preserve">Enrique Echeburúa insiste en la tesis de la adicción. Lleva años estudiando los riesgos del abuso de las nuevas tecnologías: “La adicción, con ser el mayor, no es el único problema. Muchas veces se accede a contenidos inapropiados, léase sexuales o violentos, hay acoso y pérdida de intimidad. Además, existe el riesgo de crear una identidad ficticia, potenciada por un factor de engaño, autoengaño o fantasía. Así, por ejemplo, se liga bastante más virtualmente, porque el adolescente se corta menos. Sin embargo, </w:t>
      </w:r>
      <w:r>
        <w:rPr>
          <w:rStyle w:val="Textoennegrita"/>
          <w:u w:val="single"/>
        </w:rPr>
        <w:t>se facilita la confusión entre lo íntimo, lo privado y lo público</w:t>
      </w:r>
      <w:r>
        <w:rPr>
          <w:rStyle w:val="Textoennegrita"/>
        </w:rPr>
        <w:t>,</w:t>
      </w:r>
      <w:r>
        <w:t xml:space="preserve"> y se fomentan conductas histriónicas y narcisistas que deforman la realidad, por ejemplo, alardear del número de amigos agregados”.</w:t>
      </w:r>
    </w:p>
    <w:p w:rsidR="007A6C1B" w:rsidRDefault="007A6C1B" w:rsidP="007A6C1B">
      <w:pPr>
        <w:pStyle w:val="NormalWeb"/>
        <w:jc w:val="both"/>
        <w:rPr>
          <w:b/>
        </w:rPr>
      </w:pPr>
      <w:r>
        <w:rPr>
          <w:rStyle w:val="Textoennegrita"/>
          <w:b w:val="0"/>
        </w:rPr>
        <w:t>...vs. tecnófilos</w:t>
      </w:r>
    </w:p>
    <w:p w:rsidR="007A6C1B" w:rsidRDefault="007A6C1B" w:rsidP="007A6C1B">
      <w:pPr>
        <w:pStyle w:val="NormalWeb"/>
        <w:jc w:val="both"/>
        <w:rPr>
          <w:u w:val="single"/>
        </w:rPr>
      </w:pPr>
      <w:r>
        <w:t xml:space="preserve">En el otro lado, una tecnófila convencida: </w:t>
      </w:r>
      <w:r>
        <w:rPr>
          <w:rStyle w:val="Textoennegrita"/>
          <w:b w:val="0"/>
        </w:rPr>
        <w:t>Gema de Pablo</w:t>
      </w:r>
      <w:r>
        <w:t xml:space="preserve">, socia fundadora y responsable del departamento de Formación de la empresa Jaitek, dedicada al desarrollo de programas tecnológicos en el ámbito de la educación. Para esta psicóloga, </w:t>
      </w:r>
      <w:r>
        <w:rPr>
          <w:u w:val="single"/>
        </w:rPr>
        <w:t xml:space="preserve">las adicciones no caen del cielo. Son la punta del iceberg de un malestar emocional, la manera que el niño tiene de aliviar su soledad, o su aburrimiento. “Si el pequeño tiene una familia y un entorno escolar adecuados, las posibilidades de que se cree una adicción son mínimas. </w:t>
      </w:r>
      <w:r>
        <w:rPr>
          <w:rStyle w:val="Textoennegrita"/>
          <w:u w:val="single"/>
        </w:rPr>
        <w:t>Hay que marcar límites, pero no prohibir</w:t>
      </w:r>
      <w:r>
        <w:rPr>
          <w:u w:val="single"/>
        </w:rPr>
        <w:t xml:space="preserve">. Los jóvenes hoy en día se socializan también a través de este tipo de dispositivos, y eso también hay que entenderlo como suma, no como resta”. </w:t>
      </w:r>
    </w:p>
    <w:p w:rsidR="007A6C1B" w:rsidRDefault="007A6C1B" w:rsidP="007A6C1B">
      <w:pPr>
        <w:pStyle w:val="NormalWeb"/>
        <w:jc w:val="both"/>
      </w:pPr>
      <w:r>
        <w:t>De Pablo aventura un cambio obligatorio en el aprendizaje. “</w:t>
      </w:r>
      <w:r>
        <w:rPr>
          <w:u w:val="single"/>
        </w:rPr>
        <w:t xml:space="preserve">Si nos negamos a aceptar que el uso de estos aparatos electrónicos, con todas sus ventajas informativas y sociales, </w:t>
      </w:r>
      <w:r>
        <w:rPr>
          <w:rStyle w:val="Textoennegrita"/>
          <w:u w:val="single"/>
        </w:rPr>
        <w:t>ha modificado ya la forma de acercarse a la realidad de nuestros hijos</w:t>
      </w:r>
      <w:r>
        <w:rPr>
          <w:u w:val="single"/>
        </w:rPr>
        <w:t>, nos daremos de bruces con el fracaso escolar. El mundo de la escuela, con sus corsés, les resulta ajeno y les aburre.</w:t>
      </w:r>
      <w:r>
        <w:t xml:space="preserve"> El éxito de Finlandia tiene mucho que ver con todo esto, con un cambio de método en las formas de aprendizaje y con una incorporación decidida y sin prejuicios de las nuevas tecnologías”, explica.</w:t>
      </w:r>
    </w:p>
    <w:p w:rsidR="007A6C1B" w:rsidRDefault="007A6C1B" w:rsidP="007A6C1B">
      <w:pPr>
        <w:pStyle w:val="NormalWeb"/>
        <w:jc w:val="both"/>
        <w:rPr>
          <w:u w:val="single"/>
        </w:rPr>
      </w:pPr>
      <w:r>
        <w:rPr>
          <w:u w:val="single"/>
        </w:rPr>
        <w:t xml:space="preserve">La socia fundadora de Jaitek propone incluso romper los actuales espacios físicos del aula y trabajar por proyectos, donde el alumno es parte activa del aprendizaje y donde se ven involucrados profesionales de diferentes áreas del conocimiento, como ciencias, matemáticas, lengua o historia. </w:t>
      </w:r>
    </w:p>
    <w:p w:rsidR="007A6C1B" w:rsidRDefault="007A6C1B" w:rsidP="007A6C1B">
      <w:pPr>
        <w:pStyle w:val="NormalWeb"/>
        <w:jc w:val="both"/>
        <w:rPr>
          <w:u w:val="single"/>
        </w:rPr>
      </w:pPr>
      <w:r>
        <w:rPr>
          <w:u w:val="single"/>
        </w:rPr>
        <w:t>Desde Jaitek sólo apuntan un problema: “La información de las TIC llega difusa y desorganizada y el estudiante no tienen aún capacidad para clasificarla. Este es el gran reto de los maestros, trabajar al mismo tiempo el caos y el orden”. El doctor Pedreira, mucho más clásico, asegura que las BB y todos esos artilugios electrónicos restan al niño capacidad para simbolizar “y a la larga dificultan el pensamiento”.</w:t>
      </w:r>
    </w:p>
    <w:p w:rsidR="007A6C1B" w:rsidRDefault="007A6C1B" w:rsidP="009266BB">
      <w:pPr>
        <w:pStyle w:val="NormalWeb"/>
        <w:jc w:val="both"/>
      </w:pPr>
      <w:r>
        <w:rPr>
          <w:bCs/>
        </w:rPr>
        <w:t>Señales de alarma</w:t>
      </w:r>
    </w:p>
    <w:p w:rsidR="007A6C1B" w:rsidRDefault="007A6C1B" w:rsidP="008622B3">
      <w:pPr>
        <w:pStyle w:val="NormalWeb"/>
        <w:jc w:val="both"/>
        <w:rPr>
          <w:color w:val="FF0000"/>
        </w:rPr>
      </w:pPr>
      <w:r>
        <w:t xml:space="preserve">1. </w:t>
      </w:r>
      <w:r>
        <w:rPr>
          <w:color w:val="FF0000"/>
        </w:rPr>
        <w:t>Privarse de sueño para estar conectado a la red.</w:t>
      </w:r>
    </w:p>
    <w:p w:rsidR="007A6C1B" w:rsidRDefault="007A6C1B" w:rsidP="008622B3">
      <w:pPr>
        <w:pStyle w:val="NormalWeb"/>
        <w:jc w:val="both"/>
        <w:rPr>
          <w:color w:val="FF0000"/>
        </w:rPr>
      </w:pPr>
      <w:r>
        <w:t xml:space="preserve">2. </w:t>
      </w:r>
      <w:r>
        <w:rPr>
          <w:color w:val="FF0000"/>
        </w:rPr>
        <w:t>Descuidar otras actividades importantes, como el contacto con la familia, las relaciones sociales, el estudio o el cuidado de la salud.</w:t>
      </w:r>
    </w:p>
    <w:p w:rsidR="007A6C1B" w:rsidRDefault="007A6C1B" w:rsidP="008622B3">
      <w:pPr>
        <w:pStyle w:val="NormalWeb"/>
        <w:jc w:val="both"/>
        <w:rPr>
          <w:color w:val="FF0000"/>
        </w:rPr>
      </w:pPr>
      <w:r>
        <w:lastRenderedPageBreak/>
        <w:t xml:space="preserve">3. </w:t>
      </w:r>
      <w:r>
        <w:rPr>
          <w:color w:val="FF0000"/>
        </w:rPr>
        <w:t>Pensar en la red constantemente, incluso cuando no se está conectado a ella y sentirse irritado excesivamente cuando la conexión falla o resulta muy lenta.</w:t>
      </w:r>
    </w:p>
    <w:p w:rsidR="007A6C1B" w:rsidRDefault="007A6C1B" w:rsidP="008622B3">
      <w:pPr>
        <w:pStyle w:val="NormalWeb"/>
        <w:jc w:val="both"/>
        <w:rPr>
          <w:color w:val="FF0000"/>
        </w:rPr>
      </w:pPr>
      <w:r>
        <w:t xml:space="preserve">4. </w:t>
      </w:r>
      <w:r>
        <w:rPr>
          <w:color w:val="FF0000"/>
        </w:rPr>
        <w:t>Intentar limitar el tiempo de conexión, pero sin conseguirlo, y perder la noción del tiempo.</w:t>
      </w:r>
    </w:p>
    <w:p w:rsidR="007A6C1B" w:rsidRDefault="007A6C1B" w:rsidP="008622B3">
      <w:pPr>
        <w:pStyle w:val="NormalWeb"/>
        <w:jc w:val="both"/>
      </w:pPr>
      <w:r>
        <w:t xml:space="preserve">5. </w:t>
      </w:r>
      <w:r>
        <w:rPr>
          <w:color w:val="FF0000"/>
        </w:rPr>
        <w:t>Mentir sobre el tiempo real que se está conectado o jugando a un videojuego</w:t>
      </w:r>
      <w:r>
        <w:t>.</w:t>
      </w:r>
    </w:p>
    <w:p w:rsidR="007A6C1B" w:rsidRDefault="007A6C1B" w:rsidP="008622B3">
      <w:pPr>
        <w:pStyle w:val="NormalWeb"/>
        <w:jc w:val="both"/>
        <w:rPr>
          <w:color w:val="FF0000"/>
        </w:rPr>
      </w:pPr>
      <w:r>
        <w:t xml:space="preserve">6. </w:t>
      </w:r>
      <w:r>
        <w:rPr>
          <w:color w:val="FF0000"/>
        </w:rPr>
        <w:t>Sentir una euforia y activación anómalas cuando se está delante del terminal electrónico.</w:t>
      </w:r>
    </w:p>
    <w:p w:rsidR="007A6C1B" w:rsidRDefault="007A6C1B" w:rsidP="008622B3">
      <w:pPr>
        <w:pStyle w:val="NormalWeb"/>
        <w:jc w:val="both"/>
      </w:pPr>
      <w:r>
        <w:rPr>
          <w:bCs/>
        </w:rPr>
        <w:t>Cómo evitar el peligro</w:t>
      </w:r>
    </w:p>
    <w:p w:rsidR="007A6C1B" w:rsidRDefault="007A6C1B" w:rsidP="008622B3">
      <w:pPr>
        <w:pStyle w:val="NormalWeb"/>
        <w:jc w:val="both"/>
      </w:pPr>
      <w:r>
        <w:t xml:space="preserve">1. </w:t>
      </w:r>
      <w:r>
        <w:rPr>
          <w:color w:val="FF0000"/>
        </w:rPr>
        <w:t>Limitar con nuestros hijos el uso de aparatos y pactar las horas de uso del ordenador</w:t>
      </w:r>
      <w:r>
        <w:t xml:space="preserve">. </w:t>
      </w:r>
    </w:p>
    <w:p w:rsidR="007A6C1B" w:rsidRDefault="007A6C1B" w:rsidP="008622B3">
      <w:pPr>
        <w:pStyle w:val="NormalWeb"/>
        <w:jc w:val="both"/>
        <w:rPr>
          <w:color w:val="FF0000"/>
        </w:rPr>
      </w:pPr>
      <w:r>
        <w:t xml:space="preserve">2. </w:t>
      </w:r>
      <w:r>
        <w:rPr>
          <w:color w:val="FF0000"/>
        </w:rPr>
        <w:t>Colocar los ordenadores en lugares comunes (el salón, por ejemplo) y controlar los contenidos.</w:t>
      </w:r>
    </w:p>
    <w:p w:rsidR="007A6C1B" w:rsidRDefault="007A6C1B" w:rsidP="008622B3">
      <w:pPr>
        <w:pStyle w:val="NormalWeb"/>
        <w:jc w:val="both"/>
        <w:rPr>
          <w:color w:val="FF0000"/>
        </w:rPr>
      </w:pPr>
      <w:r>
        <w:t xml:space="preserve">3. </w:t>
      </w:r>
      <w:r>
        <w:rPr>
          <w:color w:val="FF0000"/>
        </w:rPr>
        <w:t>Fomentar la relación con otros niños.</w:t>
      </w:r>
    </w:p>
    <w:p w:rsidR="007A6C1B" w:rsidRDefault="007A6C1B" w:rsidP="008622B3">
      <w:pPr>
        <w:pStyle w:val="NormalWeb"/>
        <w:jc w:val="both"/>
      </w:pPr>
      <w:r>
        <w:t xml:space="preserve">4. </w:t>
      </w:r>
      <w:r>
        <w:rPr>
          <w:color w:val="FF0000"/>
        </w:rPr>
        <w:t>Potenciar aficiones tales como la lectura, el cine y otras actividades culturales</w:t>
      </w:r>
      <w:r>
        <w:t>.</w:t>
      </w:r>
    </w:p>
    <w:p w:rsidR="007A6C1B" w:rsidRDefault="007A6C1B" w:rsidP="008622B3">
      <w:pPr>
        <w:pStyle w:val="NormalWeb"/>
        <w:jc w:val="both"/>
        <w:rPr>
          <w:color w:val="FF0000"/>
        </w:rPr>
      </w:pPr>
      <w:r>
        <w:t xml:space="preserve">5. </w:t>
      </w:r>
      <w:r>
        <w:rPr>
          <w:color w:val="FF0000"/>
        </w:rPr>
        <w:t>Estimular el deporte y las actividades en equipo.</w:t>
      </w:r>
    </w:p>
    <w:p w:rsidR="007A6C1B" w:rsidRDefault="007A6C1B" w:rsidP="008622B3">
      <w:pPr>
        <w:pStyle w:val="NormalWeb"/>
        <w:jc w:val="both"/>
        <w:rPr>
          <w:color w:val="FF0000"/>
        </w:rPr>
      </w:pPr>
      <w:r>
        <w:t xml:space="preserve">6. </w:t>
      </w:r>
      <w:r>
        <w:rPr>
          <w:color w:val="FF0000"/>
        </w:rPr>
        <w:t>Desarrollar actividades de grupo.</w:t>
      </w:r>
    </w:p>
    <w:p w:rsidR="007A6C1B" w:rsidRDefault="007A6C1B" w:rsidP="008622B3">
      <w:pPr>
        <w:pStyle w:val="NormalWeb"/>
        <w:jc w:val="both"/>
        <w:rPr>
          <w:color w:val="FF0000"/>
        </w:rPr>
      </w:pPr>
      <w:r>
        <w:t xml:space="preserve">7. </w:t>
      </w:r>
      <w:r>
        <w:rPr>
          <w:color w:val="FF0000"/>
        </w:rPr>
        <w:t>Favorecer la comunicación y el diálogo en la propia familia.</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 </w:t>
      </w:r>
      <w:r w:rsidRPr="00CD3222">
        <w:rPr>
          <w:rFonts w:ascii="Times New Roman" w:hAnsi="Times New Roman" w:cs="Times New Roman"/>
          <w:sz w:val="24"/>
          <w:szCs w:val="24"/>
          <w:u w:val="single"/>
        </w:rPr>
        <w:t>La nueva economía del entretenimiento</w:t>
      </w:r>
      <w:r w:rsidRPr="00CD3222">
        <w:rPr>
          <w:rFonts w:ascii="Times New Roman" w:hAnsi="Times New Roman" w:cs="Times New Roman"/>
          <w:sz w:val="24"/>
          <w:szCs w:val="24"/>
        </w:rPr>
        <w:t xml:space="preserve"> (The Wall Street Journal - </w:t>
      </w:r>
      <w:r w:rsidRPr="00CD3222">
        <w:rPr>
          <w:rFonts w:ascii="Times New Roman" w:hAnsi="Times New Roman" w:cs="Times New Roman"/>
          <w:b/>
          <w:sz w:val="24"/>
          <w:szCs w:val="24"/>
        </w:rPr>
        <w:t>3/2/12</w:t>
      </w:r>
      <w:r w:rsidRPr="00CD3222">
        <w:rPr>
          <w:rFonts w:ascii="Times New Roman" w:hAnsi="Times New Roman" w:cs="Times New Roman"/>
          <w:sz w:val="24"/>
          <w:szCs w:val="24"/>
        </w:rPr>
        <w:t>)</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(Por Emily Glazer)</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Ya no hace falta salir en los medios de comunicación tradicionales para convertirse en estrella. </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 xml:space="preserve">La nueva economía del entretenimiento ha permitido que un comentarista independiente que suele salpicar de groserías sus videos forje un negocio bastante lucrativo por sí solo. No necesita el apoyo de un conglomerado mediático tradicional ya que su canal en YouTube ha sido más que suficiente.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Ray William Johnson dice constantemente malas palabras, hace gestos groseros a su audiencia y a veces se viste de pingüino. Sus comentarios en video, que publica dos veces a la semana, atraen a más de cinco millones de visitantes regulares, lo que lo convierte en una estrella de YouTube, el portal de videos de Google Inc.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Conocido como RayWJ, el treintañero se ha convertido en un ídolo entre adolescentes tanto dentro como fuera de Estados Unidos, al despotricar contra los videos virales que otros usuarios suben: desde hipopótamos defecando hasta gente que engrapa las cabezas de sus compañeros de trabajo. </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 xml:space="preserve">En la actualidad, la audiencia de YouTube sobrepasa fácilmente la de la televisión tradicional, con más de 780 millones de visitantes únicos al mes en todo el mundo, </w:t>
      </w:r>
      <w:r w:rsidRPr="00CD3222">
        <w:rPr>
          <w:rFonts w:ascii="Times New Roman" w:hAnsi="Times New Roman" w:cs="Times New Roman"/>
          <w:color w:val="FF0000"/>
          <w:sz w:val="24"/>
          <w:szCs w:val="24"/>
          <w:u w:val="single"/>
        </w:rPr>
        <w:lastRenderedPageBreak/>
        <w:t xml:space="preserve">según la información más reciente de comScore. Esa audiencia se reparte entre 30.000 canales y millones de videos, pero un puñado de personalidades como Johnson está atrayendo un público significativo, según estándares de los medios tradicionales.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“Mire a esas estrellas de YouTube que reciben dos, tres, cuatro millones de visitas. Le hacen competencia a cadenas de cable de segundo y tercer nivel”, dice David Cohen, el jefe de plataformas digitales a nivel global de Universal McCann, una agencia de Interpublic Group of Cos. que compra espacio publicitario. “Es un microcosmos de lo que ocurre en el escenario global de medios. Estamos pasando de medios masivos a escala a medios híper locales de nicho”.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Con su pelo parado en punta, Johnson es la personificación de cómo algunas personas pueden aprovechar </w:t>
      </w:r>
      <w:r w:rsidRPr="00CD3222">
        <w:rPr>
          <w:rFonts w:ascii="Times New Roman" w:hAnsi="Times New Roman" w:cs="Times New Roman"/>
          <w:sz w:val="24"/>
          <w:szCs w:val="24"/>
          <w:u w:val="single"/>
        </w:rPr>
        <w:t>el poder viral de Internet</w:t>
      </w:r>
      <w:r w:rsidRPr="00CD3222">
        <w:rPr>
          <w:rFonts w:ascii="Times New Roman" w:hAnsi="Times New Roman" w:cs="Times New Roman"/>
          <w:sz w:val="24"/>
          <w:szCs w:val="24"/>
        </w:rPr>
        <w:t xml:space="preserve"> para construir una carrera sin la necesidad de apoyarse en los medios tradicionales. El cómico de Oklahoma gana alrededor de un millón de dólares al año, dicen fuentes cercanas al tema, en parte gracias a su participación en el Programa para socios de YouTube, que le da una parte de los ingresos generados por sus videos. Además, vende mercancía como muñecos de goma Ray William Johnson y aplicaciones para el iPhone. Una llamada “Pimp Hand Strong”, por ejemplo, se vende por 99 centavos de dólar en iTunes, donde la describen como “su oportunidad para darle una cachetada a Ray”.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“Produzco algunos shows. También me siento sexualmente atraído por mujeres que se parecen a Abraham Lincoln”, escribió Johnson en su biografía en su cuenta @RayWJ en Twitter, donde tiene más de 800.000 seguidores.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Hace poco, una de sus publicaciones en Facebook hecha a las 2:26 de la madrugada generó más de 42.000 “Me gusta”. “¡Esto realmente funciona!: Primero, aguante la respiración por 20 minutos. Segundo, muera”, decía en la red social.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Bliss D'Andrea, una niña de 13 años en Australia, dice que no se ha perdido ninguno de los shows de Johnson en YouTube. Agrega que lo que más le gusta es cuando Johnson dice “Geezus” o “Zing” durante sus críticas. “A veces no es correcto, pero eso lo hace gracioso”, dice D'Andrea.</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Johnson ha sido renuente a confirmar o negar información personal. Algunos medios lo describen como una persona de 23 años. Pero admitió que tiene en realidad 30 años luego de que The Wall Street Journal confirmara que se graduó de la secundaria en 1999 en Oklahoma. Más tarde estudió historia en la Universidad de Columbia, en Nueva York, pero no se graduó, según la universidad.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Johnson, quien ahora vive en Los Ángeles, rechazó varios pedidos de entrevistas, aunque respondió a algunas preguntas por correo electrónico. Consultado sobre su carrera, dijo lo siguiente: “Quizá algún día, si trabajo lo suficiente, el entretenimiento sea una carrera para mí, pero por ahora, hacer videos y subirlos a Internet es sólo un pasatiempo”. También rechazó la idea de que está ganando bastante dinero. “Incluyo publicidad y vendo camisetas para cubrir gastos generales y pagarle a algunas personas que me ayudan detrás de cámara”, dice. “Lo que sobra se gasta en producción, costos de animación, etc.”.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Gente asociada a YouTube, quienes han firmado acuerdos de confidencialidad, guardan silencio absoluto sobre cuánto ganan las estrellas del portal. Sin embargo, fuentes que conocen del tema dicen que por cada dos millones de vistas, los artistas que se han </w:t>
      </w:r>
      <w:r w:rsidRPr="00CD3222">
        <w:rPr>
          <w:rFonts w:ascii="Times New Roman" w:hAnsi="Times New Roman" w:cs="Times New Roman"/>
          <w:sz w:val="24"/>
          <w:szCs w:val="24"/>
        </w:rPr>
        <w:lastRenderedPageBreak/>
        <w:t xml:space="preserve">asociado con YouTube reciben entre US$ 3.000 y US$ 9.000, según el país y la plataforma donde se ven sus videos. Para tener una perspectiva, Johnson tiene más de 1.500 millones de vistas.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Una vocera de Google dice que “varios cientos” de sus socios ganaron más de US$ 100.000 en 2011, 80% más que alrededor de los 200 socios que recibieron esa cifra o más en 2010. Los socios de YouTube también han crecido de 20.000 en 2010 a 30.000 el año pasado, dice Tom Pickett, director global de contenido, operaciones y </w:t>
      </w:r>
      <w:r w:rsidR="009266BB">
        <w:rPr>
          <w:rFonts w:ascii="Times New Roman" w:hAnsi="Times New Roman" w:cs="Times New Roman"/>
          <w:sz w:val="24"/>
          <w:szCs w:val="24"/>
        </w:rPr>
        <w:t xml:space="preserve">creadores en línea del portal.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Atractivo para grandes anunciantes</w:t>
      </w:r>
    </w:p>
    <w:p w:rsidR="007A6C1B"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 xml:space="preserve">Avisos de grandes empresas como McDonald's Corp. aparecen en los videos de los socios de YouTube, incluidos los de Johnson. Los ingresos publicitarios luego son compartidos entre YouTube y el socio. </w:t>
      </w:r>
    </w:p>
    <w:p w:rsidR="007A6C1B" w:rsidRPr="00CD3222" w:rsidRDefault="00CD3222" w:rsidP="009266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A6C1B" w:rsidRPr="00CD3222">
        <w:rPr>
          <w:rFonts w:ascii="Times New Roman" w:hAnsi="Times New Roman" w:cs="Times New Roman"/>
          <w:sz w:val="24"/>
          <w:szCs w:val="24"/>
        </w:rPr>
        <w:t>McDonald's quiere estar donde los clientes están</w:t>
      </w:r>
      <w:r>
        <w:rPr>
          <w:rFonts w:ascii="Times New Roman" w:hAnsi="Times New Roman" w:cs="Times New Roman"/>
          <w:sz w:val="24"/>
          <w:szCs w:val="24"/>
        </w:rPr>
        <w:t>”</w:t>
      </w:r>
      <w:r w:rsidR="007A6C1B" w:rsidRPr="00CD3222">
        <w:rPr>
          <w:rFonts w:ascii="Times New Roman" w:hAnsi="Times New Roman" w:cs="Times New Roman"/>
          <w:sz w:val="24"/>
          <w:szCs w:val="24"/>
        </w:rPr>
        <w:t>, dijo una vocera. “El video es importante para nosotros y YouTube es una de las muchas plataformas digitales atractivas en nuestra estrategia de marketing”.</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Otras estrellas de YouTube aprovechan su popularidad en el sitio para vender música, salir en televisión o producir películas. Kevin Wu (kevjumba en YouTube) tiene más de 2,2 millones de visitas regulares y 56 millones en total. El año pasado colaboró con la estrella de YouTube Ryan Higa, cuyo canal tiene cinco millones de espectadores regulares, para hacer una canción. El tema, Nice Guys, se convirtió en una de las 50 canciones más populares en iTunes junto a producciones de Justin Bieber y Jay Z, dice Wu riendo.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Personas familiarizadas con el tema aseguran que Wu gana cientos de miles de dólares al año. El joven no quiso comentar sobre sus ganancias, pero su canal de YouTube es un trabajo de tiempo completo. </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“Cada minuto de mi vida lo invierto en pensar en formas de construir este imperio”, dice Wu, quien vive en Los Ángeles. “Tengo una conexión personal con (mis dos millones de suscriptores) así que sienten que soy su amigo. Cualquier cosa que haga, ellos la apoyan”.</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Realannoyingorange y ShaneDawsonTV, algunos de los canales web de comediantes más exitosos, tienen alianzas con cadenas minoristas como J.C. Penney y Hot Topic, respectivamente.</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“Gran cantidad de dinero se está moviendo en este espacio”, dice Michael Green, presidente ejecutivo de The Collective, una empresa de gestión de entretenimiento y producción de contenido que representa los canales de YouTube </w:t>
      </w:r>
      <w:r w:rsidR="004964F2">
        <w:rPr>
          <w:rFonts w:ascii="Times New Roman" w:hAnsi="Times New Roman" w:cs="Times New Roman"/>
          <w:sz w:val="24"/>
          <w:szCs w:val="24"/>
        </w:rPr>
        <w:t xml:space="preserve">freddiew y realannoyingorange. </w:t>
      </w:r>
      <w:r w:rsidRPr="00CD3222">
        <w:rPr>
          <w:rFonts w:ascii="Times New Roman" w:hAnsi="Times New Roman" w:cs="Times New Roman"/>
          <w:sz w:val="24"/>
          <w:szCs w:val="24"/>
        </w:rPr>
        <w:t>“Si funciona, si realmente funciona”, dice de sus clientes, “podría terminar siendo algo que valga millones y millones y millones de dólares”.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 </w:t>
      </w:r>
      <w:r w:rsidRPr="00CD3222">
        <w:rPr>
          <w:rFonts w:ascii="Times New Roman" w:hAnsi="Times New Roman" w:cs="Times New Roman"/>
          <w:sz w:val="24"/>
          <w:szCs w:val="24"/>
          <w:u w:val="single"/>
        </w:rPr>
        <w:t>Usted podría ser nomofóbico</w:t>
      </w:r>
      <w:r w:rsidRPr="00CD3222">
        <w:rPr>
          <w:rFonts w:ascii="Times New Roman" w:hAnsi="Times New Roman" w:cs="Times New Roman"/>
          <w:sz w:val="24"/>
          <w:szCs w:val="24"/>
        </w:rPr>
        <w:t xml:space="preserve"> (BBCMundo.com - </w:t>
      </w:r>
      <w:r w:rsidRPr="00CD3222">
        <w:rPr>
          <w:rFonts w:ascii="Times New Roman" w:hAnsi="Times New Roman" w:cs="Times New Roman"/>
          <w:b/>
          <w:sz w:val="24"/>
          <w:szCs w:val="24"/>
        </w:rPr>
        <w:t>17/2/12</w:t>
      </w:r>
      <w:r w:rsidRPr="00CD3222">
        <w:rPr>
          <w:rFonts w:ascii="Times New Roman" w:hAnsi="Times New Roman" w:cs="Times New Roman"/>
          <w:sz w:val="24"/>
          <w:szCs w:val="24"/>
        </w:rPr>
        <w:t>)</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(Por Anahi Aradas) </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(Las personas nomofóbicas no pueden estar lejos de su celular e incluso llegan a tener dos por si acaso.)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lastRenderedPageBreak/>
        <w:t xml:space="preserve">Algunos la llaman </w:t>
      </w:r>
      <w:r w:rsidRPr="00CD3222">
        <w:rPr>
          <w:rFonts w:ascii="Times New Roman" w:hAnsi="Times New Roman" w:cs="Times New Roman"/>
          <w:color w:val="FF0000"/>
          <w:sz w:val="24"/>
          <w:szCs w:val="24"/>
          <w:u w:val="single"/>
        </w:rPr>
        <w:t>la “enfermedad del s.XXI”</w:t>
      </w:r>
      <w:r w:rsidRPr="00CD3222">
        <w:rPr>
          <w:rFonts w:ascii="Times New Roman" w:hAnsi="Times New Roman" w:cs="Times New Roman"/>
          <w:sz w:val="24"/>
          <w:szCs w:val="24"/>
        </w:rPr>
        <w:t xml:space="preserve"> y expertos en adicciones afirman que el número de casos aumenta cada año.</w:t>
      </w:r>
    </w:p>
    <w:p w:rsidR="007A6C1B"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Hablamos de la nomofobia, el miedo irracional que sienten algunos cuando algo les impide interaccionar con su celular.</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Esta semana, un estudio británico reveló que en Reino Unido ya la sufre el 66% de la población, lo que supone un aumento respecto al 53% que se observó en el último sondeo realizado hace cuatro años.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¿Qué es?</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 xml:space="preserve">La nomofobia se identificó por primera vez en 2008 y sus nombre proviene del término inglés “no-mobile phobia” (fobia a estar sin móvil). </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Los expertos señalan que estas personas experimentan una gran ansiedad cuando se dan las siguientes situaciones: pérdida de celular, batería o crédito agotado y falta de señal.</w:t>
      </w:r>
    </w:p>
    <w:p w:rsidR="007A6C1B"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El primer estudio que dio la voz de alarma sobre este fenómeno lo llevó a cabo el gobierno británico en 2008, con el fin de investigar las ansiedades que sufren los usuarios de celulares.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Incidencia</w:t>
      </w:r>
    </w:p>
    <w:p w:rsidR="007A6C1B"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Entonces se observó que un 56% de hombres y un 48% de mujeres sufrían esta fobia y que un 9% se sentían “estresados” cuando su aparato se apagaba.</w:t>
      </w:r>
    </w:p>
    <w:p w:rsidR="007A6C1B"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Cuatro años después, el nuevo estudio elaborado por la empresa de dispositivos de seguridad para celulares SecurEnvoy, revela que la cifra de afectados aumentó en el país.</w:t>
      </w:r>
    </w:p>
    <w:p w:rsidR="007A6C1B" w:rsidRPr="00CD3222" w:rsidRDefault="007A6C1B" w:rsidP="009266BB">
      <w:pPr>
        <w:spacing w:line="240" w:lineRule="auto"/>
        <w:jc w:val="both"/>
        <w:rPr>
          <w:rFonts w:ascii="Times New Roman" w:hAnsi="Times New Roman" w:cs="Times New Roman"/>
          <w:b/>
          <w:color w:val="FF0000"/>
          <w:sz w:val="24"/>
          <w:szCs w:val="24"/>
          <w:u w:val="single"/>
        </w:rPr>
      </w:pPr>
      <w:r w:rsidRPr="00CD3222">
        <w:rPr>
          <w:rFonts w:ascii="Times New Roman" w:hAnsi="Times New Roman" w:cs="Times New Roman"/>
          <w:b/>
          <w:color w:val="FF0000"/>
          <w:sz w:val="24"/>
          <w:szCs w:val="24"/>
          <w:u w:val="single"/>
        </w:rPr>
        <w:t>Tras encuestar a unas 1.000 personas, se constató que el 77% de los individuos con edades comprendidas entre los 18 y los 24 años sufrían nomofobia, mientras que en la franja de edad que va de los 25 a los 34 años, la incidencia fue del 68%.</w:t>
      </w:r>
    </w:p>
    <w:p w:rsidR="007A6C1B" w:rsidRPr="00CD3222" w:rsidRDefault="007A6C1B" w:rsidP="009266BB">
      <w:pPr>
        <w:spacing w:line="240" w:lineRule="auto"/>
        <w:jc w:val="both"/>
        <w:rPr>
          <w:rFonts w:ascii="Times New Roman" w:hAnsi="Times New Roman" w:cs="Times New Roman"/>
          <w:b/>
          <w:color w:val="FF0000"/>
          <w:sz w:val="24"/>
          <w:szCs w:val="24"/>
          <w:u w:val="single"/>
        </w:rPr>
      </w:pPr>
      <w:r w:rsidRPr="00CD3222">
        <w:rPr>
          <w:rFonts w:ascii="Times New Roman" w:hAnsi="Times New Roman" w:cs="Times New Roman"/>
          <w:b/>
          <w:color w:val="FF0000"/>
          <w:sz w:val="24"/>
          <w:szCs w:val="24"/>
          <w:u w:val="single"/>
        </w:rPr>
        <w:t>Es más, el sondeo descubrió que un 41% de los encuestados cargaban con ellos dos celulares para así nunca quedarse “desconectados”.</w:t>
      </w:r>
    </w:p>
    <w:p w:rsidR="007A6C1B" w:rsidRPr="00CD3222" w:rsidRDefault="007A6C1B" w:rsidP="009266BB">
      <w:pPr>
        <w:spacing w:line="240" w:lineRule="auto"/>
        <w:jc w:val="both"/>
        <w:rPr>
          <w:rFonts w:ascii="Times New Roman" w:hAnsi="Times New Roman" w:cs="Times New Roman"/>
          <w:b/>
          <w:color w:val="FF0000"/>
          <w:sz w:val="24"/>
          <w:szCs w:val="24"/>
          <w:u w:val="single"/>
        </w:rPr>
      </w:pPr>
      <w:r w:rsidRPr="00CD3222">
        <w:rPr>
          <w:rFonts w:ascii="Times New Roman" w:hAnsi="Times New Roman" w:cs="Times New Roman"/>
          <w:b/>
          <w:color w:val="FF0000"/>
          <w:sz w:val="24"/>
          <w:szCs w:val="24"/>
          <w:u w:val="single"/>
        </w:rPr>
        <w:t>A diferencia del anterior estudio, en este caso se vio una mayor incidencia en mujeres (70%) que en hombres (61%).</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“No es una enfermedad”</w:t>
      </w:r>
    </w:p>
    <w:p w:rsidR="007A6C1B"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color w:val="FF0000"/>
          <w:sz w:val="24"/>
          <w:szCs w:val="24"/>
          <w:u w:val="single"/>
        </w:rPr>
        <w:t>“Todavía no se puede considerar una enfermedad. La nomofobia es más bien un síntoma de la adicción al móvil”,</w:t>
      </w:r>
      <w:r w:rsidRPr="00CD3222">
        <w:rPr>
          <w:rFonts w:ascii="Times New Roman" w:hAnsi="Times New Roman" w:cs="Times New Roman"/>
          <w:sz w:val="24"/>
          <w:szCs w:val="24"/>
          <w:u w:val="single"/>
        </w:rPr>
        <w:t xml:space="preserve"> señaló a BBC Mundo Francisca López Torrecillas, experta en adicciones de la Universidad de Granada quien actualmente trabaja en un estudio sobre nomofobia entre universitarios españoles.</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Según detalló, los principales síntomas de una persona nomofóbica son el miedo a no disponer del celular. El nomofóbico no puede imaginar salir a la calle sin él y además invierte un mínimo de cuatro horas diarias consultándolo por motivos ajenos al trabajo.</w:t>
      </w:r>
    </w:p>
    <w:p w:rsidR="004964F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El nomofóbico, apunta Torrecillas, “suele tener baja autoestima, ser introvertido, no tiene habilidades de afrontamiento. En su tiempo libre sólo usa el móvil, algo que va unido a no tener otras actividades de ocio”.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lastRenderedPageBreak/>
        <w:t>Casos en España</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Aunque en el caso de España no existen todavía cifras concretas, los expertos señalan que sí han notado un aumento de casos en los últimos años.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Ahora están tratando de establecer si esto sería debido a la proliferación de teléfonos inteligentes, algo que intuyen podría tener que ver con el fenómeno.</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En cuanto a sexos, afirman, no se observaron diferencias significativas en cuanto a la incidencia de la fobia.</w:t>
      </w:r>
    </w:p>
    <w:p w:rsidR="007A6C1B"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Según Torrecillas la mejor forma de detectar a un nomofóbico es hacer que anote el tiempo que invierte en su celular y, si sobrepasa las cuatro horas, tratarlo como un problema.</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“Sería bueno planificar otro tipo de actividades de ocio que no sean estar con el móvil: salir con los amigos, hacer ejercicio físico... Si hay un problema más personal deberían consultar con un especialista”.</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Adicción a la tecnología</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La nomofobia ha sido vinculada con la adicción a la tecnología y, en lo que a celulares respecta, a la necesidad que sienten muchos de revisar constantemente cada mensaje, alerta o sonido que genera el celular.</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A principios de este año un equipo de investigadores de la Universidad de Worcester en Reino Unido, determinó que esta ansiedad permanente, resultado de estar siempre conectados, eleva considerablemente los niveles de estrés de los usuarios.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Paradójicamente, el estrés era mayor cuando el celular se usaba más para fines personales que laborales.</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El estudio también hizo énfasis en el papel de los celulares inteligentes a la hora de incrementar nuestra necesidad de sentirnos conectados. “Mientras más los usamos más dependientes nos volvemos y en realidad aumentamos el estrés en lugar de aliviarlo”, dijeron los investigadores.</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De hecho, finalizaron en su reporte, algunos sienten una necesidad tan extrema de estar en contacto que llegan a notar “vibraciones del teléfono que no existen”.</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 </w:t>
      </w:r>
      <w:r w:rsidRPr="00CD3222">
        <w:rPr>
          <w:rFonts w:ascii="Times New Roman" w:hAnsi="Times New Roman" w:cs="Times New Roman"/>
          <w:sz w:val="24"/>
          <w:szCs w:val="24"/>
          <w:u w:val="single"/>
        </w:rPr>
        <w:t>En 2012 habrá más celulares que personas</w:t>
      </w:r>
      <w:r w:rsidRPr="00CD3222">
        <w:rPr>
          <w:rFonts w:ascii="Times New Roman" w:hAnsi="Times New Roman" w:cs="Times New Roman"/>
          <w:sz w:val="24"/>
          <w:szCs w:val="24"/>
        </w:rPr>
        <w:t xml:space="preserve"> (BBCMundo.com - </w:t>
      </w:r>
      <w:r w:rsidRPr="00CD3222">
        <w:rPr>
          <w:rFonts w:ascii="Times New Roman" w:hAnsi="Times New Roman" w:cs="Times New Roman"/>
          <w:b/>
          <w:sz w:val="24"/>
          <w:szCs w:val="24"/>
        </w:rPr>
        <w:t>16/2/12</w:t>
      </w:r>
      <w:r w:rsidRPr="00CD3222">
        <w:rPr>
          <w:rFonts w:ascii="Times New Roman" w:hAnsi="Times New Roman" w:cs="Times New Roman"/>
          <w:sz w:val="24"/>
          <w:szCs w:val="24"/>
        </w:rPr>
        <w:t>)</w:t>
      </w:r>
    </w:p>
    <w:p w:rsid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color w:val="FF0000"/>
          <w:sz w:val="24"/>
          <w:szCs w:val="24"/>
          <w:u w:val="single"/>
        </w:rPr>
        <w:t xml:space="preserve">(Se estima que en 2016 ya habrá unos 10.000 millones de celulares activos) </w:t>
      </w:r>
    </w:p>
    <w:p w:rsidR="007A6C1B" w:rsidRPr="00CD3222" w:rsidRDefault="007A6C1B" w:rsidP="009266BB">
      <w:pPr>
        <w:spacing w:line="240" w:lineRule="auto"/>
        <w:jc w:val="both"/>
        <w:rPr>
          <w:rFonts w:ascii="Times New Roman" w:hAnsi="Times New Roman" w:cs="Times New Roman"/>
          <w:color w:val="FF0000"/>
          <w:sz w:val="24"/>
          <w:szCs w:val="24"/>
          <w:u w:val="single"/>
        </w:rPr>
      </w:pPr>
      <w:r w:rsidRPr="00CD3222">
        <w:rPr>
          <w:rFonts w:ascii="Times New Roman" w:hAnsi="Times New Roman" w:cs="Times New Roman"/>
          <w:b/>
          <w:color w:val="FF0000"/>
          <w:sz w:val="24"/>
          <w:szCs w:val="24"/>
          <w:u w:val="single"/>
        </w:rPr>
        <w:t>En 2012 llegaremos al punto en el que habrá más teléfonos celulares que humanos, según indica un análisis de tráfico de datos en celulares elaborado por la empresa de electrónica CiscoMobile.</w:t>
      </w:r>
    </w:p>
    <w:p w:rsidR="007A6C1B" w:rsidRPr="00CD3222" w:rsidRDefault="007A6C1B" w:rsidP="009266BB">
      <w:pPr>
        <w:spacing w:line="240" w:lineRule="auto"/>
        <w:jc w:val="both"/>
        <w:rPr>
          <w:rFonts w:ascii="Times New Roman" w:hAnsi="Times New Roman" w:cs="Times New Roman"/>
          <w:b/>
          <w:color w:val="FF0000"/>
          <w:sz w:val="24"/>
          <w:szCs w:val="24"/>
          <w:u w:val="single"/>
        </w:rPr>
      </w:pPr>
      <w:r w:rsidRPr="00CD3222">
        <w:rPr>
          <w:rFonts w:ascii="Times New Roman" w:hAnsi="Times New Roman" w:cs="Times New Roman"/>
          <w:b/>
          <w:color w:val="FF0000"/>
          <w:sz w:val="24"/>
          <w:szCs w:val="24"/>
          <w:u w:val="single"/>
        </w:rPr>
        <w:t>Este estudio predice que en 2016 ya habrá 10.000 millones de celulares en el mundo.</w:t>
      </w:r>
    </w:p>
    <w:p w:rsidR="007A6C1B"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Para entonces, las redes transportarán unos 130 exabytes de datos cada año, lo equivalente a 33.000 millones de DVDs.</w:t>
      </w:r>
    </w:p>
    <w:p w:rsidR="004964F2" w:rsidRPr="00CD3222" w:rsidRDefault="004964F2" w:rsidP="009266BB">
      <w:pPr>
        <w:spacing w:line="240" w:lineRule="auto"/>
        <w:jc w:val="both"/>
        <w:rPr>
          <w:rFonts w:ascii="Times New Roman" w:hAnsi="Times New Roman" w:cs="Times New Roman"/>
          <w:sz w:val="24"/>
          <w:szCs w:val="24"/>
          <w:u w:val="single"/>
        </w:rPr>
      </w:pPr>
    </w:p>
    <w:p w:rsidR="007A6C1B" w:rsidRPr="004964F2" w:rsidRDefault="004964F2" w:rsidP="009266B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Tsunami de datos: </w:t>
      </w:r>
      <w:r w:rsidR="007A6C1B" w:rsidRPr="00CD3222">
        <w:rPr>
          <w:rFonts w:ascii="Times New Roman" w:hAnsi="Times New Roman" w:cs="Times New Roman"/>
          <w:sz w:val="24"/>
          <w:szCs w:val="24"/>
          <w:u w:val="single"/>
        </w:rPr>
        <w:t>El tráfico de datos desde celulares en 2011 fue ocho veces el tamaño del internet global en 2000, señala el reporte, lo que es tomado como señal de preocupación.</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Semejante aumento podría ser en el futuro un auténtico quebradero de cabeza para las operadoras de celulares, que a duras penas pueden afrontar la demanda actual.</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El celular inteligente usa una media de 150 megabytes de datos al mes, pero se espera que esta cifra se incremente hasta los 2,5 gigabytes en 2016.</w:t>
      </w:r>
    </w:p>
    <w:p w:rsidR="007A6C1B" w:rsidRPr="00CD3222" w:rsidRDefault="004964F2" w:rsidP="009266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club gigabyte: </w:t>
      </w:r>
      <w:r w:rsidR="007A6C1B" w:rsidRPr="00CD3222">
        <w:rPr>
          <w:rFonts w:ascii="Times New Roman" w:hAnsi="Times New Roman" w:cs="Times New Roman"/>
          <w:sz w:val="24"/>
          <w:szCs w:val="24"/>
        </w:rPr>
        <w:t xml:space="preserve">“En 2016, el 60% de los usuarios de celular, 3.000 millones de personas en todo el mundo, pertenecerán al club gigabyte, ya que cada uno generará más de un gigabyte en tráfico de datos desde celular al mes”, dijo Suraj Shetty, vicepresidente de productos y soluciones de Cisco. </w:t>
      </w:r>
    </w:p>
    <w:p w:rsidR="007A6C1B"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Hay varios factores que están impulsando al alza el consumo de datos.</w:t>
      </w:r>
    </w:p>
    <w:p w:rsidR="007A6C1B"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La gente está usando más tabletas y éstas requieren muchos más datos que los celulares inteligentes, señala el informe.</w:t>
      </w:r>
    </w:p>
    <w:p w:rsidR="007A6C1B"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Según Cisco, el uso de tabletas se disparó en 2011, triplicando su cantidad hasta los 34 millones de aparatos, cada uno de los cuales genera tres veces más tráfico de datos que los celulares inteligentes.</w:t>
      </w:r>
    </w:p>
    <w:p w:rsidR="007A6C1B"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Se prevé que para 2016 este tipo de dispositivos acaparen más del 10% del tráfico de datos global.</w:t>
      </w:r>
    </w:p>
    <w:p w:rsidR="007A6C1B" w:rsidRPr="00CD3222" w:rsidRDefault="004964F2" w:rsidP="009266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Redes: </w:t>
      </w:r>
      <w:r w:rsidR="007A6C1B" w:rsidRPr="00CD3222">
        <w:rPr>
          <w:rFonts w:ascii="Times New Roman" w:hAnsi="Times New Roman" w:cs="Times New Roman"/>
          <w:sz w:val="24"/>
          <w:szCs w:val="24"/>
        </w:rPr>
        <w:t>Otro factor importante es la rapidez de las redes. El sistema 4G hoy en día está sólo disponible en un 0,2% de las conexiones de celular, aun así ya supone el 6% del tráfico de datos.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Los iPhones de Apple tienen la reputación de usar más ancho de banda que otros teléfonos, pero el estudio comprobó que el consumo de datos de Android es incluso superior al iPhone en Estados Unidos y Europa occidental.</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Seb Lahtinen, de la página ThinkBroadband quedó sorprendido con estas informaciones.</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“Muchos de nosotros usamos los celulares inteligentes en los trenes, pero todavía luchamos por obtener una buena señal”.</w:t>
      </w:r>
    </w:p>
    <w:p w:rsidR="008622B3" w:rsidRPr="00CD3222" w:rsidRDefault="007A6C1B" w:rsidP="009266BB">
      <w:pPr>
        <w:spacing w:line="240" w:lineRule="auto"/>
        <w:jc w:val="both"/>
        <w:rPr>
          <w:rFonts w:ascii="Times New Roman" w:hAnsi="Times New Roman" w:cs="Times New Roman"/>
          <w:sz w:val="24"/>
          <w:szCs w:val="24"/>
          <w:u w:val="single"/>
        </w:rPr>
      </w:pPr>
      <w:r w:rsidRPr="00CD3222">
        <w:rPr>
          <w:rFonts w:ascii="Times New Roman" w:hAnsi="Times New Roman" w:cs="Times New Roman"/>
          <w:sz w:val="24"/>
          <w:szCs w:val="24"/>
          <w:u w:val="single"/>
        </w:rPr>
        <w:t>“A medida que la calidad y la velocidad aumenten, más usuarios empezarán a ver videos por internet en sus celulares, lo que podría conducir a una explosión del tráfico de datos”, explicó…</w:t>
      </w:r>
    </w:p>
    <w:p w:rsidR="007A6C1B" w:rsidRPr="00FD5E9B" w:rsidRDefault="007A6C1B" w:rsidP="007A6C1B">
      <w:pPr>
        <w:jc w:val="both"/>
        <w:rPr>
          <w:rFonts w:ascii="Times New Roman" w:hAnsi="Times New Roman" w:cs="Times New Roman"/>
          <w:b/>
          <w:color w:val="FF0000"/>
          <w:sz w:val="24"/>
          <w:szCs w:val="24"/>
        </w:rPr>
      </w:pPr>
      <w:r w:rsidRPr="00FD5E9B">
        <w:rPr>
          <w:rFonts w:ascii="Times New Roman" w:hAnsi="Times New Roman" w:cs="Times New Roman"/>
          <w:b/>
          <w:color w:val="FF0000"/>
          <w:sz w:val="24"/>
          <w:szCs w:val="24"/>
        </w:rPr>
        <w:t>Opción II bis para Europa: como diría Mafalda, “</w:t>
      </w:r>
      <w:r w:rsidR="00662654">
        <w:rPr>
          <w:rFonts w:ascii="Times New Roman" w:hAnsi="Times New Roman" w:cs="Times New Roman"/>
          <w:b/>
          <w:color w:val="FF0000"/>
          <w:sz w:val="24"/>
          <w:szCs w:val="24"/>
        </w:rPr>
        <w:t xml:space="preserve">es </w:t>
      </w:r>
      <w:r w:rsidRPr="00FD5E9B">
        <w:rPr>
          <w:rFonts w:ascii="Times New Roman" w:hAnsi="Times New Roman" w:cs="Times New Roman"/>
          <w:b/>
          <w:color w:val="FF0000"/>
          <w:sz w:val="24"/>
          <w:szCs w:val="24"/>
        </w:rPr>
        <w:t xml:space="preserve">el acabose del terminose” </w:t>
      </w:r>
    </w:p>
    <w:p w:rsidR="007A6C1B" w:rsidRPr="00CD3222" w:rsidRDefault="007A6C1B" w:rsidP="007A6C1B">
      <w:pPr>
        <w:jc w:val="both"/>
        <w:rPr>
          <w:rFonts w:ascii="Times New Roman" w:hAnsi="Times New Roman" w:cs="Times New Roman"/>
          <w:sz w:val="24"/>
          <w:szCs w:val="24"/>
          <w:u w:val="single"/>
        </w:rPr>
      </w:pPr>
      <w:r w:rsidRPr="00CD3222">
        <w:rPr>
          <w:rFonts w:ascii="Times New Roman" w:hAnsi="Times New Roman" w:cs="Times New Roman"/>
          <w:sz w:val="24"/>
          <w:szCs w:val="24"/>
          <w:u w:val="single"/>
        </w:rPr>
        <w:t>¿La Bolsa y la Vida?</w:t>
      </w:r>
    </w:p>
    <w:p w:rsidR="007A6C1B" w:rsidRPr="00CD3222" w:rsidRDefault="007A6C1B" w:rsidP="009266BB">
      <w:pPr>
        <w:spacing w:line="240" w:lineRule="auto"/>
        <w:jc w:val="both"/>
        <w:rPr>
          <w:rFonts w:ascii="Times New Roman" w:hAnsi="Times New Roman" w:cs="Times New Roman"/>
          <w:sz w:val="24"/>
          <w:szCs w:val="24"/>
        </w:rPr>
      </w:pPr>
      <w:r w:rsidRPr="00CD3222">
        <w:rPr>
          <w:rFonts w:ascii="Times New Roman" w:hAnsi="Times New Roman" w:cs="Times New Roman"/>
          <w:sz w:val="24"/>
          <w:szCs w:val="24"/>
        </w:rPr>
        <w:t xml:space="preserve">Por si quedara algún europeo que dudara sobre el “costo” de la economía del entretenimiento (mientras unos tontean con las chucherías, otros se forran de lo lindo), pueden leer la siguiente noticia, y decidir si es más importante la “Bolsa” (estamos hablando de la empresa de mayor capitalización bursátil) o la “Vida” (¿qué dirán las feministas a la hora de comprar el próximo modelo de iPhone o iPad?). Apple y </w:t>
      </w:r>
      <w:r w:rsidRPr="00CD3222">
        <w:rPr>
          <w:rFonts w:ascii="Times New Roman" w:hAnsi="Times New Roman" w:cs="Times New Roman"/>
          <w:sz w:val="24"/>
          <w:szCs w:val="24"/>
        </w:rPr>
        <w:lastRenderedPageBreak/>
        <w:t>Facebook no hacen más que “el continuose del empezose” (otra vez Mafalda) Y la “manada” feliz</w:t>
      </w:r>
      <w:r w:rsidR="00CD3222">
        <w:rPr>
          <w:rFonts w:ascii="Times New Roman" w:hAnsi="Times New Roman" w:cs="Times New Roman"/>
          <w:sz w:val="24"/>
          <w:szCs w:val="24"/>
        </w:rPr>
        <w:t>,</w:t>
      </w:r>
      <w:r w:rsidRPr="00CD3222">
        <w:rPr>
          <w:rFonts w:ascii="Times New Roman" w:hAnsi="Times New Roman" w:cs="Times New Roman"/>
          <w:sz w:val="24"/>
          <w:szCs w:val="24"/>
        </w:rPr>
        <w:t xml:space="preserve"> por haber sido de los primeros en comprar el último gadget, o dando gracias por estar siempre “conectados” (¿o abducidos?). Los “óvulos” de la </w:t>
      </w:r>
      <w:r w:rsidR="00637807">
        <w:rPr>
          <w:rFonts w:ascii="Times New Roman" w:hAnsi="Times New Roman" w:cs="Times New Roman"/>
          <w:sz w:val="24"/>
          <w:szCs w:val="24"/>
        </w:rPr>
        <w:t>“</w:t>
      </w:r>
      <w:r w:rsidRPr="00CD3222">
        <w:rPr>
          <w:rFonts w:ascii="Times New Roman" w:hAnsi="Times New Roman" w:cs="Times New Roman"/>
          <w:sz w:val="24"/>
          <w:szCs w:val="24"/>
        </w:rPr>
        <w:t>manzana</w:t>
      </w:r>
      <w:r w:rsidR="00637807">
        <w:rPr>
          <w:rFonts w:ascii="Times New Roman" w:hAnsi="Times New Roman" w:cs="Times New Roman"/>
          <w:sz w:val="24"/>
          <w:szCs w:val="24"/>
        </w:rPr>
        <w:t>”</w:t>
      </w:r>
      <w:r w:rsidRPr="00CD3222">
        <w:rPr>
          <w:rFonts w:ascii="Times New Roman" w:hAnsi="Times New Roman" w:cs="Times New Roman"/>
          <w:sz w:val="24"/>
          <w:szCs w:val="24"/>
        </w:rPr>
        <w:t xml:space="preserve">. </w:t>
      </w:r>
    </w:p>
    <w:p w:rsidR="007A6C1B" w:rsidRPr="00454FD2" w:rsidRDefault="007A6C1B" w:rsidP="007A6C1B">
      <w:pPr>
        <w:pStyle w:val="NormalWeb"/>
        <w:jc w:val="both"/>
      </w:pPr>
      <w:r w:rsidRPr="00454FD2">
        <w:t xml:space="preserve">- </w:t>
      </w:r>
      <w:r w:rsidRPr="00454FD2">
        <w:rPr>
          <w:u w:val="single"/>
        </w:rPr>
        <w:t>Apple y Facebook causan polémica a costa de los óvulos de sus empl</w:t>
      </w:r>
      <w:r>
        <w:rPr>
          <w:u w:val="single"/>
        </w:rPr>
        <w:t xml:space="preserve">eadas </w:t>
      </w:r>
      <w:r w:rsidRPr="00454FD2">
        <w:t xml:space="preserve">(BBCMundo.com - </w:t>
      </w:r>
      <w:r w:rsidRPr="00454FD2">
        <w:rPr>
          <w:b/>
        </w:rPr>
        <w:t>16/10/14</w:t>
      </w:r>
      <w:r w:rsidRPr="00454FD2">
        <w:t>)</w:t>
      </w:r>
    </w:p>
    <w:p w:rsidR="007A6C1B" w:rsidRPr="00BF6CA1" w:rsidRDefault="007A6C1B" w:rsidP="007A6C1B">
      <w:pPr>
        <w:pStyle w:val="NormalWeb"/>
        <w:jc w:val="both"/>
        <w:rPr>
          <w:color w:val="FF0000"/>
          <w:u w:val="single"/>
        </w:rPr>
      </w:pPr>
      <w:r w:rsidRPr="00BF6CA1">
        <w:rPr>
          <w:color w:val="FF0000"/>
          <w:u w:val="single"/>
        </w:rPr>
        <w:t>Facebook está ayudando a sus empleadas mujeres en Estados Unidos a pagar el costo de congelamiento de sus óvulos.</w:t>
      </w:r>
    </w:p>
    <w:p w:rsidR="007A6C1B" w:rsidRPr="00BF6CA1" w:rsidRDefault="007A6C1B" w:rsidP="007A6C1B">
      <w:pPr>
        <w:pStyle w:val="NormalWeb"/>
        <w:jc w:val="both"/>
        <w:rPr>
          <w:color w:val="FF0000"/>
          <w:u w:val="single"/>
        </w:rPr>
      </w:pPr>
      <w:r w:rsidRPr="00BF6CA1">
        <w:rPr>
          <w:color w:val="FF0000"/>
          <w:u w:val="single"/>
        </w:rPr>
        <w:t>Y Apple está planeando presentar una política similar en enero.</w:t>
      </w:r>
    </w:p>
    <w:p w:rsidR="007A6C1B" w:rsidRPr="00454FD2" w:rsidRDefault="007A6C1B" w:rsidP="007A6C1B">
      <w:pPr>
        <w:pStyle w:val="NormalWeb"/>
        <w:jc w:val="both"/>
      </w:pPr>
      <w:r w:rsidRPr="00454FD2">
        <w:t>Eso indican informes presentados recientemente por el noticiero de la cadena estadounidense NBC.</w:t>
      </w:r>
    </w:p>
    <w:p w:rsidR="007A6C1B" w:rsidRPr="00BF6CA1" w:rsidRDefault="007A6C1B" w:rsidP="007A6C1B">
      <w:pPr>
        <w:pStyle w:val="NormalWeb"/>
        <w:jc w:val="both"/>
        <w:rPr>
          <w:u w:val="single"/>
        </w:rPr>
      </w:pPr>
      <w:r w:rsidRPr="00BF6CA1">
        <w:rPr>
          <w:u w:val="single"/>
        </w:rPr>
        <w:t>Se piensa que los dos gigantes tecnológicos son las primeras grandes empresas estadounidenses que ofrecen este beneficio a sus empleadas.</w:t>
      </w:r>
    </w:p>
    <w:p w:rsidR="007A6C1B" w:rsidRPr="00BF6CA1" w:rsidRDefault="007A6C1B" w:rsidP="007A6C1B">
      <w:pPr>
        <w:pStyle w:val="NormalWeb"/>
        <w:jc w:val="both"/>
        <w:rPr>
          <w:color w:val="FF0000"/>
          <w:u w:val="single"/>
        </w:rPr>
      </w:pPr>
      <w:r w:rsidRPr="00BF6CA1">
        <w:rPr>
          <w:color w:val="FF0000"/>
          <w:u w:val="single"/>
        </w:rPr>
        <w:t xml:space="preserve">Pero, ¿equilibra esto la posición de las mujeres en el terreno de juego, como dicen algunos, o es más bien es un paso demasiado drástico de los empleadores? </w:t>
      </w:r>
    </w:p>
    <w:p w:rsidR="007A6C1B" w:rsidRPr="00454FD2" w:rsidRDefault="007A6C1B" w:rsidP="007A6C1B">
      <w:pPr>
        <w:pStyle w:val="NormalWeb"/>
        <w:jc w:val="both"/>
      </w:pPr>
      <w:r w:rsidRPr="00454FD2">
        <w:t>La reacción a la medida ha sido desigual: si bien muchos la han aplaudido, otros han respondido de forma menos entusiasta.</w:t>
      </w:r>
    </w:p>
    <w:p w:rsidR="007A6C1B" w:rsidRPr="00BF6CA1" w:rsidRDefault="007A6C1B" w:rsidP="007A6C1B">
      <w:pPr>
        <w:pStyle w:val="NormalWeb"/>
        <w:jc w:val="both"/>
        <w:rPr>
          <w:u w:val="single"/>
        </w:rPr>
      </w:pPr>
      <w:r w:rsidRPr="00BF6CA1">
        <w:rPr>
          <w:u w:val="single"/>
        </w:rPr>
        <w:t>“Cualquier cosa que le dé a las mujeres mayor control sobre el calendario de su fertilidad será de mucha ayuda para las mujeres profesionales”, dijo Shelley Correll, profesora de sociología y directora del Instituto Clayman para la Investigación de Género de la Universidad de Stanford, a la agencia de noticias AP.</w:t>
      </w:r>
    </w:p>
    <w:p w:rsidR="007A6C1B" w:rsidRPr="00D838CC" w:rsidRDefault="007A6C1B" w:rsidP="007A6C1B">
      <w:pPr>
        <w:pStyle w:val="NormalWeb"/>
        <w:jc w:val="both"/>
        <w:rPr>
          <w:u w:val="single"/>
        </w:rPr>
      </w:pPr>
      <w:r w:rsidRPr="00D838CC">
        <w:rPr>
          <w:u w:val="single"/>
        </w:rPr>
        <w:t>“Esto potencialmente enfrenta los conflictos entre el reloj biológico y las carreras profesionales de las mujeres: el tiempo más importante en el trabajo, para establecer una carrera, coincide frecuentemente con los tiempos normales de la fertilidad de las mujeres. Esto posiblemente puede ayudar a resolver esto al empujar la fertilidad de las mujeres hacia el futuro”.</w:t>
      </w:r>
    </w:p>
    <w:p w:rsidR="007A6C1B" w:rsidRPr="00454FD2" w:rsidRDefault="007A6C1B" w:rsidP="007A6C1B">
      <w:pPr>
        <w:pStyle w:val="NormalWeb"/>
        <w:jc w:val="both"/>
      </w:pPr>
      <w:r>
        <w:t>“</w:t>
      </w:r>
      <w:r w:rsidRPr="00454FD2">
        <w:t>Par</w:t>
      </w:r>
      <w:r>
        <w:t>te de su responsabilidad”</w:t>
      </w:r>
    </w:p>
    <w:p w:rsidR="007A6C1B" w:rsidRPr="00454FD2" w:rsidRDefault="007A6C1B" w:rsidP="007A6C1B">
      <w:pPr>
        <w:pStyle w:val="NormalWeb"/>
        <w:jc w:val="both"/>
      </w:pPr>
      <w:r w:rsidRPr="00454FD2">
        <w:t xml:space="preserve">El doctor Simon Thornton, director médico de Care Fertility, una cadena de clínicas para la fertilidad ubicadas principalmente en Reino Unido, dice que muchas mujeres cometen el error de equiparar la buena forma física con la buena forma de los óvulos. </w:t>
      </w:r>
    </w:p>
    <w:p w:rsidR="007A6C1B" w:rsidRPr="00454FD2" w:rsidRDefault="007A6C1B" w:rsidP="007A6C1B">
      <w:pPr>
        <w:pStyle w:val="NormalWeb"/>
        <w:jc w:val="both"/>
      </w:pPr>
      <w:r>
        <w:t>“</w:t>
      </w:r>
      <w:r w:rsidRPr="00454FD2">
        <w:t>Muchas mujeres quedan impactadas al descubrir que, a pesar de estar físicamente en forma, la calidad de su óvulo es en realidad pobre, y que si hubieran congelado sus óvulos a los 30 recién cumplidos, la imagen habría sido muy dife</w:t>
      </w:r>
      <w:r>
        <w:t>rente”</w:t>
      </w:r>
      <w:r w:rsidRPr="00454FD2">
        <w:t>, dice.</w:t>
      </w:r>
    </w:p>
    <w:p w:rsidR="007A6C1B" w:rsidRPr="00D838CC" w:rsidRDefault="007A6C1B" w:rsidP="007A6C1B">
      <w:pPr>
        <w:pStyle w:val="NormalWeb"/>
        <w:jc w:val="both"/>
        <w:rPr>
          <w:u w:val="single"/>
        </w:rPr>
      </w:pPr>
      <w:r w:rsidRPr="00D838CC">
        <w:rPr>
          <w:u w:val="single"/>
        </w:rPr>
        <w:t>“Es algo muy bueno que las empresas estén viendo esto como parte de su responsabilidad con sus empleadas femeninas y que empresas con visión de futuro como Facebook estén haciendo algo al respecto”.</w:t>
      </w:r>
    </w:p>
    <w:p w:rsidR="007A6C1B" w:rsidRPr="00D838CC" w:rsidRDefault="007A6C1B" w:rsidP="007A6C1B">
      <w:pPr>
        <w:pStyle w:val="NormalWeb"/>
        <w:jc w:val="both"/>
        <w:rPr>
          <w:color w:val="FF0000"/>
          <w:u w:val="single"/>
        </w:rPr>
      </w:pPr>
      <w:r w:rsidRPr="00D838CC">
        <w:rPr>
          <w:color w:val="FF0000"/>
          <w:u w:val="single"/>
        </w:rPr>
        <w:lastRenderedPageBreak/>
        <w:t>Facebook declinó hacer comentarios, pero Apple dijo en un comunicado que se “preocupa profundamente por nuestros empleados y sus familias”.</w:t>
      </w:r>
    </w:p>
    <w:p w:rsidR="007A6C1B" w:rsidRPr="00D838CC" w:rsidRDefault="007A6C1B" w:rsidP="007A6C1B">
      <w:pPr>
        <w:pStyle w:val="NormalWeb"/>
        <w:jc w:val="both"/>
        <w:rPr>
          <w:color w:val="FF0000"/>
          <w:u w:val="single"/>
        </w:rPr>
      </w:pPr>
      <w:r w:rsidRPr="00D838CC">
        <w:rPr>
          <w:color w:val="FF0000"/>
          <w:u w:val="single"/>
        </w:rPr>
        <w:t>“Seguimos expandiendo nuestros beneficios para las mujeres, con una nueva política de licencia de maternidad extendida, junto con la criopreservación (congelamiento de óvulos) y el almacenamiento de óvulos como parte de nuestro apoyo extendido a los tratamientos de infertilidad”.</w:t>
      </w:r>
    </w:p>
    <w:p w:rsidR="007A6C1B" w:rsidRPr="00454FD2" w:rsidRDefault="007A6C1B" w:rsidP="007A6C1B">
      <w:pPr>
        <w:pStyle w:val="NormalWeb"/>
        <w:jc w:val="both"/>
      </w:pPr>
      <w:r w:rsidRPr="00454FD2">
        <w:t xml:space="preserve">Apple también ofrece un programa de ayuda para adoptar. </w:t>
      </w:r>
    </w:p>
    <w:p w:rsidR="007A6C1B" w:rsidRPr="00D838CC" w:rsidRDefault="007A6C1B" w:rsidP="007A6C1B">
      <w:pPr>
        <w:pStyle w:val="NormalWeb"/>
        <w:jc w:val="both"/>
        <w:rPr>
          <w:color w:val="FF0000"/>
          <w:u w:val="single"/>
        </w:rPr>
      </w:pPr>
      <w:r w:rsidRPr="00D838CC">
        <w:rPr>
          <w:color w:val="FF0000"/>
          <w:u w:val="single"/>
        </w:rPr>
        <w:t>“Queremos empoderar a las mujeres de Apple para hacer el mejor trabajo de sus vidas mientras se preocupan por sus seres queridos y crían a sus familias”, concluye el comunicado.</w:t>
      </w:r>
    </w:p>
    <w:p w:rsidR="007A6C1B" w:rsidRPr="00454FD2" w:rsidRDefault="007A6C1B" w:rsidP="007A6C1B">
      <w:pPr>
        <w:pStyle w:val="NormalWeb"/>
        <w:jc w:val="both"/>
      </w:pPr>
      <w:r>
        <w:t>“No es la respuesta”</w:t>
      </w:r>
    </w:p>
    <w:p w:rsidR="007A6C1B" w:rsidRPr="00D838CC" w:rsidRDefault="007A6C1B" w:rsidP="007A6C1B">
      <w:pPr>
        <w:pStyle w:val="NormalWeb"/>
        <w:jc w:val="both"/>
        <w:rPr>
          <w:color w:val="FF0000"/>
          <w:u w:val="single"/>
        </w:rPr>
      </w:pPr>
      <w:r w:rsidRPr="00D838CC">
        <w:rPr>
          <w:color w:val="FF0000"/>
          <w:u w:val="single"/>
        </w:rPr>
        <w:t>Pero algunas feministas no están del todo convencidas de la medida.</w:t>
      </w:r>
    </w:p>
    <w:p w:rsidR="007A6C1B" w:rsidRPr="00D838CC" w:rsidRDefault="007A6C1B" w:rsidP="007A6C1B">
      <w:pPr>
        <w:pStyle w:val="NormalWeb"/>
        <w:jc w:val="both"/>
        <w:rPr>
          <w:b/>
          <w:color w:val="FF0000"/>
          <w:u w:val="single"/>
        </w:rPr>
      </w:pPr>
      <w:r w:rsidRPr="00D838CC">
        <w:rPr>
          <w:b/>
          <w:color w:val="FF0000"/>
          <w:u w:val="single"/>
        </w:rPr>
        <w:t>“Hay un peligro de que con este tipo de políticas las empresas den una señal -o, incluso, que promuevan la idea- de que una mujer necesita posponer el tener hijos para poder tener éxito en el trabajo”, dice Daisy Sands, de la Sociedad Fawcett, un grupo que hace campaña por la igualdad de las mujeres.</w:t>
      </w:r>
    </w:p>
    <w:p w:rsidR="007A6C1B" w:rsidRPr="00F83907" w:rsidRDefault="007A6C1B" w:rsidP="007A6C1B">
      <w:pPr>
        <w:pStyle w:val="NormalWeb"/>
        <w:jc w:val="both"/>
        <w:rPr>
          <w:color w:val="FF0000"/>
          <w:u w:val="single"/>
        </w:rPr>
      </w:pPr>
      <w:r w:rsidRPr="00F83907">
        <w:rPr>
          <w:color w:val="FF0000"/>
          <w:u w:val="single"/>
        </w:rPr>
        <w:t>"En realidad, es probable que una pequeña cantidad de mujeres aproveche la oferta, pero esto una vez más le pone la responsabilidad a las mujeres -más que a los hombres- de pensar acerca de cuándo tener hijos y de cómo esto impactará en sus carreras”, dice Sands y añade que esto también podría significar que otros importantes cambios estructurales no han sido planteados.</w:t>
      </w:r>
    </w:p>
    <w:p w:rsidR="007A6C1B" w:rsidRPr="00F83907" w:rsidRDefault="007A6C1B" w:rsidP="007A6C1B">
      <w:pPr>
        <w:pStyle w:val="NormalWeb"/>
        <w:jc w:val="both"/>
        <w:rPr>
          <w:b/>
          <w:color w:val="FF0000"/>
          <w:u w:val="single"/>
        </w:rPr>
      </w:pPr>
      <w:r w:rsidRPr="00F83907">
        <w:rPr>
          <w:b/>
          <w:color w:val="FF0000"/>
          <w:u w:val="single"/>
        </w:rPr>
        <w:t>“Estamos viendo ahora que la brecha salarial de género más o menos se ha cerrado para las mujeres en sus 20 años, pero la brecha salarial da un salto para las mujeres en sus 30 y eso es porque, después de tener hijos, muchas mujeres se ven obligadas a disminuir su nivel de antigüedad y de pago, debido a que los puestos de trabajo que ocupaban antes simplemente ya no están disponibles con el mismo nivel de flexibilidad”.</w:t>
      </w:r>
    </w:p>
    <w:p w:rsidR="007A6C1B" w:rsidRPr="00F83907" w:rsidRDefault="007A6C1B" w:rsidP="007A6C1B">
      <w:pPr>
        <w:pStyle w:val="NormalWeb"/>
        <w:jc w:val="both"/>
        <w:rPr>
          <w:b/>
          <w:color w:val="FF0000"/>
          <w:u w:val="single"/>
        </w:rPr>
      </w:pPr>
      <w:r>
        <w:rPr>
          <w:b/>
          <w:color w:val="FF0000"/>
          <w:u w:val="single"/>
        </w:rPr>
        <w:t>“</w:t>
      </w:r>
      <w:r w:rsidRPr="00F83907">
        <w:rPr>
          <w:b/>
          <w:color w:val="FF0000"/>
          <w:u w:val="single"/>
        </w:rPr>
        <w:t>Y congela</w:t>
      </w:r>
      <w:r>
        <w:rPr>
          <w:b/>
          <w:color w:val="FF0000"/>
          <w:u w:val="single"/>
        </w:rPr>
        <w:t>r los óvulos no es la respuesta”</w:t>
      </w:r>
      <w:r w:rsidRPr="00F83907">
        <w:rPr>
          <w:b/>
          <w:color w:val="FF0000"/>
          <w:u w:val="single"/>
        </w:rPr>
        <w:t xml:space="preserve">. </w:t>
      </w:r>
    </w:p>
    <w:p w:rsidR="007A6C1B" w:rsidRPr="00454FD2" w:rsidRDefault="007A6C1B" w:rsidP="007A6C1B">
      <w:pPr>
        <w:pStyle w:val="NormalWeb"/>
        <w:jc w:val="both"/>
      </w:pPr>
      <w:r w:rsidRPr="00454FD2">
        <w:t>Atraer más mujeres</w:t>
      </w:r>
    </w:p>
    <w:p w:rsidR="007A6C1B" w:rsidRPr="00F83907" w:rsidRDefault="007A6C1B" w:rsidP="007A6C1B">
      <w:pPr>
        <w:pStyle w:val="NormalWeb"/>
        <w:jc w:val="both"/>
        <w:rPr>
          <w:b/>
          <w:color w:val="FF0000"/>
          <w:u w:val="single"/>
        </w:rPr>
      </w:pPr>
      <w:r w:rsidRPr="00F83907">
        <w:rPr>
          <w:b/>
          <w:color w:val="FF0000"/>
          <w:u w:val="single"/>
        </w:rPr>
        <w:t>Geraldine Gallacher montó una empresa -Executive Coaching- especializada en asesorar mujeres que regresan al trabajo luego de tener un bebé, particularmente en bufetes de abogados y bancos. Y siente que este tipo de políticas refuerza el mensaje de que ser mamá es un problema.</w:t>
      </w:r>
    </w:p>
    <w:p w:rsidR="007A6C1B" w:rsidRPr="00F83907" w:rsidRDefault="007A6C1B" w:rsidP="007A6C1B">
      <w:pPr>
        <w:pStyle w:val="NormalWeb"/>
        <w:jc w:val="both"/>
        <w:rPr>
          <w:b/>
          <w:color w:val="FF0000"/>
          <w:u w:val="single"/>
        </w:rPr>
      </w:pPr>
      <w:r w:rsidRPr="00F83907">
        <w:rPr>
          <w:b/>
          <w:color w:val="FF0000"/>
          <w:u w:val="single"/>
        </w:rPr>
        <w:t>“Es una solución tecnológica a un problema humano”, dice. “Es tratar de cambiar la naturaleza en lugar de cambiar la organización”.</w:t>
      </w:r>
    </w:p>
    <w:p w:rsidR="007A6C1B" w:rsidRPr="00F83907" w:rsidRDefault="007A6C1B" w:rsidP="007A6C1B">
      <w:pPr>
        <w:pStyle w:val="NormalWeb"/>
        <w:jc w:val="both"/>
        <w:rPr>
          <w:b/>
          <w:color w:val="FF0000"/>
          <w:u w:val="single"/>
        </w:rPr>
      </w:pPr>
      <w:r w:rsidRPr="00F83907">
        <w:rPr>
          <w:b/>
          <w:color w:val="FF0000"/>
          <w:u w:val="single"/>
        </w:rPr>
        <w:t>“Y los mismos asuntos van a persistir cuando las mujeres finalmente tengan hijos”.</w:t>
      </w:r>
    </w:p>
    <w:p w:rsidR="007A6C1B" w:rsidRPr="00F83907" w:rsidRDefault="007A6C1B" w:rsidP="007A6C1B">
      <w:pPr>
        <w:pStyle w:val="NormalWeb"/>
        <w:jc w:val="both"/>
        <w:rPr>
          <w:u w:val="single"/>
        </w:rPr>
      </w:pPr>
      <w:r w:rsidRPr="00F83907">
        <w:rPr>
          <w:u w:val="single"/>
        </w:rPr>
        <w:lastRenderedPageBreak/>
        <w:t>Gallacher dice que las empresas hacen grandes esfuerzos por mantener contento a su personal femenino -como suministrarles el desayuno e incluso camas en el lugar de trabajo-, pero que esto -la congelación de óvulos- es “un paso demasiado lejos”.</w:t>
      </w:r>
    </w:p>
    <w:p w:rsidR="007A6C1B" w:rsidRPr="00F83907" w:rsidRDefault="007A6C1B" w:rsidP="007A6C1B">
      <w:pPr>
        <w:pStyle w:val="NormalWeb"/>
        <w:jc w:val="both"/>
        <w:rPr>
          <w:u w:val="single"/>
        </w:rPr>
      </w:pPr>
      <w:r w:rsidRPr="00F83907">
        <w:rPr>
          <w:u w:val="single"/>
        </w:rPr>
        <w:t>Lo único que las empresas podrían hacer para facilitar la vida de una madre que está de regreso es darle más autonomía sobre sus horas, afirma.</w:t>
      </w:r>
    </w:p>
    <w:p w:rsidR="007A6C1B" w:rsidRPr="00454FD2" w:rsidRDefault="007A6C1B" w:rsidP="007A6C1B">
      <w:pPr>
        <w:pStyle w:val="NormalWeb"/>
        <w:jc w:val="both"/>
      </w:pPr>
      <w:r w:rsidRPr="00454FD2">
        <w:t>Y agrega que la oferta de pagar por congelar óvulos puede no atraer a más mujeres hacia la industria.</w:t>
      </w:r>
    </w:p>
    <w:p w:rsidR="007A6C1B" w:rsidRPr="00454FD2" w:rsidRDefault="007A6C1B" w:rsidP="007A6C1B">
      <w:pPr>
        <w:pStyle w:val="NormalWeb"/>
        <w:jc w:val="both"/>
      </w:pPr>
      <w:r w:rsidRPr="00454FD2">
        <w:t>La industria tecnológica es conocida por estar dominada por hombres y comentarios como el del jefe de Microsoft, Satya Nadella, quien la semana pasada aconsejó a las mujeres que no pidieran aumentos salariales, en poco ayudará a la causa.</w:t>
      </w:r>
    </w:p>
    <w:p w:rsidR="007A6C1B" w:rsidRDefault="007A6C1B" w:rsidP="007A6C1B">
      <w:pPr>
        <w:pStyle w:val="NormalWeb"/>
        <w:jc w:val="both"/>
      </w:pPr>
      <w:r w:rsidRPr="00454FD2">
        <w:t>Sin embargo, Facebook y Apple podrían discutir y decir que, al ofrecer un amplio espectro de beneficios para las mujeres -no solo congelar sus óvulos-, están haciendo su parte para atraer a un mayor número de ellas a la industria.</w:t>
      </w:r>
    </w:p>
    <w:p w:rsidR="007A6C1B" w:rsidRPr="00FD5E9B" w:rsidRDefault="005F5D68" w:rsidP="007A6C1B">
      <w:pPr>
        <w:pStyle w:val="NormalWeb"/>
        <w:jc w:val="both"/>
        <w:rPr>
          <w:b/>
          <w:color w:val="FF0000"/>
        </w:rPr>
      </w:pPr>
      <w:r w:rsidRPr="00FD5E9B">
        <w:rPr>
          <w:b/>
          <w:color w:val="FF0000"/>
        </w:rPr>
        <w:t>“</w:t>
      </w:r>
      <w:r w:rsidR="007A6C1B" w:rsidRPr="00FD5E9B">
        <w:rPr>
          <w:b/>
          <w:color w:val="FF0000"/>
        </w:rPr>
        <w:t>Capitulación</w:t>
      </w:r>
      <w:r w:rsidRPr="00FD5E9B">
        <w:rPr>
          <w:b/>
          <w:color w:val="FF0000"/>
        </w:rPr>
        <w:t xml:space="preserve">”: </w:t>
      </w:r>
      <w:r w:rsidR="007A6C1B" w:rsidRPr="00FD5E9B">
        <w:rPr>
          <w:b/>
          <w:color w:val="FF0000"/>
        </w:rPr>
        <w:t>lo que nunca interesará a los “global players” y jamás entenderán</w:t>
      </w:r>
      <w:r w:rsidRPr="00FD5E9B">
        <w:rPr>
          <w:b/>
          <w:color w:val="FF0000"/>
        </w:rPr>
        <w:t xml:space="preserve"> los líderes políticos</w:t>
      </w:r>
      <w:r w:rsidR="007A6C1B" w:rsidRPr="00FD5E9B">
        <w:rPr>
          <w:b/>
          <w:color w:val="FF0000"/>
        </w:rPr>
        <w:t xml:space="preserve"> </w:t>
      </w:r>
      <w:r w:rsidRPr="00FD5E9B">
        <w:rPr>
          <w:b/>
          <w:color w:val="FF0000"/>
        </w:rPr>
        <w:t>(</w:t>
      </w:r>
      <w:r w:rsidR="007A6C1B" w:rsidRPr="00FD5E9B">
        <w:rPr>
          <w:b/>
          <w:color w:val="FF0000"/>
        </w:rPr>
        <w:t>¿ignorantes, necios, cínicos, avaros, insensatos, miserables…?</w:t>
      </w:r>
      <w:r w:rsidRPr="00FD5E9B">
        <w:rPr>
          <w:b/>
          <w:color w:val="FF0000"/>
        </w:rPr>
        <w:t>)</w:t>
      </w:r>
      <w:r w:rsidR="007A6C1B" w:rsidRPr="00FD5E9B">
        <w:rPr>
          <w:b/>
          <w:color w:val="FF0000"/>
        </w:rPr>
        <w:t xml:space="preserve">  </w:t>
      </w:r>
    </w:p>
    <w:p w:rsidR="007A6C1B" w:rsidRDefault="007A6C1B" w:rsidP="007A6C1B">
      <w:pPr>
        <w:pStyle w:val="NormalWeb"/>
        <w:shd w:val="clear" w:color="auto" w:fill="FFFFFF"/>
        <w:jc w:val="both"/>
        <w:rPr>
          <w:color w:val="000000"/>
        </w:rPr>
      </w:pPr>
      <w:r>
        <w:rPr>
          <w:color w:val="000000"/>
        </w:rPr>
        <w:t xml:space="preserve">- </w:t>
      </w:r>
      <w:r w:rsidRPr="004E30EB">
        <w:rPr>
          <w:color w:val="000000"/>
          <w:u w:val="single"/>
        </w:rPr>
        <w:t>Las mujeres con hijos son las más productivas en el trabajo</w:t>
      </w:r>
      <w:r>
        <w:rPr>
          <w:color w:val="000000"/>
        </w:rPr>
        <w:t xml:space="preserve"> (Expansión - </w:t>
      </w:r>
      <w:r w:rsidRPr="004E30EB">
        <w:rPr>
          <w:b/>
          <w:color w:val="000000"/>
        </w:rPr>
        <w:t>5/11/14</w:t>
      </w:r>
      <w:r>
        <w:rPr>
          <w:color w:val="000000"/>
        </w:rPr>
        <w:t>)</w:t>
      </w:r>
    </w:p>
    <w:p w:rsidR="007A6C1B" w:rsidRPr="004E30EB" w:rsidRDefault="007A6C1B" w:rsidP="007A6C1B">
      <w:pPr>
        <w:pStyle w:val="NormalWeb"/>
        <w:shd w:val="clear" w:color="auto" w:fill="FFFFFF"/>
        <w:jc w:val="both"/>
        <w:rPr>
          <w:color w:val="000000"/>
        </w:rPr>
      </w:pPr>
      <w:r>
        <w:rPr>
          <w:color w:val="000000"/>
        </w:rPr>
        <w:t xml:space="preserve">(Por </w:t>
      </w:r>
      <w:r w:rsidRPr="004E30EB">
        <w:rPr>
          <w:color w:val="000000"/>
        </w:rPr>
        <w:t>M.</w:t>
      </w:r>
      <w:r>
        <w:rPr>
          <w:color w:val="000000"/>
        </w:rPr>
        <w:t xml:space="preserve"> Castillo)</w:t>
      </w:r>
    </w:p>
    <w:p w:rsidR="007A6C1B" w:rsidRPr="00504B9E" w:rsidRDefault="007A6C1B" w:rsidP="007A6C1B">
      <w:pPr>
        <w:pStyle w:val="NormalWeb"/>
        <w:shd w:val="clear" w:color="auto" w:fill="FFFFFF"/>
        <w:jc w:val="both"/>
        <w:rPr>
          <w:color w:val="FF0000"/>
          <w:u w:val="single"/>
        </w:rPr>
      </w:pPr>
      <w:r w:rsidRPr="00504B9E">
        <w:rPr>
          <w:color w:val="FF0000"/>
          <w:u w:val="single"/>
        </w:rPr>
        <w:t xml:space="preserve">Un estudio  estadounidense concluye que las mujeres son más productivas a lo largo de su carrera profesional si tienen hijos. Rinden más que las que no tienen, pero también despuntan respecto a los hombres. </w:t>
      </w:r>
    </w:p>
    <w:p w:rsidR="007A6C1B" w:rsidRPr="004E30EB" w:rsidRDefault="007A6C1B" w:rsidP="007A6C1B">
      <w:pPr>
        <w:pStyle w:val="NormalWeb"/>
        <w:shd w:val="clear" w:color="auto" w:fill="FFFFFF"/>
        <w:jc w:val="both"/>
        <w:rPr>
          <w:color w:val="000000"/>
        </w:rPr>
      </w:pPr>
      <w:r w:rsidRPr="00504B9E">
        <w:rPr>
          <w:color w:val="000000"/>
          <w:u w:val="single"/>
        </w:rPr>
        <w:t>Los investigadores del Banco de la Reserva Federal de San Luis, en Misuri, Estados Unidos, midieron la productividad en trabajadores de ambos sexos con hijos y sin hijos a lo largo de 30 años de vida académica</w:t>
      </w:r>
      <w:r w:rsidRPr="004E30EB">
        <w:rPr>
          <w:color w:val="000000"/>
        </w:rPr>
        <w:t xml:space="preserve">, con el fin de entender qué impacto tiene la maternidad en la carrera profesional de </w:t>
      </w:r>
      <w:r>
        <w:rPr>
          <w:color w:val="000000"/>
        </w:rPr>
        <w:t>mujeres altamente cualificadas.</w:t>
      </w:r>
    </w:p>
    <w:p w:rsidR="007A6C1B" w:rsidRPr="004E30EB" w:rsidRDefault="007A6C1B" w:rsidP="007A6C1B">
      <w:pPr>
        <w:pStyle w:val="NormalWeb"/>
        <w:shd w:val="clear" w:color="auto" w:fill="FFFFFF"/>
        <w:jc w:val="both"/>
        <w:rPr>
          <w:color w:val="000000"/>
        </w:rPr>
      </w:pPr>
      <w:r w:rsidRPr="004E30EB">
        <w:rPr>
          <w:color w:val="000000"/>
        </w:rPr>
        <w:t>Los investigadores (todos ellos, hombres, según destaca The Washington Post, que se hace eco de la investigación) reconocen la dificultad de medir el rendimiento laboral en trabajadores de alta cualificación (¿cómo se mide la precisión de un cirujano, la habilidad de un consultor o la capacidad de nego</w:t>
      </w:r>
      <w:r>
        <w:rPr>
          <w:color w:val="000000"/>
        </w:rPr>
        <w:t>ciación de un project manager)?</w:t>
      </w:r>
    </w:p>
    <w:p w:rsidR="007A6C1B" w:rsidRPr="00504B9E" w:rsidRDefault="007A6C1B" w:rsidP="007A6C1B">
      <w:pPr>
        <w:pStyle w:val="NormalWeb"/>
        <w:shd w:val="clear" w:color="auto" w:fill="FFFFFF"/>
        <w:jc w:val="both"/>
        <w:rPr>
          <w:color w:val="000000"/>
          <w:u w:val="single"/>
        </w:rPr>
      </w:pPr>
      <w:r w:rsidRPr="004E30EB">
        <w:rPr>
          <w:color w:val="000000"/>
        </w:rPr>
        <w:t xml:space="preserve">La solución que encontraron para acotar </w:t>
      </w:r>
      <w:r w:rsidRPr="00504B9E">
        <w:rPr>
          <w:color w:val="000000"/>
          <w:u w:val="single"/>
        </w:rPr>
        <w:t>la investigación fue medir la cantidad de estudios académicos publicados por 10.000 economistas: en altos niveles académicos se presuponen unos niveles educativos de grado superior y además el trabajo científico se puede localizar y calcular con facilidad para llegar a conclusiones.</w:t>
      </w:r>
    </w:p>
    <w:p w:rsidR="007A6C1B" w:rsidRPr="00504B9E" w:rsidRDefault="007A6C1B" w:rsidP="007A6C1B">
      <w:pPr>
        <w:pStyle w:val="NormalWeb"/>
        <w:shd w:val="clear" w:color="auto" w:fill="FFFFFF"/>
        <w:jc w:val="both"/>
        <w:rPr>
          <w:color w:val="000000"/>
          <w:u w:val="single"/>
        </w:rPr>
      </w:pPr>
      <w:r w:rsidRPr="00504B9E">
        <w:rPr>
          <w:color w:val="000000"/>
          <w:u w:val="single"/>
        </w:rPr>
        <w:t>Y los resultados fueron sorprendentes: en el caso de los hombres, los padres sin hijos o sólo con uno publicaron la misma cantidad de trabajos académicos, pero los hombres que tenían dos hijos o más fueron más productivos que los dos grupos anteriores.</w:t>
      </w:r>
    </w:p>
    <w:p w:rsidR="007A6C1B" w:rsidRPr="00917F19" w:rsidRDefault="007A6C1B" w:rsidP="007A6C1B">
      <w:pPr>
        <w:pStyle w:val="NormalWeb"/>
        <w:shd w:val="clear" w:color="auto" w:fill="FFFFFF"/>
        <w:jc w:val="both"/>
        <w:rPr>
          <w:color w:val="FF0000"/>
          <w:u w:val="single"/>
        </w:rPr>
      </w:pPr>
      <w:r w:rsidRPr="00917F19">
        <w:rPr>
          <w:color w:val="FF0000"/>
          <w:u w:val="single"/>
        </w:rPr>
        <w:t xml:space="preserve">Pero lo más sorprendente es que este efecto se acentuaba en el caso de las mujeres. Las que no tuvieron hijos durante sus primeros cinco años de carrera fueron menos </w:t>
      </w:r>
      <w:r w:rsidRPr="00917F19">
        <w:rPr>
          <w:color w:val="FF0000"/>
          <w:u w:val="single"/>
        </w:rPr>
        <w:lastRenderedPageBreak/>
        <w:t xml:space="preserve">productivas que las que sí dieron a luz al menos una vez, y esa diferencia era aún mayor cuando las mujeres habían tenido dos o más partos. En todos los casos, las madres de familias más grandes fueron académicamente más productivas. </w:t>
      </w:r>
    </w:p>
    <w:p w:rsidR="007A6C1B" w:rsidRPr="004E30EB" w:rsidRDefault="007A6C1B" w:rsidP="007A6C1B">
      <w:pPr>
        <w:pStyle w:val="NormalWeb"/>
        <w:shd w:val="clear" w:color="auto" w:fill="FFFFFF"/>
        <w:jc w:val="both"/>
        <w:rPr>
          <w:color w:val="000000"/>
        </w:rPr>
      </w:pPr>
      <w:r w:rsidRPr="004E30EB">
        <w:rPr>
          <w:color w:val="000000"/>
        </w:rPr>
        <w:t>Las ayudas a la maternidad benefician al trabajo</w:t>
      </w:r>
    </w:p>
    <w:p w:rsidR="007A6C1B" w:rsidRPr="00917F19" w:rsidRDefault="007A6C1B" w:rsidP="007A6C1B">
      <w:pPr>
        <w:pStyle w:val="NormalWeb"/>
        <w:shd w:val="clear" w:color="auto" w:fill="FFFFFF"/>
        <w:jc w:val="both"/>
        <w:rPr>
          <w:color w:val="000000"/>
          <w:u w:val="single"/>
        </w:rPr>
      </w:pPr>
      <w:r w:rsidRPr="00917F19">
        <w:rPr>
          <w:color w:val="000000"/>
          <w:u w:val="single"/>
        </w:rPr>
        <w:t>Los investigadores hacen hincapié en que el examen se basa en una muestra muy específica de mujeres que disfrutan de unas condiciones económicas privilegiadas, con acceso a la planificación familiar y que han podido disfrutar de excedencias y ayudas a la maternidad y la conciliación laboral.</w:t>
      </w:r>
    </w:p>
    <w:p w:rsidR="007A6C1B" w:rsidRPr="00917F19" w:rsidRDefault="007A6C1B" w:rsidP="007A6C1B">
      <w:pPr>
        <w:pStyle w:val="NormalWeb"/>
        <w:shd w:val="clear" w:color="auto" w:fill="FFFFFF"/>
        <w:jc w:val="both"/>
        <w:rPr>
          <w:color w:val="FF0000"/>
          <w:u w:val="single"/>
        </w:rPr>
      </w:pPr>
      <w:r w:rsidRPr="00917F19">
        <w:rPr>
          <w:color w:val="FF0000"/>
          <w:u w:val="single"/>
        </w:rPr>
        <w:t>Asimismo, indican los autores, dada su buena condición económica también han podido recurrir a cuidados infantiles que les permitieran alargar su jornada laboral. ·En un entorno laboral de las mujeres de bajos ingresos y escasa cualificación es, por lo general, mucho más hostil”, recuerdan.</w:t>
      </w:r>
    </w:p>
    <w:p w:rsidR="007A6C1B" w:rsidRPr="00917F19" w:rsidRDefault="007A6C1B" w:rsidP="007A6C1B">
      <w:pPr>
        <w:pStyle w:val="NormalWeb"/>
        <w:shd w:val="clear" w:color="auto" w:fill="FFFFFF"/>
        <w:jc w:val="both"/>
        <w:rPr>
          <w:color w:val="FF0000"/>
          <w:u w:val="single"/>
        </w:rPr>
      </w:pPr>
      <w:r w:rsidRPr="00917F19">
        <w:rPr>
          <w:color w:val="FF0000"/>
          <w:u w:val="single"/>
        </w:rPr>
        <w:t>Y hallaron que la productividad cae de un 15 a un 17% entre las mujeres con bebés o hijos de corta edad. En el caso de madres de familias numerosas, el desempeño laboral se resiente en un 9,5%, un 12,5% con el segundo hijo y un 11% con el tercer niño.</w:t>
      </w:r>
    </w:p>
    <w:p w:rsidR="007A6C1B" w:rsidRPr="00917F19" w:rsidRDefault="007A6C1B" w:rsidP="007A6C1B">
      <w:pPr>
        <w:pStyle w:val="NormalWeb"/>
        <w:shd w:val="clear" w:color="auto" w:fill="FFFFFF"/>
        <w:jc w:val="both"/>
        <w:rPr>
          <w:color w:val="FF0000"/>
          <w:u w:val="single"/>
        </w:rPr>
      </w:pPr>
      <w:r w:rsidRPr="00917F19">
        <w:rPr>
          <w:color w:val="FF0000"/>
          <w:u w:val="single"/>
        </w:rPr>
        <w:t>En otras palabras, tener tres hijos implica asumir una pérdida de productividad en el trabajo de un 33% a lo largo de la carrera profesional de las investigadoras que son madres, el equivalente a cuatro años de vida académica.</w:t>
      </w:r>
    </w:p>
    <w:p w:rsidR="007A6C1B" w:rsidRPr="00917F19" w:rsidRDefault="007A6C1B" w:rsidP="007A6C1B">
      <w:pPr>
        <w:pStyle w:val="NormalWeb"/>
        <w:shd w:val="clear" w:color="auto" w:fill="FFFFFF"/>
        <w:jc w:val="both"/>
        <w:rPr>
          <w:color w:val="FF0000"/>
          <w:u w:val="single"/>
        </w:rPr>
      </w:pPr>
      <w:r w:rsidRPr="00917F19">
        <w:rPr>
          <w:b/>
          <w:color w:val="FF0000"/>
          <w:u w:val="single"/>
        </w:rPr>
        <w:t>“Cuando se tienen hijos pequeños, el impacto en el trabajo es notable”,</w:t>
      </w:r>
      <w:r w:rsidRPr="00917F19">
        <w:rPr>
          <w:color w:val="FF0000"/>
          <w:u w:val="single"/>
        </w:rPr>
        <w:t xml:space="preserve"> señala a The Washington Post Christian Zimmerman, uno de los investigadores del trabajo.</w:t>
      </w:r>
    </w:p>
    <w:p w:rsidR="007A6C1B" w:rsidRPr="004E30EB" w:rsidRDefault="007A6C1B" w:rsidP="007A6C1B">
      <w:pPr>
        <w:pStyle w:val="NormalWeb"/>
        <w:shd w:val="clear" w:color="auto" w:fill="FFFFFF"/>
        <w:jc w:val="both"/>
        <w:rPr>
          <w:color w:val="000000"/>
        </w:rPr>
      </w:pPr>
      <w:r w:rsidRPr="00917F19">
        <w:rPr>
          <w:b/>
          <w:color w:val="FF0000"/>
          <w:u w:val="single"/>
        </w:rPr>
        <w:t>“Pero una vez que los hijos crecen, las madres brillan desde el punto de vista de productividad y despuntan respecto a la de sus colegas”</w:t>
      </w:r>
      <w:r w:rsidRPr="004E30EB">
        <w:rPr>
          <w:color w:val="000000"/>
        </w:rPr>
        <w:t xml:space="preserve">. En el estudio se observó, además, otro efecto sorprendente: todas las madres entrevistadas dijeron sentirse culpables por tener de que dejar eventualmente el trabajo para ir con su hijo al médico, por salir antes del trabajo para organizar una fiesta o por no haber podido prestar atención a una conferencia después de haber pasado una mala noche. </w:t>
      </w:r>
    </w:p>
    <w:p w:rsidR="007A6C1B" w:rsidRPr="004E30EB" w:rsidRDefault="007A6C1B" w:rsidP="007A6C1B">
      <w:pPr>
        <w:pStyle w:val="NormalWeb"/>
        <w:shd w:val="clear" w:color="auto" w:fill="FFFFFF"/>
        <w:jc w:val="both"/>
        <w:rPr>
          <w:color w:val="000000"/>
        </w:rPr>
      </w:pPr>
      <w:r w:rsidRPr="004E30EB">
        <w:rPr>
          <w:color w:val="000000"/>
        </w:rPr>
        <w:t>La hiperorganización, necesidad y cualidad</w:t>
      </w:r>
    </w:p>
    <w:p w:rsidR="007A6C1B" w:rsidRPr="00917F19" w:rsidRDefault="007A6C1B" w:rsidP="007A6C1B">
      <w:pPr>
        <w:pStyle w:val="NormalWeb"/>
        <w:shd w:val="clear" w:color="auto" w:fill="FFFFFF"/>
        <w:jc w:val="both"/>
        <w:rPr>
          <w:b/>
          <w:color w:val="FF0000"/>
          <w:u w:val="single"/>
        </w:rPr>
      </w:pPr>
      <w:r w:rsidRPr="00917F19">
        <w:rPr>
          <w:b/>
          <w:color w:val="FF0000"/>
          <w:u w:val="single"/>
        </w:rPr>
        <w:t>Pero una vez que se supera esta etapa, sugieren los autores, las investigadoras y a la vez madres de familias numerosas alcanzaron el éxito profesional en mayor proporción que el resto.</w:t>
      </w:r>
    </w:p>
    <w:p w:rsidR="007A6C1B" w:rsidRPr="00917F19" w:rsidRDefault="007A6C1B" w:rsidP="007A6C1B">
      <w:pPr>
        <w:pStyle w:val="NormalWeb"/>
        <w:shd w:val="clear" w:color="auto" w:fill="FFFFFF"/>
        <w:jc w:val="both"/>
        <w:rPr>
          <w:color w:val="FF0000"/>
          <w:u w:val="single"/>
        </w:rPr>
      </w:pPr>
      <w:r>
        <w:rPr>
          <w:color w:val="FF0000"/>
          <w:u w:val="single"/>
        </w:rPr>
        <w:t>“</w:t>
      </w:r>
      <w:r w:rsidRPr="00917F19">
        <w:rPr>
          <w:color w:val="FF0000"/>
          <w:u w:val="single"/>
        </w:rPr>
        <w:t>Quizá se sienten más seguras por su antigüedad en su labor profesional, porque su reputación se ha consolidado, o quizá el trabajo es una manera de desconectar durante un rato de la inacabable y agotadora rutina del trabajo en el hogar... o quizá despuntan laboralmente con más facilidad porque la necesidad de sacar adelante una familia las ha convertido en personas hiperorganizadas</w:t>
      </w:r>
      <w:r>
        <w:rPr>
          <w:color w:val="FF0000"/>
          <w:u w:val="single"/>
        </w:rPr>
        <w:t>”</w:t>
      </w:r>
      <w:r w:rsidRPr="00917F19">
        <w:rPr>
          <w:color w:val="FF0000"/>
          <w:u w:val="single"/>
        </w:rPr>
        <w:t>.</w:t>
      </w:r>
    </w:p>
    <w:p w:rsidR="007A6C1B" w:rsidRDefault="007A6C1B" w:rsidP="007A6C1B">
      <w:pPr>
        <w:pStyle w:val="NormalWeb"/>
        <w:shd w:val="clear" w:color="auto" w:fill="FFFFFF"/>
        <w:jc w:val="both"/>
        <w:rPr>
          <w:color w:val="000000"/>
        </w:rPr>
      </w:pPr>
      <w:r w:rsidRPr="004E30EB">
        <w:rPr>
          <w:color w:val="000000"/>
        </w:rPr>
        <w:t>De hecho, esta es la hipótesis que se maneja, ya que se ha demostrado en innumerables ocasiones que ser organizado es un factor significativo para lograr el éxito profesional, y por eso podría ser el componente que más ha influido en los resultados de este estudio.</w:t>
      </w:r>
    </w:p>
    <w:p w:rsidR="007A6C1B" w:rsidRDefault="005F5D68" w:rsidP="007A6C1B">
      <w:pPr>
        <w:pStyle w:val="NormalWeb"/>
        <w:shd w:val="clear" w:color="auto" w:fill="FFFFFF"/>
        <w:jc w:val="both"/>
        <w:rPr>
          <w:color w:val="000000"/>
        </w:rPr>
      </w:pPr>
      <w:r w:rsidRPr="006A7BC9">
        <w:rPr>
          <w:b/>
          <w:color w:val="000000"/>
        </w:rPr>
        <w:lastRenderedPageBreak/>
        <w:t>Coda</w:t>
      </w:r>
      <w:r w:rsidR="007A6C1B">
        <w:rPr>
          <w:color w:val="000000"/>
        </w:rPr>
        <w:t>: los que me siguen de lejos (gracias y perdón) saben de mi “desprecio” por las chucherías informáticas, redes sociales, mensajes de 140 caracteres, Apps, y otros anestésicos similares, que ocupan, distraen y abducen a la juventud (y algunos mayores) que se empeñan en vivir todo el día (y has</w:t>
      </w:r>
      <w:r w:rsidR="00960B55">
        <w:rPr>
          <w:color w:val="000000"/>
        </w:rPr>
        <w:t>ta la noche) pegados a la “teta” electrónica</w:t>
      </w:r>
      <w:r w:rsidR="007A6C1B">
        <w:rPr>
          <w:color w:val="000000"/>
        </w:rPr>
        <w:t xml:space="preserve">. </w:t>
      </w:r>
    </w:p>
    <w:p w:rsidR="007A6C1B" w:rsidRDefault="007A6C1B" w:rsidP="007A6C1B">
      <w:pPr>
        <w:pStyle w:val="NormalWeb"/>
        <w:shd w:val="clear" w:color="auto" w:fill="FFFFFF"/>
        <w:jc w:val="both"/>
        <w:rPr>
          <w:color w:val="000000"/>
        </w:rPr>
      </w:pPr>
      <w:r>
        <w:rPr>
          <w:color w:val="000000"/>
        </w:rPr>
        <w:t>Pero, así y todo, mi “</w:t>
      </w:r>
      <w:r w:rsidRPr="00960B55">
        <w:rPr>
          <w:b/>
          <w:color w:val="000000"/>
        </w:rPr>
        <w:t>capitulación</w:t>
      </w:r>
      <w:r>
        <w:rPr>
          <w:color w:val="000000"/>
        </w:rPr>
        <w:t>”, con respecto a las “mejores intenciones”</w:t>
      </w:r>
      <w:r w:rsidR="005F5D68">
        <w:rPr>
          <w:color w:val="000000"/>
        </w:rPr>
        <w:t xml:space="preserve"> que pudieran</w:t>
      </w:r>
      <w:r>
        <w:rPr>
          <w:color w:val="000000"/>
        </w:rPr>
        <w:t xml:space="preserve"> tener las autoridades europeas de rectificar su marcha imparable hacia el abismo, se confir</w:t>
      </w:r>
      <w:r w:rsidR="00F8299D">
        <w:rPr>
          <w:color w:val="000000"/>
        </w:rPr>
        <w:t>ma cuando escucho por radio Eura</w:t>
      </w:r>
      <w:r>
        <w:rPr>
          <w:color w:val="000000"/>
        </w:rPr>
        <w:t>net</w:t>
      </w:r>
      <w:r w:rsidR="00103477">
        <w:rPr>
          <w:color w:val="000000"/>
        </w:rPr>
        <w:t xml:space="preserve"> Plus el 25/10</w:t>
      </w:r>
      <w:r>
        <w:rPr>
          <w:color w:val="000000"/>
        </w:rPr>
        <w:t>/</w:t>
      </w:r>
      <w:r w:rsidR="00710E11">
        <w:rPr>
          <w:color w:val="000000"/>
        </w:rPr>
        <w:t>14</w:t>
      </w:r>
      <w:r w:rsidR="00103477">
        <w:rPr>
          <w:color w:val="000000"/>
        </w:rPr>
        <w:t xml:space="preserve"> y nuev</w:t>
      </w:r>
      <w:r w:rsidR="00F8299D">
        <w:rPr>
          <w:color w:val="000000"/>
        </w:rPr>
        <w:t>amente el 7/11 (sin comentarios</w:t>
      </w:r>
      <w:r w:rsidR="00710E11">
        <w:rPr>
          <w:color w:val="000000"/>
        </w:rPr>
        <w:t xml:space="preserve"> en</w:t>
      </w:r>
      <w:r w:rsidR="00103477">
        <w:rPr>
          <w:color w:val="000000"/>
        </w:rPr>
        <w:t xml:space="preserve"> la</w:t>
      </w:r>
      <w:r w:rsidR="00710E11">
        <w:rPr>
          <w:color w:val="000000"/>
        </w:rPr>
        <w:t xml:space="preserve"> página web de la CE</w:t>
      </w:r>
      <w:r>
        <w:rPr>
          <w:color w:val="000000"/>
        </w:rPr>
        <w:t xml:space="preserve">), que Alemania, Francia y el Reino Unido, se </w:t>
      </w:r>
      <w:r w:rsidR="00103477">
        <w:rPr>
          <w:color w:val="000000"/>
        </w:rPr>
        <w:t>oponen a aprobar una directiva sobre maternidad</w:t>
      </w:r>
      <w:r>
        <w:rPr>
          <w:color w:val="000000"/>
        </w:rPr>
        <w:t xml:space="preserve"> (5 meses</w:t>
      </w:r>
      <w:r w:rsidR="00103477">
        <w:rPr>
          <w:color w:val="000000"/>
        </w:rPr>
        <w:t xml:space="preserve"> de licencia y 100% del salario durante la baja)</w:t>
      </w:r>
      <w:r>
        <w:rPr>
          <w:color w:val="000000"/>
        </w:rPr>
        <w:t>, porque “la actual situación económica no lo permite”. Cínicos, descarados, ignorantes: estos no “congelan” los óvulos</w:t>
      </w:r>
      <w:r w:rsidR="00103477">
        <w:rPr>
          <w:color w:val="000000"/>
        </w:rPr>
        <w:t>, los “desalientan”</w:t>
      </w:r>
      <w:r w:rsidR="00B36875">
        <w:rPr>
          <w:color w:val="000000"/>
        </w:rPr>
        <w:t>, sin más</w:t>
      </w:r>
      <w:r w:rsidR="00103477">
        <w:rPr>
          <w:color w:val="000000"/>
        </w:rPr>
        <w:t xml:space="preserve">, con indiferencia y pitorreo. </w:t>
      </w:r>
      <w:r>
        <w:rPr>
          <w:color w:val="000000"/>
        </w:rPr>
        <w:t>Nos mean en la cabeza, y luego dicen que llueve.</w:t>
      </w:r>
    </w:p>
    <w:p w:rsidR="006A7BC9" w:rsidRPr="006A7BC9" w:rsidRDefault="006A7BC9" w:rsidP="006A7BC9">
      <w:pPr>
        <w:pStyle w:val="NormalWeb"/>
        <w:shd w:val="clear" w:color="auto" w:fill="FFFFFF"/>
        <w:spacing w:before="0" w:after="0"/>
        <w:jc w:val="both"/>
      </w:pPr>
      <w:r w:rsidRPr="006A7BC9">
        <w:t xml:space="preserve">El término </w:t>
      </w:r>
      <w:r w:rsidR="00710E11">
        <w:t>“</w:t>
      </w:r>
      <w:r w:rsidRPr="006A7BC9">
        <w:rPr>
          <w:rStyle w:val="Textoennegrita"/>
        </w:rPr>
        <w:t>némesis</w:t>
      </w:r>
      <w:r w:rsidR="00710E11">
        <w:rPr>
          <w:rStyle w:val="Textoennegrita"/>
          <w:b w:val="0"/>
        </w:rPr>
        <w:t>”</w:t>
      </w:r>
      <w:r w:rsidRPr="006A7BC9">
        <w:t xml:space="preserve"> no está contemplado como contenido por el diccionario de la </w:t>
      </w:r>
      <w:hyperlink r:id="rId232" w:history="1">
        <w:r w:rsidRPr="006A7BC9">
          <w:rPr>
            <w:rStyle w:val="Textoennegrita"/>
            <w:b w:val="0"/>
          </w:rPr>
          <w:t>Real Academia Española (RAE)</w:t>
        </w:r>
      </w:hyperlink>
      <w:r w:rsidRPr="006A7BC9">
        <w:t xml:space="preserve">, pero no es un vocablo inventado. Si uno indaga en la mitología griega, no tardará en descubrir que </w:t>
      </w:r>
      <w:r w:rsidRPr="006A7BC9">
        <w:rPr>
          <w:rStyle w:val="Textoennegrita"/>
        </w:rPr>
        <w:t>Némesis</w:t>
      </w:r>
      <w:r w:rsidRPr="006A7BC9">
        <w:t xml:space="preserve"> es el nombre que identifica a </w:t>
      </w:r>
      <w:r w:rsidRPr="006A7BC9">
        <w:rPr>
          <w:b/>
        </w:rPr>
        <w:t xml:space="preserve">la </w:t>
      </w:r>
      <w:r w:rsidRPr="006A7BC9">
        <w:rPr>
          <w:rStyle w:val="Textoennegrita"/>
        </w:rPr>
        <w:t>diosa de la venganza, la fortuna y la justicia retributiva</w:t>
      </w:r>
      <w:r w:rsidRPr="006A7BC9">
        <w:t>. Se ocupaba de aplicar un castigo a aquellos que no obedecían (por ejemplo, a los hijos que no respetaban las órdenes de sus padres).</w:t>
      </w:r>
    </w:p>
    <w:p w:rsidR="006A7BC9" w:rsidRDefault="006A7BC9" w:rsidP="006A7BC9">
      <w:pPr>
        <w:pStyle w:val="NormalWeb"/>
        <w:shd w:val="clear" w:color="auto" w:fill="FFFFFF"/>
        <w:spacing w:before="0" w:after="0"/>
        <w:jc w:val="both"/>
      </w:pPr>
      <w:r w:rsidRPr="006A7BC9">
        <w:rPr>
          <w:rStyle w:val="Textoennegrita"/>
        </w:rPr>
        <w:t>Némesis</w:t>
      </w:r>
      <w:r w:rsidRPr="006A7BC9">
        <w:t xml:space="preserve">, según se cuenta, sancionaba la desmesura y no dejaba que los </w:t>
      </w:r>
      <w:hyperlink r:id="rId233" w:history="1">
        <w:r w:rsidRPr="006A7BC9">
          <w:rPr>
            <w:rStyle w:val="Textoennegrita"/>
            <w:b w:val="0"/>
          </w:rPr>
          <w:t>hombres</w:t>
        </w:r>
      </w:hyperlink>
      <w:r w:rsidRPr="006A7BC9">
        <w:t xml:space="preserve"> fueran demasiado afortunados. En su intención de resguardar el equilibrio universal, la diosa podía provocar la ruina de aquellos que habían sido favorecidos por la </w:t>
      </w:r>
      <w:r>
        <w:t xml:space="preserve">fortuna. </w:t>
      </w:r>
    </w:p>
    <w:p w:rsidR="006A7BC9" w:rsidRPr="006A7BC9" w:rsidRDefault="006A7BC9" w:rsidP="006A7BC9">
      <w:pPr>
        <w:pStyle w:val="NormalWeb"/>
        <w:shd w:val="clear" w:color="auto" w:fill="FFFFFF"/>
        <w:spacing w:after="0"/>
        <w:jc w:val="both"/>
        <w:rPr>
          <w:b/>
        </w:rPr>
      </w:pPr>
      <w:r>
        <w:t xml:space="preserve">Cabe resaltar además que, en ciertas ocasiones, </w:t>
      </w:r>
      <w:r w:rsidRPr="006A7BC9">
        <w:rPr>
          <w:b/>
        </w:rPr>
        <w:t>némesis suele utilizarse como sinónimo de enemigo</w:t>
      </w:r>
      <w:r>
        <w:t xml:space="preserve">. Este uso proviene del </w:t>
      </w:r>
      <w:r w:rsidRPr="006A7BC9">
        <w:rPr>
          <w:b/>
        </w:rPr>
        <w:t>deseo que puede tener un individuo de concretar una venganza contra su enemigo, tal como haría la diosa Némesis para administrar la justicia retributiva.</w:t>
      </w:r>
    </w:p>
    <w:p w:rsidR="001B19AA" w:rsidRPr="006A7BC9" w:rsidRDefault="000F6A36" w:rsidP="008D4974">
      <w:pPr>
        <w:pStyle w:val="NormalWeb"/>
        <w:shd w:val="clear" w:color="auto" w:fill="FFFFFF"/>
        <w:jc w:val="both"/>
        <w:rPr>
          <w:color w:val="000000"/>
        </w:rPr>
      </w:pPr>
      <w:r>
        <w:rPr>
          <w:b/>
        </w:rPr>
        <w:t xml:space="preserve">- </w:t>
      </w:r>
      <w:r w:rsidR="001B19AA" w:rsidRPr="001B19AA">
        <w:rPr>
          <w:b/>
        </w:rPr>
        <w:t>Al filo de lo imposible</w:t>
      </w:r>
      <w:r w:rsidR="005656E7">
        <w:rPr>
          <w:b/>
        </w:rPr>
        <w:t xml:space="preserve"> (el rock de la prisión</w:t>
      </w:r>
      <w:r w:rsidR="00710E11">
        <w:rPr>
          <w:b/>
        </w:rPr>
        <w:t>, para los mariscales de la derrota</w:t>
      </w:r>
      <w:r w:rsidR="005656E7">
        <w:rPr>
          <w:b/>
        </w:rPr>
        <w:t>)</w:t>
      </w:r>
    </w:p>
    <w:p w:rsidR="006A0260" w:rsidRPr="001B19AA" w:rsidRDefault="00276B0A" w:rsidP="008D4974">
      <w:pPr>
        <w:pStyle w:val="NormalWeb"/>
        <w:shd w:val="clear" w:color="auto" w:fill="FFFFFF"/>
        <w:jc w:val="both"/>
        <w:rPr>
          <w:sz w:val="20"/>
          <w:szCs w:val="20"/>
        </w:rPr>
      </w:pPr>
      <w:r w:rsidRPr="006A0260">
        <w:t>Nadie es capaz de predecir</w:t>
      </w:r>
      <w:r w:rsidR="006A0260" w:rsidRPr="006A0260">
        <w:t xml:space="preserve"> por </w:t>
      </w:r>
      <w:r w:rsidR="00D65EE3" w:rsidRPr="006A0260">
        <w:t>cuánto</w:t>
      </w:r>
      <w:r w:rsidR="006A0260" w:rsidRPr="006A0260">
        <w:t xml:space="preserve"> tiempo</w:t>
      </w:r>
      <w:r w:rsidR="006A0260">
        <w:t xml:space="preserve"> más</w:t>
      </w:r>
      <w:r w:rsidR="006A0260" w:rsidRPr="006A0260">
        <w:t xml:space="preserve"> los gobernante</w:t>
      </w:r>
      <w:r w:rsidR="006A0260">
        <w:t>s</w:t>
      </w:r>
      <w:r w:rsidRPr="006A0260">
        <w:t xml:space="preserve"> europeos</w:t>
      </w:r>
      <w:r w:rsidR="006A0260">
        <w:t xml:space="preserve"> podrán</w:t>
      </w:r>
      <w:r w:rsidRPr="006A0260">
        <w:t xml:space="preserve"> seguir conven</w:t>
      </w:r>
      <w:r w:rsidR="00352347">
        <w:t>ciendo a sus ciudadanos (¿</w:t>
      </w:r>
      <w:r w:rsidRPr="006A0260">
        <w:t>contribuyentes</w:t>
      </w:r>
      <w:r w:rsidR="00352347">
        <w:t xml:space="preserve"> expoliados</w:t>
      </w:r>
      <w:r w:rsidRPr="006A0260">
        <w:t>,</w:t>
      </w:r>
      <w:r w:rsidR="00C60CB6">
        <w:t xml:space="preserve"> </w:t>
      </w:r>
      <w:r w:rsidRPr="006A0260">
        <w:t>súbditos</w:t>
      </w:r>
      <w:r w:rsidR="00C60CB6">
        <w:t xml:space="preserve"> obedientes</w:t>
      </w:r>
      <w:r w:rsidR="006A0260" w:rsidRPr="006A0260">
        <w:t>, manada</w:t>
      </w:r>
      <w:r w:rsidR="00C60CB6">
        <w:t xml:space="preserve"> dócil</w:t>
      </w:r>
      <w:r w:rsidR="006A0260" w:rsidRPr="006A0260">
        <w:t>, pesebre</w:t>
      </w:r>
      <w:r w:rsidR="00C60CB6">
        <w:t xml:space="preserve"> silencioso</w:t>
      </w:r>
      <w:r w:rsidR="006A0260" w:rsidRPr="006A0260">
        <w:t>?)</w:t>
      </w:r>
      <w:r w:rsidRPr="006A0260">
        <w:t xml:space="preserve"> con un crecimiento falso, dinero falso, trabajos falsos, estabilidad financiera falsa, inflación falsa y crecimiento de los ingresos falsos. Cuando la confianza se pierde</w:t>
      </w:r>
      <w:r w:rsidR="00D65EE3">
        <w:t xml:space="preserve"> (por indignación y hartazgo)</w:t>
      </w:r>
      <w:r w:rsidRPr="006A0260">
        <w:t xml:space="preserve">, la caída puede ser severa, repentina y simultánea entre </w:t>
      </w:r>
      <w:r w:rsidR="006A0260">
        <w:t xml:space="preserve"> individuos, </w:t>
      </w:r>
      <w:r w:rsidRPr="006A0260">
        <w:t>mercados y sectores.</w:t>
      </w:r>
    </w:p>
    <w:p w:rsidR="00C60CB6" w:rsidRDefault="00C60CB6" w:rsidP="00C60CB6">
      <w:pPr>
        <w:pStyle w:val="NormalWeb"/>
        <w:jc w:val="both"/>
        <w:rPr>
          <w:color w:val="000000"/>
        </w:rPr>
      </w:pPr>
      <w:r w:rsidRPr="0018613B">
        <w:rPr>
          <w:color w:val="000000"/>
        </w:rPr>
        <w:t>Metidos en la deriva entre lo esperpéntico y lo trágico</w:t>
      </w:r>
      <w:r>
        <w:rPr>
          <w:color w:val="000000"/>
        </w:rPr>
        <w:t>, h</w:t>
      </w:r>
      <w:r w:rsidRPr="0018613B">
        <w:rPr>
          <w:color w:val="000000"/>
        </w:rPr>
        <w:t>an perdido el sentido del ridículo y desde luego también la vergüenza, por no entrar en terrenos tan resbaladizos como</w:t>
      </w:r>
      <w:r>
        <w:rPr>
          <w:color w:val="000000"/>
        </w:rPr>
        <w:t xml:space="preserve"> el permanente desafío a las leyes, la corrupción, el nepotismo, la arrogancia, el sectarismo, la prevaricación, la patrimonialización del estado, la politización de la justicia y una actitud de desparpajo e indiferencia social, como si fueran los últimos.</w:t>
      </w:r>
    </w:p>
    <w:p w:rsidR="00C60CB6" w:rsidRDefault="00C60CB6" w:rsidP="00C60CB6">
      <w:pPr>
        <w:pStyle w:val="NormalWeb"/>
        <w:jc w:val="both"/>
        <w:rPr>
          <w:color w:val="000000"/>
        </w:rPr>
      </w:pPr>
      <w:r>
        <w:rPr>
          <w:color w:val="000000"/>
        </w:rPr>
        <w:t>Tanta “payasada” (diarrea mental), me trae a la memoria u</w:t>
      </w:r>
      <w:r w:rsidRPr="00370F29">
        <w:rPr>
          <w:color w:val="000000"/>
        </w:rPr>
        <w:t xml:space="preserve">na frase muy conocida de Estanislao Figueras dirigida a sus ministros: </w:t>
      </w:r>
      <w:r w:rsidRPr="009C1F03">
        <w:rPr>
          <w:b/>
          <w:color w:val="000000"/>
        </w:rPr>
        <w:t>“¡Señores”, les dijo, “voy a serles franco: estoy hasta los cojones de todos nosotros!”</w:t>
      </w:r>
      <w:r>
        <w:rPr>
          <w:color w:val="000000"/>
        </w:rPr>
        <w:t>. (</w:t>
      </w:r>
      <w:r w:rsidRPr="00F7102C">
        <w:rPr>
          <w:color w:val="000000"/>
        </w:rPr>
        <w:t xml:space="preserve">Estanislao Figueras y Moragas (Barcelona, 1819 - Madrid, 1882) fue un político español. En febrero de 1873, tras la </w:t>
      </w:r>
      <w:r w:rsidRPr="00F7102C">
        <w:rPr>
          <w:color w:val="000000"/>
        </w:rPr>
        <w:lastRenderedPageBreak/>
        <w:t>abdic</w:t>
      </w:r>
      <w:r>
        <w:rPr>
          <w:color w:val="000000"/>
        </w:rPr>
        <w:t>ación de Amadeo I, fue elegido “</w:t>
      </w:r>
      <w:r w:rsidRPr="00F7102C">
        <w:rPr>
          <w:color w:val="000000"/>
        </w:rPr>
        <w:t xml:space="preserve">el primer Presidente del </w:t>
      </w:r>
      <w:r>
        <w:rPr>
          <w:color w:val="000000"/>
        </w:rPr>
        <w:t>Poder Ejecutivo de la República” por la Asamblea Nacional)</w:t>
      </w:r>
    </w:p>
    <w:p w:rsidR="00C60CB6" w:rsidRPr="00F44512" w:rsidRDefault="00C60CB6" w:rsidP="00C60CB6">
      <w:pPr>
        <w:pStyle w:val="NormalWeb"/>
        <w:jc w:val="both"/>
        <w:rPr>
          <w:color w:val="000000"/>
        </w:rPr>
      </w:pPr>
      <w:r>
        <w:rPr>
          <w:color w:val="000000"/>
        </w:rPr>
        <w:t xml:space="preserve">En esta Europa, </w:t>
      </w:r>
      <w:r>
        <w:t xml:space="preserve">con el pulso vital más bajo de su reciente historia, </w:t>
      </w:r>
      <w:r>
        <w:rPr>
          <w:color w:val="000000"/>
        </w:rPr>
        <w:t xml:space="preserve">se echan en falta algunas actitudes más dignas ante el fracaso (que hoy parecen imposibles): como cuando </w:t>
      </w:r>
      <w:r w:rsidR="005656E7">
        <w:rPr>
          <w:color w:val="000000"/>
        </w:rPr>
        <w:t>Winston</w:t>
      </w:r>
      <w:r>
        <w:rPr>
          <w:color w:val="000000"/>
        </w:rPr>
        <w:t xml:space="preserve"> Churchill</w:t>
      </w:r>
      <w:r w:rsidRPr="00F44512">
        <w:rPr>
          <w:color w:val="000000"/>
        </w:rPr>
        <w:t xml:space="preserve"> sostuvo</w:t>
      </w:r>
      <w:r>
        <w:rPr>
          <w:color w:val="000000"/>
        </w:rPr>
        <w:t>,</w:t>
      </w:r>
      <w:r w:rsidRPr="00F44512">
        <w:rPr>
          <w:color w:val="000000"/>
        </w:rPr>
        <w:t xml:space="preserve"> que </w:t>
      </w:r>
      <w:r>
        <w:rPr>
          <w:b/>
          <w:color w:val="000000"/>
        </w:rPr>
        <w:t xml:space="preserve">“el </w:t>
      </w:r>
      <w:r w:rsidRPr="009C1F03">
        <w:rPr>
          <w:b/>
          <w:color w:val="000000"/>
        </w:rPr>
        <w:t>precio de la</w:t>
      </w:r>
      <w:r>
        <w:rPr>
          <w:b/>
          <w:color w:val="000000"/>
        </w:rPr>
        <w:t xml:space="preserve"> grandeza es la responsabilidad”</w:t>
      </w:r>
      <w:r w:rsidRPr="009C1F03">
        <w:rPr>
          <w:b/>
          <w:color w:val="000000"/>
        </w:rPr>
        <w:t>.</w:t>
      </w:r>
      <w:r w:rsidRPr="00F44512">
        <w:rPr>
          <w:color w:val="000000"/>
        </w:rPr>
        <w:t xml:space="preserve"> Razón por la que después del desastre de Galípoli durante la Gran Guerra (1915) abandono el Almirantazgo y marchó al frente oeste de la contienda al mando de un batallón británico para recuperar su maltrecha reputación.</w:t>
      </w:r>
      <w:r>
        <w:rPr>
          <w:color w:val="000000"/>
        </w:rPr>
        <w:t xml:space="preserve"> (</w:t>
      </w:r>
      <w:r w:rsidRPr="00F7102C">
        <w:rPr>
          <w:color w:val="000000"/>
        </w:rPr>
        <w:t>Winston Leonard Spencer Ch</w:t>
      </w:r>
      <w:r>
        <w:rPr>
          <w:color w:val="000000"/>
        </w:rPr>
        <w:t>urchill</w:t>
      </w:r>
      <w:r w:rsidRPr="00F7102C">
        <w:rPr>
          <w:color w:val="000000"/>
        </w:rPr>
        <w:t xml:space="preserve"> (Palacio de Ble</w:t>
      </w:r>
      <w:r w:rsidR="008D4974">
        <w:rPr>
          <w:color w:val="000000"/>
        </w:rPr>
        <w:t xml:space="preserve">nheim, </w:t>
      </w:r>
      <w:r>
        <w:rPr>
          <w:color w:val="000000"/>
        </w:rPr>
        <w:t>1874 -</w:t>
      </w:r>
      <w:r w:rsidR="008D4974">
        <w:rPr>
          <w:color w:val="000000"/>
        </w:rPr>
        <w:t xml:space="preserve"> Londres, </w:t>
      </w:r>
      <w:r w:rsidRPr="00F7102C">
        <w:rPr>
          <w:color w:val="000000"/>
        </w:rPr>
        <w:t>1965) fue un político y estadista británico, conocido por su liderazgo del Reino Unido durante la Segunda Guerra Mundial. Es considerado uno de los grandes líderes de tiempos de guerra y fue Primer Ministro del Reino Unido en d</w:t>
      </w:r>
      <w:r>
        <w:rPr>
          <w:color w:val="000000"/>
        </w:rPr>
        <w:t xml:space="preserve">os períodos (1940-45 y 1951-55)). </w:t>
      </w:r>
    </w:p>
    <w:p w:rsidR="00C60CB6" w:rsidRDefault="00352347" w:rsidP="00C60CB6">
      <w:pPr>
        <w:pStyle w:val="NormalWeb"/>
        <w:jc w:val="both"/>
        <w:rPr>
          <w:color w:val="000000"/>
        </w:rPr>
      </w:pPr>
      <w:r>
        <w:rPr>
          <w:color w:val="000000"/>
        </w:rPr>
        <w:t>Esta</w:t>
      </w:r>
      <w:r w:rsidR="00C60CB6">
        <w:rPr>
          <w:color w:val="000000"/>
        </w:rPr>
        <w:t>s insignifi</w:t>
      </w:r>
      <w:r>
        <w:rPr>
          <w:color w:val="000000"/>
        </w:rPr>
        <w:t>cantes y mediocres marionetas</w:t>
      </w:r>
      <w:r w:rsidR="00C60CB6">
        <w:rPr>
          <w:color w:val="000000"/>
        </w:rPr>
        <w:t xml:space="preserve">, hacen cierta (una vez más) la frase de Mario Vargas Llosa: </w:t>
      </w:r>
      <w:r w:rsidR="00C60CB6" w:rsidRPr="009C1F03">
        <w:rPr>
          <w:b/>
          <w:color w:val="000000"/>
        </w:rPr>
        <w:t>“La política saca a flote lo peor del ser humano”.</w:t>
      </w:r>
      <w:r w:rsidR="00C60CB6">
        <w:rPr>
          <w:color w:val="000000"/>
        </w:rPr>
        <w:t xml:space="preserve"> (Mario </w:t>
      </w:r>
      <w:r w:rsidR="00C60CB6" w:rsidRPr="00F7102C">
        <w:rPr>
          <w:color w:val="000000"/>
        </w:rPr>
        <w:t>Va</w:t>
      </w:r>
      <w:r w:rsidR="008D4974">
        <w:rPr>
          <w:color w:val="000000"/>
        </w:rPr>
        <w:t xml:space="preserve">rgas Llosa (Arequipa, </w:t>
      </w:r>
      <w:r w:rsidR="00C60CB6">
        <w:rPr>
          <w:color w:val="000000"/>
        </w:rPr>
        <w:t xml:space="preserve">1936), </w:t>
      </w:r>
      <w:r w:rsidR="00C60CB6" w:rsidRPr="00F7102C">
        <w:rPr>
          <w:color w:val="000000"/>
        </w:rPr>
        <w:t>es un escritor peruano. Uno de los más importantes novelistas y ensayistas contemporáneos, su obra ha cosechado numerosos premios, entre los que destacan el Príncipe de Asturias de las Letras 1986</w:t>
      </w:r>
      <w:r w:rsidR="00C60CB6">
        <w:rPr>
          <w:color w:val="000000"/>
        </w:rPr>
        <w:t xml:space="preserve"> y el Nobel de Literatura 2010, </w:t>
      </w:r>
      <w:r w:rsidR="00C60CB6" w:rsidRPr="00F7102C">
        <w:rPr>
          <w:color w:val="000000"/>
        </w:rPr>
        <w:t>el Cerv</w:t>
      </w:r>
      <w:r w:rsidR="008D4974">
        <w:rPr>
          <w:color w:val="000000"/>
        </w:rPr>
        <w:t>antes 1994, el Planeta 1993</w:t>
      </w:r>
      <w:r w:rsidR="00C60CB6">
        <w:rPr>
          <w:color w:val="000000"/>
        </w:rPr>
        <w:t>).</w:t>
      </w:r>
    </w:p>
    <w:p w:rsidR="00C60CB6" w:rsidRPr="00F44512" w:rsidRDefault="00C60CB6" w:rsidP="00C60CB6">
      <w:pPr>
        <w:pStyle w:val="NormalWeb"/>
        <w:jc w:val="both"/>
        <w:rPr>
          <w:color w:val="000000"/>
        </w:rPr>
      </w:pPr>
      <w:r>
        <w:rPr>
          <w:color w:val="000000"/>
        </w:rPr>
        <w:t>Y probablemente, tanto ustedes, como yo, coincidiríamos con Don</w:t>
      </w:r>
      <w:r w:rsidRPr="00370F29">
        <w:rPr>
          <w:color w:val="000000"/>
        </w:rPr>
        <w:t xml:space="preserve"> Manuel Azaña en el Congreso</w:t>
      </w:r>
      <w:r>
        <w:rPr>
          <w:color w:val="000000"/>
        </w:rPr>
        <w:t xml:space="preserve"> español</w:t>
      </w:r>
      <w:r w:rsidR="00352347">
        <w:rPr>
          <w:color w:val="000000"/>
        </w:rPr>
        <w:t xml:space="preserve"> en 1932, cuando dijo</w:t>
      </w:r>
      <w:r w:rsidRPr="00370F29">
        <w:rPr>
          <w:color w:val="000000"/>
        </w:rPr>
        <w:t xml:space="preserve"> a un diputado de la oposición: </w:t>
      </w:r>
      <w:r w:rsidRPr="009C1F03">
        <w:rPr>
          <w:b/>
          <w:color w:val="000000"/>
        </w:rPr>
        <w:t>“Si su señoría no tiene capacidad de sonrojarse, permítame que me sonroje por usted”</w:t>
      </w:r>
      <w:r w:rsidRPr="00370F29">
        <w:rPr>
          <w:color w:val="000000"/>
        </w:rPr>
        <w:t>.</w:t>
      </w:r>
      <w:r>
        <w:rPr>
          <w:color w:val="000000"/>
        </w:rPr>
        <w:t xml:space="preserve"> (Manuel Azaña Díaz</w:t>
      </w:r>
      <w:r w:rsidRPr="00F7102C">
        <w:rPr>
          <w:color w:val="000000"/>
        </w:rPr>
        <w:t xml:space="preserve"> (Alcalá de </w:t>
      </w:r>
      <w:r w:rsidR="008D4974">
        <w:rPr>
          <w:color w:val="000000"/>
        </w:rPr>
        <w:t xml:space="preserve">Henares, España, </w:t>
      </w:r>
      <w:r w:rsidRPr="00F7102C">
        <w:rPr>
          <w:color w:val="000000"/>
        </w:rPr>
        <w:t>1880 - Montauban, Fran</w:t>
      </w:r>
      <w:r w:rsidR="008D4974">
        <w:rPr>
          <w:color w:val="000000"/>
        </w:rPr>
        <w:t xml:space="preserve">cia, </w:t>
      </w:r>
      <w:r w:rsidRPr="00F7102C">
        <w:rPr>
          <w:color w:val="000000"/>
        </w:rPr>
        <w:t>1940) fue un político y escritor español que desempeñó los cargos de presidente del</w:t>
      </w:r>
      <w:r w:rsidR="00352347">
        <w:rPr>
          <w:color w:val="000000"/>
        </w:rPr>
        <w:t xml:space="preserve"> Gobierno de España (1931-1933,</w:t>
      </w:r>
      <w:r w:rsidRPr="00F7102C">
        <w:rPr>
          <w:color w:val="000000"/>
        </w:rPr>
        <w:t>1936) y presidente de la Segunda República Española (1936-1</w:t>
      </w:r>
      <w:r>
        <w:rPr>
          <w:color w:val="000000"/>
        </w:rPr>
        <w:t>939)).</w:t>
      </w:r>
    </w:p>
    <w:p w:rsidR="008E6ED9" w:rsidRPr="005E4603" w:rsidRDefault="00276B0A" w:rsidP="008E6ED9">
      <w:pPr>
        <w:pStyle w:val="NormalWeb"/>
        <w:jc w:val="both"/>
        <w:rPr>
          <w:color w:val="000000"/>
        </w:rPr>
      </w:pPr>
      <w:r>
        <w:rPr>
          <w:color w:val="000000"/>
        </w:rPr>
        <w:t xml:space="preserve">Mientras los políticos europeos (esos “indocumentados” en cuyas manos está nuestro ruinoso destino, el fracaso generacional de nuestros hijos, y -hasta donde la vista alcanza- el incierto futuro de nuestros nietos) </w:t>
      </w:r>
      <w:r w:rsidRPr="009529ED">
        <w:rPr>
          <w:color w:val="000000"/>
        </w:rPr>
        <w:t>se comporta</w:t>
      </w:r>
      <w:r>
        <w:rPr>
          <w:color w:val="000000"/>
        </w:rPr>
        <w:t xml:space="preserve">n como </w:t>
      </w:r>
      <w:r w:rsidRPr="009529ED">
        <w:rPr>
          <w:color w:val="000000"/>
        </w:rPr>
        <w:t>perfecto</w:t>
      </w:r>
      <w:r>
        <w:rPr>
          <w:color w:val="000000"/>
        </w:rPr>
        <w:t>s</w:t>
      </w:r>
      <w:r w:rsidRPr="009529ED">
        <w:rPr>
          <w:color w:val="000000"/>
        </w:rPr>
        <w:t xml:space="preserve"> infante</w:t>
      </w:r>
      <w:r>
        <w:rPr>
          <w:color w:val="000000"/>
        </w:rPr>
        <w:t>s incapaces</w:t>
      </w:r>
      <w:r w:rsidRPr="009529ED">
        <w:rPr>
          <w:color w:val="000000"/>
        </w:rPr>
        <w:t xml:space="preserve"> de discernir entre lo bueno y lo malo, lo moral y lo inmoral, lo lógico y lo grotesco</w:t>
      </w:r>
      <w:r>
        <w:rPr>
          <w:color w:val="000000"/>
        </w:rPr>
        <w:t>, les dejo</w:t>
      </w:r>
      <w:r w:rsidR="00C60CB6">
        <w:rPr>
          <w:color w:val="000000"/>
        </w:rPr>
        <w:t xml:space="preserve"> algunos versos</w:t>
      </w:r>
      <w:r w:rsidR="000E5435">
        <w:rPr>
          <w:color w:val="000000"/>
        </w:rPr>
        <w:t xml:space="preserve"> </w:t>
      </w:r>
      <w:r>
        <w:rPr>
          <w:color w:val="000000"/>
        </w:rPr>
        <w:t>d</w:t>
      </w:r>
      <w:r w:rsidR="00352347">
        <w:rPr>
          <w:color w:val="000000"/>
        </w:rPr>
        <w:t>e pensadores ilustres (</w:t>
      </w:r>
      <w:r w:rsidR="000E5435">
        <w:rPr>
          <w:color w:val="000000"/>
        </w:rPr>
        <w:t>canción desesperada</w:t>
      </w:r>
      <w:r>
        <w:rPr>
          <w:color w:val="000000"/>
        </w:rPr>
        <w:t>), para que lean y reflexionen</w:t>
      </w:r>
      <w:r w:rsidR="00352347">
        <w:rPr>
          <w:color w:val="000000"/>
        </w:rPr>
        <w:t xml:space="preserve"> </w:t>
      </w:r>
      <w:r>
        <w:rPr>
          <w:color w:val="000000"/>
        </w:rPr>
        <w:t>(sin esperanza y con miedo</w:t>
      </w:r>
      <w:r w:rsidR="00C60CB6">
        <w:rPr>
          <w:color w:val="000000"/>
        </w:rPr>
        <w:t>,</w:t>
      </w:r>
      <w:r>
        <w:rPr>
          <w:color w:val="000000"/>
        </w:rPr>
        <w:t xml:space="preserve"> que sean capaces de estar a la </w:t>
      </w:r>
      <w:r w:rsidR="00352347">
        <w:rPr>
          <w:color w:val="000000"/>
        </w:rPr>
        <w:t>altura de las circunstancias y</w:t>
      </w:r>
      <w:r w:rsidR="005E4603">
        <w:rPr>
          <w:color w:val="000000"/>
        </w:rPr>
        <w:t xml:space="preserve"> actuar en consecuencia)</w:t>
      </w:r>
      <w:r w:rsidR="00352347">
        <w:rPr>
          <w:color w:val="000000"/>
        </w:rPr>
        <w:t>, durante su</w:t>
      </w:r>
      <w:r w:rsidR="000E5435">
        <w:rPr>
          <w:color w:val="000000"/>
        </w:rPr>
        <w:t xml:space="preserve"> próxima</w:t>
      </w:r>
      <w:r w:rsidR="00352347">
        <w:rPr>
          <w:color w:val="000000"/>
        </w:rPr>
        <w:t xml:space="preserve"> </w:t>
      </w:r>
      <w:r w:rsidR="000E5435">
        <w:rPr>
          <w:color w:val="000000"/>
        </w:rPr>
        <w:t>residencia</w:t>
      </w:r>
      <w:r w:rsidR="00352347">
        <w:rPr>
          <w:color w:val="000000"/>
        </w:rPr>
        <w:t xml:space="preserve"> en</w:t>
      </w:r>
      <w:r w:rsidR="000E5435">
        <w:rPr>
          <w:color w:val="000000"/>
        </w:rPr>
        <w:t xml:space="preserve"> la cárcel</w:t>
      </w:r>
      <w:r w:rsidR="005E4603">
        <w:rPr>
          <w:color w:val="000000"/>
        </w:rPr>
        <w:t>:</w:t>
      </w:r>
    </w:p>
    <w:p w:rsidR="008622B3" w:rsidRDefault="00EB26AE" w:rsidP="008622B3">
      <w:pPr>
        <w:pStyle w:val="NormalWeb"/>
        <w:jc w:val="both"/>
        <w:rPr>
          <w:color w:val="000000"/>
        </w:rPr>
      </w:pPr>
      <w:r w:rsidRPr="00EB26AE">
        <w:rPr>
          <w:color w:val="000000"/>
        </w:rPr>
        <w:t>El Obispo de Carlisle, ante la próxima ascensión al trono de Enrique IV de Lancaster transgrediendo la ley, vaticina que en los siglos venideros Inglaterra estará dividida por una sangrienta guerra de parientes contra parientes (la Guerra d</w:t>
      </w:r>
      <w:r w:rsidR="005656E7">
        <w:rPr>
          <w:color w:val="000000"/>
        </w:rPr>
        <w:t>e las Rosas).</w:t>
      </w:r>
    </w:p>
    <w:p w:rsidR="005E4603" w:rsidRPr="008622B3" w:rsidRDefault="005E4603" w:rsidP="008622B3">
      <w:pPr>
        <w:pStyle w:val="NormalWeb"/>
        <w:jc w:val="both"/>
        <w:rPr>
          <w:color w:val="000000"/>
        </w:rPr>
      </w:pPr>
      <w:r w:rsidRPr="005E4603">
        <w:t>O</w:t>
      </w:r>
      <w:r w:rsidR="00D361D1">
        <w:t>bispo de Carlisle:</w:t>
      </w:r>
    </w:p>
    <w:p w:rsidR="005E4603" w:rsidRPr="005E4603" w:rsidRDefault="005E4603" w:rsidP="005E4603">
      <w:pPr>
        <w:autoSpaceDE w:val="0"/>
        <w:autoSpaceDN w:val="0"/>
        <w:adjustRightInd w:val="0"/>
        <w:spacing w:after="0" w:line="240" w:lineRule="auto"/>
        <w:jc w:val="both"/>
        <w:rPr>
          <w:rFonts w:ascii="Times New Roman" w:hAnsi="Times New Roman" w:cs="Times New Roman"/>
          <w:sz w:val="24"/>
          <w:szCs w:val="24"/>
        </w:rPr>
      </w:pPr>
      <w:r w:rsidRPr="005E4603">
        <w:rPr>
          <w:rFonts w:ascii="Times New Roman" w:hAnsi="Times New Roman" w:cs="Times New Roman"/>
          <w:sz w:val="24"/>
          <w:szCs w:val="24"/>
        </w:rPr>
        <w:t>Nunca un sabio, siéntase y lamenta,</w:t>
      </w:r>
    </w:p>
    <w:p w:rsidR="005E4603" w:rsidRPr="005E4603" w:rsidRDefault="005E4603" w:rsidP="005E4603">
      <w:pPr>
        <w:autoSpaceDE w:val="0"/>
        <w:autoSpaceDN w:val="0"/>
        <w:adjustRightInd w:val="0"/>
        <w:spacing w:after="0" w:line="240" w:lineRule="auto"/>
        <w:jc w:val="both"/>
        <w:rPr>
          <w:rFonts w:ascii="Times New Roman" w:hAnsi="Times New Roman" w:cs="Times New Roman"/>
          <w:sz w:val="24"/>
          <w:szCs w:val="24"/>
        </w:rPr>
      </w:pPr>
      <w:r w:rsidRPr="005E4603">
        <w:rPr>
          <w:rFonts w:ascii="Times New Roman" w:hAnsi="Times New Roman" w:cs="Times New Roman"/>
          <w:sz w:val="24"/>
          <w:szCs w:val="24"/>
        </w:rPr>
        <w:t>La amarga desgracia que le aqueja,</w:t>
      </w:r>
    </w:p>
    <w:p w:rsidR="005E4603" w:rsidRPr="005E4603" w:rsidRDefault="005E4603" w:rsidP="005E4603">
      <w:pPr>
        <w:autoSpaceDE w:val="0"/>
        <w:autoSpaceDN w:val="0"/>
        <w:adjustRightInd w:val="0"/>
        <w:spacing w:after="0" w:line="240" w:lineRule="auto"/>
        <w:jc w:val="both"/>
        <w:rPr>
          <w:rFonts w:ascii="Times New Roman" w:hAnsi="Times New Roman" w:cs="Times New Roman"/>
          <w:sz w:val="24"/>
          <w:szCs w:val="24"/>
        </w:rPr>
      </w:pPr>
      <w:r w:rsidRPr="005E4603">
        <w:rPr>
          <w:rFonts w:ascii="Times New Roman" w:hAnsi="Times New Roman" w:cs="Times New Roman"/>
          <w:sz w:val="24"/>
          <w:szCs w:val="24"/>
        </w:rPr>
        <w:t>Sino que se ocupa en prevenirla.</w:t>
      </w:r>
    </w:p>
    <w:p w:rsidR="005E4603" w:rsidRPr="005E4603" w:rsidRDefault="005E4603" w:rsidP="005E4603">
      <w:pPr>
        <w:autoSpaceDE w:val="0"/>
        <w:autoSpaceDN w:val="0"/>
        <w:adjustRightInd w:val="0"/>
        <w:spacing w:after="0" w:line="240" w:lineRule="auto"/>
        <w:jc w:val="both"/>
        <w:rPr>
          <w:rFonts w:ascii="Times New Roman" w:hAnsi="Times New Roman" w:cs="Times New Roman"/>
          <w:sz w:val="24"/>
          <w:szCs w:val="24"/>
        </w:rPr>
      </w:pPr>
      <w:r w:rsidRPr="005E4603">
        <w:rPr>
          <w:rFonts w:ascii="Times New Roman" w:hAnsi="Times New Roman" w:cs="Times New Roman"/>
          <w:sz w:val="24"/>
          <w:szCs w:val="24"/>
        </w:rPr>
        <w:t>Miedo ante enemigo, debilita;</w:t>
      </w:r>
    </w:p>
    <w:p w:rsidR="005E4603" w:rsidRPr="005E4603" w:rsidRDefault="005E4603" w:rsidP="005E4603">
      <w:pPr>
        <w:autoSpaceDE w:val="0"/>
        <w:autoSpaceDN w:val="0"/>
        <w:adjustRightInd w:val="0"/>
        <w:spacing w:after="0" w:line="240" w:lineRule="auto"/>
        <w:jc w:val="both"/>
        <w:rPr>
          <w:rFonts w:ascii="Times New Roman" w:hAnsi="Times New Roman" w:cs="Times New Roman"/>
          <w:sz w:val="24"/>
          <w:szCs w:val="24"/>
        </w:rPr>
      </w:pPr>
      <w:r w:rsidRPr="005E4603">
        <w:rPr>
          <w:rFonts w:ascii="Times New Roman" w:hAnsi="Times New Roman" w:cs="Times New Roman"/>
          <w:sz w:val="24"/>
          <w:szCs w:val="24"/>
        </w:rPr>
        <w:t>Refuerza al contendor, nuestro temor,</w:t>
      </w:r>
    </w:p>
    <w:p w:rsidR="005E4603" w:rsidRPr="005E4603" w:rsidRDefault="005E4603" w:rsidP="005E4603">
      <w:pPr>
        <w:autoSpaceDE w:val="0"/>
        <w:autoSpaceDN w:val="0"/>
        <w:adjustRightInd w:val="0"/>
        <w:spacing w:after="0" w:line="240" w:lineRule="auto"/>
        <w:jc w:val="both"/>
        <w:rPr>
          <w:rFonts w:ascii="Times New Roman" w:hAnsi="Times New Roman" w:cs="Times New Roman"/>
          <w:sz w:val="24"/>
          <w:szCs w:val="24"/>
        </w:rPr>
      </w:pPr>
      <w:r w:rsidRPr="005E4603">
        <w:rPr>
          <w:rFonts w:ascii="Times New Roman" w:hAnsi="Times New Roman" w:cs="Times New Roman"/>
          <w:sz w:val="24"/>
          <w:szCs w:val="24"/>
        </w:rPr>
        <w:t>Así, vuestra locura, mal augura.</w:t>
      </w:r>
    </w:p>
    <w:p w:rsidR="005E4603" w:rsidRPr="005E4603" w:rsidRDefault="005E4603" w:rsidP="005E4603">
      <w:pPr>
        <w:autoSpaceDE w:val="0"/>
        <w:autoSpaceDN w:val="0"/>
        <w:adjustRightInd w:val="0"/>
        <w:spacing w:after="0" w:line="240" w:lineRule="auto"/>
        <w:jc w:val="both"/>
        <w:rPr>
          <w:rFonts w:ascii="Times New Roman" w:hAnsi="Times New Roman" w:cs="Times New Roman"/>
          <w:sz w:val="24"/>
          <w:szCs w:val="24"/>
        </w:rPr>
      </w:pPr>
      <w:r w:rsidRPr="005E4603">
        <w:rPr>
          <w:rFonts w:ascii="Times New Roman" w:hAnsi="Times New Roman" w:cs="Times New Roman"/>
          <w:sz w:val="24"/>
          <w:szCs w:val="24"/>
        </w:rPr>
        <w:t>Huir para morir, feo es suicidio,</w:t>
      </w:r>
    </w:p>
    <w:p w:rsidR="005E4603" w:rsidRPr="005E4603" w:rsidRDefault="005E4603" w:rsidP="005E4603">
      <w:pPr>
        <w:autoSpaceDE w:val="0"/>
        <w:autoSpaceDN w:val="0"/>
        <w:adjustRightInd w:val="0"/>
        <w:spacing w:after="0" w:line="240" w:lineRule="auto"/>
        <w:jc w:val="both"/>
        <w:rPr>
          <w:rFonts w:ascii="Times New Roman" w:hAnsi="Times New Roman" w:cs="Times New Roman"/>
          <w:sz w:val="24"/>
          <w:szCs w:val="24"/>
        </w:rPr>
      </w:pPr>
      <w:r w:rsidRPr="005E4603">
        <w:rPr>
          <w:rFonts w:ascii="Times New Roman" w:hAnsi="Times New Roman" w:cs="Times New Roman"/>
          <w:sz w:val="24"/>
          <w:szCs w:val="24"/>
        </w:rPr>
        <w:t>Morir para triunfar, es sacrificio,</w:t>
      </w:r>
    </w:p>
    <w:p w:rsidR="005E4603" w:rsidRPr="005E4603" w:rsidRDefault="005E4603" w:rsidP="005E4603">
      <w:pPr>
        <w:autoSpaceDE w:val="0"/>
        <w:autoSpaceDN w:val="0"/>
        <w:adjustRightInd w:val="0"/>
        <w:spacing w:after="0" w:line="240" w:lineRule="auto"/>
        <w:jc w:val="both"/>
        <w:rPr>
          <w:rFonts w:ascii="Times New Roman" w:hAnsi="Times New Roman" w:cs="Times New Roman"/>
          <w:sz w:val="24"/>
          <w:szCs w:val="24"/>
        </w:rPr>
      </w:pPr>
      <w:r w:rsidRPr="005E4603">
        <w:rPr>
          <w:rFonts w:ascii="Times New Roman" w:hAnsi="Times New Roman" w:cs="Times New Roman"/>
          <w:sz w:val="24"/>
          <w:szCs w:val="24"/>
        </w:rPr>
        <w:lastRenderedPageBreak/>
        <w:t>El cobarde, a la muerte da respiro,</w:t>
      </w:r>
    </w:p>
    <w:p w:rsidR="00EB26AE" w:rsidRPr="005E4603" w:rsidRDefault="005E4603" w:rsidP="005E4603">
      <w:pPr>
        <w:autoSpaceDE w:val="0"/>
        <w:autoSpaceDN w:val="0"/>
        <w:adjustRightInd w:val="0"/>
        <w:spacing w:after="0" w:line="240" w:lineRule="auto"/>
        <w:jc w:val="both"/>
        <w:rPr>
          <w:rFonts w:ascii="Times New Roman" w:hAnsi="Times New Roman" w:cs="Times New Roman"/>
          <w:sz w:val="24"/>
          <w:szCs w:val="24"/>
        </w:rPr>
      </w:pPr>
      <w:r w:rsidRPr="005E4603">
        <w:rPr>
          <w:rFonts w:ascii="Times New Roman" w:hAnsi="Times New Roman" w:cs="Times New Roman"/>
          <w:sz w:val="24"/>
          <w:szCs w:val="24"/>
        </w:rPr>
        <w:t>Cuando expira su resuello vil.</w:t>
      </w:r>
    </w:p>
    <w:p w:rsidR="00276B0A" w:rsidRDefault="006A0260" w:rsidP="00276B0A">
      <w:pPr>
        <w:pStyle w:val="NormalWeb"/>
        <w:jc w:val="both"/>
        <w:rPr>
          <w:color w:val="000000"/>
          <w:lang w:val="en-US"/>
        </w:rPr>
      </w:pPr>
      <w:r>
        <w:rPr>
          <w:b/>
          <w:color w:val="000000"/>
          <w:lang w:val="en-US"/>
        </w:rPr>
        <w:t>Ricard</w:t>
      </w:r>
      <w:r w:rsidR="00276B0A" w:rsidRPr="00F44512">
        <w:rPr>
          <w:b/>
          <w:color w:val="000000"/>
          <w:lang w:val="en-US"/>
        </w:rPr>
        <w:t>o II</w:t>
      </w:r>
      <w:r w:rsidR="00276B0A" w:rsidRPr="00F44512">
        <w:rPr>
          <w:color w:val="000000"/>
          <w:lang w:val="en-US"/>
        </w:rPr>
        <w:t xml:space="preserve"> de William Shakespeare (Stratford-upon</w:t>
      </w:r>
      <w:r w:rsidR="00C60CB6">
        <w:rPr>
          <w:color w:val="000000"/>
          <w:lang w:val="en-US"/>
        </w:rPr>
        <w:t>-Avon, Warwickshire UK,</w:t>
      </w:r>
      <w:r w:rsidR="00276B0A" w:rsidRPr="00F44512">
        <w:rPr>
          <w:color w:val="000000"/>
          <w:lang w:val="en-US"/>
        </w:rPr>
        <w:t xml:space="preserve"> </w:t>
      </w:r>
      <w:r w:rsidR="00276B0A">
        <w:rPr>
          <w:color w:val="000000"/>
          <w:lang w:val="en-US"/>
        </w:rPr>
        <w:t xml:space="preserve">1564- </w:t>
      </w:r>
      <w:r w:rsidR="00276B0A" w:rsidRPr="00F44512">
        <w:rPr>
          <w:color w:val="000000"/>
          <w:lang w:val="en-US"/>
        </w:rPr>
        <w:t>Stratford-upon-Avon</w:t>
      </w:r>
      <w:r w:rsidR="00276B0A">
        <w:rPr>
          <w:color w:val="000000"/>
          <w:lang w:val="en-US"/>
        </w:rPr>
        <w:t>, 1616)</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Estos, Fabio, ¡ay dolor!, que ves ahora</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campos de soledad, mustio collado,</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fueron un tiempo Itálica famosa.</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Aquí de Cipión la vencedora</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col</w:t>
      </w:r>
      <w:r>
        <w:rPr>
          <w:rFonts w:ascii="Times New Roman" w:hAnsi="Times New Roman" w:cs="Times New Roman"/>
          <w:sz w:val="24"/>
          <w:szCs w:val="24"/>
        </w:rPr>
        <w:t xml:space="preserve">onia fue; por tierra derribado </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yace el temido honor de la espantosa</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muralla, y lastimosa</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reliquia es solamente</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de su invencible gente.</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S</w:t>
      </w:r>
      <w:r w:rsidR="008E6ED9">
        <w:rPr>
          <w:rFonts w:ascii="Times New Roman" w:hAnsi="Times New Roman" w:cs="Times New Roman"/>
          <w:sz w:val="24"/>
          <w:szCs w:val="24"/>
        </w:rPr>
        <w:t xml:space="preserve">ólo quedan memorias funerales </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donde erraron ya sombras de alto ejemplo:</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este llano fue plaza, allí fue templo;</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de todo apenas quedan las señales.</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Del gimnasio y las termas regaladas</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leves vuelan ce</w:t>
      </w:r>
      <w:r>
        <w:rPr>
          <w:rFonts w:ascii="Times New Roman" w:hAnsi="Times New Roman" w:cs="Times New Roman"/>
          <w:sz w:val="24"/>
          <w:szCs w:val="24"/>
        </w:rPr>
        <w:t xml:space="preserve">nizas desdichadas; </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las torres que desprecio al aire fueron</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a su gran pesadumbre se rindieron.</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Este despedazado anfiteatro,</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impio honor de los dioses, cuya afrenta</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publica el amarillo jaramago, </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ya reducido a trágico teatro,</w:t>
      </w:r>
    </w:p>
    <w:p w:rsid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¡o</w:t>
      </w:r>
      <w:r>
        <w:rPr>
          <w:rFonts w:ascii="Times New Roman" w:hAnsi="Times New Roman" w:cs="Times New Roman"/>
          <w:sz w:val="24"/>
          <w:szCs w:val="24"/>
        </w:rPr>
        <w:t>h fábula del tiempo, representa</w:t>
      </w:r>
    </w:p>
    <w:p w:rsidR="00C52A85" w:rsidRPr="00C52A85" w:rsidRDefault="00C52A85" w:rsidP="008E6ED9">
      <w:pPr>
        <w:autoSpaceDE w:val="0"/>
        <w:autoSpaceDN w:val="0"/>
        <w:adjustRightInd w:val="0"/>
        <w:spacing w:after="0" w:line="240" w:lineRule="auto"/>
        <w:jc w:val="both"/>
        <w:rPr>
          <w:rFonts w:ascii="Times New Roman" w:hAnsi="Times New Roman" w:cs="Times New Roman"/>
          <w:sz w:val="24"/>
          <w:szCs w:val="24"/>
        </w:rPr>
      </w:pPr>
      <w:r w:rsidRPr="00C52A85">
        <w:rPr>
          <w:rFonts w:ascii="Times New Roman" w:hAnsi="Times New Roman" w:cs="Times New Roman"/>
          <w:sz w:val="24"/>
          <w:szCs w:val="24"/>
        </w:rPr>
        <w:t>cuánta fue su grandeza y es su estrago!</w:t>
      </w:r>
    </w:p>
    <w:p w:rsidR="008E6ED9" w:rsidRDefault="00276B0A" w:rsidP="00276B0A">
      <w:pPr>
        <w:pStyle w:val="NormalWeb"/>
        <w:jc w:val="both"/>
        <w:rPr>
          <w:color w:val="000000"/>
        </w:rPr>
      </w:pPr>
      <w:r w:rsidRPr="005A14D0">
        <w:rPr>
          <w:b/>
          <w:color w:val="000000"/>
        </w:rPr>
        <w:t>Canción a las ruinas de Itálica</w:t>
      </w:r>
      <w:r>
        <w:rPr>
          <w:color w:val="000000"/>
        </w:rPr>
        <w:t xml:space="preserve"> </w:t>
      </w:r>
      <w:r w:rsidRPr="005A14D0">
        <w:rPr>
          <w:color w:val="000000"/>
        </w:rPr>
        <w:t>de Rodrigo Caro</w:t>
      </w:r>
      <w:r>
        <w:rPr>
          <w:color w:val="000000"/>
        </w:rPr>
        <w:t xml:space="preserve"> (</w:t>
      </w:r>
      <w:r w:rsidRPr="005A14D0">
        <w:rPr>
          <w:color w:val="000000"/>
        </w:rPr>
        <w:t>Utrera, Sevil</w:t>
      </w:r>
      <w:r w:rsidR="008D4974">
        <w:rPr>
          <w:color w:val="000000"/>
        </w:rPr>
        <w:t xml:space="preserve">la, 1573 - Sevilla, </w:t>
      </w:r>
      <w:r w:rsidRPr="005A14D0">
        <w:rPr>
          <w:color w:val="000000"/>
        </w:rPr>
        <w:t>1647</w:t>
      </w:r>
      <w:r>
        <w:rPr>
          <w:color w:val="000000"/>
        </w:rPr>
        <w:t>)</w:t>
      </w:r>
    </w:p>
    <w:p w:rsidR="00A37307" w:rsidRDefault="00A37307" w:rsidP="00A37307">
      <w:pPr>
        <w:pStyle w:val="NormalWeb"/>
      </w:pPr>
      <w:r>
        <w:t>Un padre que da consejos</w:t>
      </w:r>
      <w:r>
        <w:br/>
        <w:t xml:space="preserve">Más que padre es un amigo; </w:t>
      </w:r>
      <w:r>
        <w:br/>
        <w:t xml:space="preserve">Ansi, como tales digo </w:t>
      </w:r>
      <w:r>
        <w:br/>
        <w:t xml:space="preserve">Que vivan con precaución: </w:t>
      </w:r>
      <w:r>
        <w:br/>
        <w:t xml:space="preserve">Naides sabe en qué rincón </w:t>
      </w:r>
      <w:r>
        <w:br/>
        <w:t>Se oculta el que es su enemigo…</w:t>
      </w:r>
    </w:p>
    <w:p w:rsidR="00A37307" w:rsidRDefault="00A37307" w:rsidP="00A37307">
      <w:pPr>
        <w:pStyle w:val="NormalWeb"/>
        <w:rPr>
          <w:color w:val="000000"/>
        </w:rPr>
      </w:pPr>
      <w:r>
        <w:t xml:space="preserve">Los hermanos sean unidos, </w:t>
      </w:r>
      <w:r>
        <w:br/>
        <w:t xml:space="preserve">Porque ésa es la ley primera; </w:t>
      </w:r>
      <w:r>
        <w:br/>
        <w:t xml:space="preserve">Tengan unión verdadera </w:t>
      </w:r>
      <w:r>
        <w:br/>
        <w:t xml:space="preserve">En cualquier tiempo que sea, </w:t>
      </w:r>
      <w:r>
        <w:br/>
        <w:t xml:space="preserve">Porque si entre ellos pelean </w:t>
      </w:r>
      <w:r>
        <w:br/>
        <w:t>Los devoran los de ajuera…</w:t>
      </w:r>
    </w:p>
    <w:p w:rsidR="00F87E70" w:rsidRDefault="00276B0A" w:rsidP="00276B0A">
      <w:pPr>
        <w:pStyle w:val="NormalWeb"/>
        <w:jc w:val="both"/>
        <w:rPr>
          <w:color w:val="000000"/>
        </w:rPr>
      </w:pPr>
      <w:r w:rsidRPr="00F44512">
        <w:rPr>
          <w:b/>
          <w:color w:val="000000"/>
        </w:rPr>
        <w:t>Martín Fierro</w:t>
      </w:r>
      <w:r>
        <w:rPr>
          <w:color w:val="000000"/>
        </w:rPr>
        <w:t xml:space="preserve"> </w:t>
      </w:r>
      <w:r w:rsidR="00C60CB6">
        <w:rPr>
          <w:color w:val="000000"/>
        </w:rPr>
        <w:t>-</w:t>
      </w:r>
      <w:r>
        <w:rPr>
          <w:color w:val="000000"/>
        </w:rPr>
        <w:t xml:space="preserve"> </w:t>
      </w:r>
      <w:r w:rsidR="00C60CB6">
        <w:rPr>
          <w:color w:val="000000"/>
        </w:rPr>
        <w:t>“</w:t>
      </w:r>
      <w:r w:rsidRPr="00F44512">
        <w:rPr>
          <w:color w:val="000000"/>
        </w:rPr>
        <w:t>Consej</w:t>
      </w:r>
      <w:r w:rsidR="00C60CB6">
        <w:rPr>
          <w:color w:val="000000"/>
        </w:rPr>
        <w:t>os de Martín Fierro a sus hijos”</w:t>
      </w:r>
      <w:r>
        <w:rPr>
          <w:color w:val="000000"/>
        </w:rPr>
        <w:t xml:space="preserve"> -</w:t>
      </w:r>
      <w:r w:rsidRPr="00F44512">
        <w:rPr>
          <w:color w:val="000000"/>
        </w:rPr>
        <w:t xml:space="preserve"> </w:t>
      </w:r>
      <w:r>
        <w:rPr>
          <w:color w:val="000000"/>
        </w:rPr>
        <w:t>Canto</w:t>
      </w:r>
      <w:r w:rsidRPr="00F44512">
        <w:rPr>
          <w:color w:val="000000"/>
        </w:rPr>
        <w:t xml:space="preserve"> XXXII (Segunda Parte)</w:t>
      </w:r>
      <w:r>
        <w:rPr>
          <w:color w:val="000000"/>
        </w:rPr>
        <w:t xml:space="preserve">, de José Hernández </w:t>
      </w:r>
      <w:r w:rsidRPr="00F44512">
        <w:rPr>
          <w:color w:val="000000"/>
        </w:rPr>
        <w:t>(1834-1886) Poeta argentino.</w:t>
      </w:r>
    </w:p>
    <w:p w:rsidR="00F87E70" w:rsidRDefault="00F87E70" w:rsidP="00276B0A">
      <w:pPr>
        <w:pStyle w:val="NormalWeb"/>
        <w:jc w:val="both"/>
        <w:rPr>
          <w:color w:val="000000"/>
        </w:rPr>
      </w:pPr>
      <w:r>
        <w:rPr>
          <w:noProof/>
        </w:rPr>
        <w:lastRenderedPageBreak/>
        <w:drawing>
          <wp:inline distT="0" distB="0" distL="0" distR="0">
            <wp:extent cx="5396269" cy="2400300"/>
            <wp:effectExtent l="0" t="0" r="0" b="0"/>
            <wp:docPr id="177" name="Imagen 177" descr="(Foto: Verso de la micropoetisa Ajo encontrado en las calles de Mad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o: Verso de la micropoetisa Ajo encontrado en las calles de Madrid)"/>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396269" cy="2400300"/>
                    </a:xfrm>
                    <a:prstGeom prst="rect">
                      <a:avLst/>
                    </a:prstGeom>
                    <a:noFill/>
                    <a:ln>
                      <a:noFill/>
                    </a:ln>
                  </pic:spPr>
                </pic:pic>
              </a:graphicData>
            </a:graphic>
          </wp:inline>
        </w:drawing>
      </w:r>
    </w:p>
    <w:p w:rsidR="00511F1C" w:rsidRDefault="001B2665" w:rsidP="00511F1C">
      <w:pPr>
        <w:pStyle w:val="NormalWeb"/>
        <w:shd w:val="clear" w:color="auto" w:fill="FFFFFF"/>
        <w:jc w:val="both"/>
        <w:rPr>
          <w:b/>
          <w:color w:val="000000"/>
        </w:rPr>
      </w:pPr>
      <w:r>
        <w:rPr>
          <w:color w:val="000000"/>
        </w:rPr>
        <w:t>L</w:t>
      </w:r>
      <w:r w:rsidR="00E12531">
        <w:rPr>
          <w:color w:val="000000"/>
        </w:rPr>
        <w:t>a leve</w:t>
      </w:r>
      <w:r>
        <w:rPr>
          <w:color w:val="000000"/>
        </w:rPr>
        <w:t xml:space="preserve"> acción de los gobernantes europeos (los mariscales de la derrota en la III Guerra Mundial </w:t>
      </w:r>
      <w:r w:rsidR="00E12531">
        <w:rPr>
          <w:color w:val="000000"/>
        </w:rPr>
        <w:t>-</w:t>
      </w:r>
      <w:r>
        <w:rPr>
          <w:color w:val="000000"/>
        </w:rPr>
        <w:t>económico-financiera-</w:t>
      </w:r>
      <w:r w:rsidR="00E12531">
        <w:rPr>
          <w:color w:val="000000"/>
        </w:rPr>
        <w:t>), lleva a pensar que,</w:t>
      </w:r>
      <w:r>
        <w:rPr>
          <w:color w:val="000000"/>
        </w:rPr>
        <w:t xml:space="preserve"> si hubieran realizado reformas valientes</w:t>
      </w:r>
      <w:r w:rsidR="00E12531">
        <w:rPr>
          <w:color w:val="000000"/>
        </w:rPr>
        <w:t xml:space="preserve"> (estratégicas y no tácticas)</w:t>
      </w:r>
      <w:r>
        <w:rPr>
          <w:color w:val="000000"/>
        </w:rPr>
        <w:t xml:space="preserve"> po</w:t>
      </w:r>
      <w:r w:rsidR="00671189">
        <w:rPr>
          <w:color w:val="000000"/>
        </w:rPr>
        <w:t>drían haber hecho de Europa</w:t>
      </w:r>
      <w:r>
        <w:rPr>
          <w:color w:val="000000"/>
        </w:rPr>
        <w:t xml:space="preserve"> una</w:t>
      </w:r>
      <w:r w:rsidR="00671189">
        <w:rPr>
          <w:color w:val="000000"/>
        </w:rPr>
        <w:t xml:space="preserve"> región económica</w:t>
      </w:r>
      <w:r>
        <w:rPr>
          <w:color w:val="000000"/>
        </w:rPr>
        <w:t xml:space="preserve"> capaz de competir con Estados Unidos y l</w:t>
      </w:r>
      <w:r w:rsidR="00671189">
        <w:rPr>
          <w:color w:val="000000"/>
        </w:rPr>
        <w:t xml:space="preserve">os países emergentes. Una Europa </w:t>
      </w:r>
      <w:r>
        <w:rPr>
          <w:color w:val="000000"/>
        </w:rPr>
        <w:t xml:space="preserve"> donde se premiara el esfuerzo y la innovación en lugar de castigarlos con impuestos confiscatorios. Una Europa donde se s</w:t>
      </w:r>
      <w:r w:rsidR="00B53233">
        <w:rPr>
          <w:color w:val="000000"/>
        </w:rPr>
        <w:t>ubvencionara</w:t>
      </w:r>
      <w:r w:rsidR="00E12531">
        <w:rPr>
          <w:color w:val="000000"/>
        </w:rPr>
        <w:t xml:space="preserve"> el I+D en lugar de </w:t>
      </w:r>
      <w:r>
        <w:rPr>
          <w:color w:val="000000"/>
        </w:rPr>
        <w:t>organizaciones y empresas caras e inútiles. Una Europa</w:t>
      </w:r>
      <w:r w:rsidR="00E12531">
        <w:rPr>
          <w:color w:val="000000"/>
        </w:rPr>
        <w:t xml:space="preserve"> que convirtiera su “colesterol</w:t>
      </w:r>
      <w:r>
        <w:rPr>
          <w:color w:val="000000"/>
        </w:rPr>
        <w:t>” (patrimonio no productivo del Estado) y la reducción de la burocracia</w:t>
      </w:r>
      <w:r w:rsidR="00B53233">
        <w:rPr>
          <w:color w:val="000000"/>
        </w:rPr>
        <w:t>,</w:t>
      </w:r>
      <w:r>
        <w:rPr>
          <w:color w:val="000000"/>
        </w:rPr>
        <w:t xml:space="preserve"> en dinero en el bolsillo de los ciudadanos, para que así creciera la demanda interna y bajara el endeudamiento privado.</w:t>
      </w:r>
      <w:r w:rsidR="00E12531">
        <w:rPr>
          <w:color w:val="000000"/>
        </w:rPr>
        <w:t xml:space="preserve"> </w:t>
      </w:r>
      <w:r>
        <w:rPr>
          <w:color w:val="000000"/>
        </w:rPr>
        <w:t>Pero no. No ha sido así. Se han hecho</w:t>
      </w:r>
      <w:r w:rsidR="00E12531">
        <w:rPr>
          <w:color w:val="000000"/>
        </w:rPr>
        <w:t xml:space="preserve"> algunas</w:t>
      </w:r>
      <w:r>
        <w:rPr>
          <w:color w:val="000000"/>
        </w:rPr>
        <w:t xml:space="preserve"> cosas</w:t>
      </w:r>
      <w:r w:rsidR="00E12531">
        <w:rPr>
          <w:color w:val="000000"/>
        </w:rPr>
        <w:t xml:space="preserve"> (a remolque de las circunstancias)</w:t>
      </w:r>
      <w:r>
        <w:rPr>
          <w:color w:val="000000"/>
        </w:rPr>
        <w:t xml:space="preserve">, pero son pocas. El proceso </w:t>
      </w:r>
      <w:r w:rsidR="00123BCE">
        <w:rPr>
          <w:color w:val="000000"/>
        </w:rPr>
        <w:t>es lento y siempre llegan tarde (e</w:t>
      </w:r>
      <w:r w:rsidR="00E12531">
        <w:rPr>
          <w:color w:val="000000"/>
        </w:rPr>
        <w:t>l Reino Unido “conspira y traiciona”, Alemania “desconfía y se encastilla”, Francia “</w:t>
      </w:r>
      <w:r w:rsidR="00B53233">
        <w:rPr>
          <w:color w:val="000000"/>
        </w:rPr>
        <w:t>intenta empujar la soga</w:t>
      </w:r>
      <w:r w:rsidR="00E12531">
        <w:rPr>
          <w:color w:val="000000"/>
        </w:rPr>
        <w:t>” y el resto (Ay, el resto)</w:t>
      </w:r>
      <w:r w:rsidR="00123BCE">
        <w:rPr>
          <w:color w:val="000000"/>
        </w:rPr>
        <w:t>,</w:t>
      </w:r>
      <w:r w:rsidR="00B53233">
        <w:rPr>
          <w:color w:val="000000"/>
        </w:rPr>
        <w:t xml:space="preserve"> levitan</w:t>
      </w:r>
      <w:r w:rsidR="00123BCE">
        <w:rPr>
          <w:color w:val="000000"/>
        </w:rPr>
        <w:t xml:space="preserve"> entre la “obediencia debida” (Señor, sí Señor)</w:t>
      </w:r>
      <w:r w:rsidR="00B53233">
        <w:rPr>
          <w:color w:val="000000"/>
        </w:rPr>
        <w:t>,</w:t>
      </w:r>
      <w:r w:rsidR="00E12531">
        <w:rPr>
          <w:color w:val="000000"/>
        </w:rPr>
        <w:t xml:space="preserve"> o la “</w:t>
      </w:r>
      <w:r w:rsidR="00D25369">
        <w:rPr>
          <w:color w:val="000000"/>
        </w:rPr>
        <w:t>mendicidad claudicante</w:t>
      </w:r>
      <w:r w:rsidR="00123BCE">
        <w:rPr>
          <w:color w:val="000000"/>
        </w:rPr>
        <w:t>” (una limosnita, por favor)</w:t>
      </w:r>
      <w:r w:rsidR="00E12531">
        <w:rPr>
          <w:color w:val="000000"/>
        </w:rPr>
        <w:t>.</w:t>
      </w:r>
      <w:r w:rsidR="00511F1C">
        <w:rPr>
          <w:color w:val="000000"/>
        </w:rPr>
        <w:t xml:space="preserve"> </w:t>
      </w:r>
      <w:r w:rsidR="00123BCE" w:rsidRPr="00123BCE">
        <w:rPr>
          <w:b/>
          <w:color w:val="000000"/>
        </w:rPr>
        <w:t>Los políticos</w:t>
      </w:r>
      <w:r w:rsidR="00123BCE">
        <w:rPr>
          <w:b/>
          <w:color w:val="000000"/>
        </w:rPr>
        <w:t xml:space="preserve"> de la UE</w:t>
      </w:r>
      <w:r w:rsidR="00123BCE" w:rsidRPr="00123BCE">
        <w:rPr>
          <w:b/>
          <w:color w:val="000000"/>
        </w:rPr>
        <w:t xml:space="preserve"> deben</w:t>
      </w:r>
      <w:r w:rsidR="00511F1C" w:rsidRPr="00123BCE">
        <w:rPr>
          <w:b/>
          <w:color w:val="000000"/>
        </w:rPr>
        <w:t xml:space="preserve"> hacer</w:t>
      </w:r>
      <w:r w:rsidR="00123BCE" w:rsidRPr="00123BCE">
        <w:rPr>
          <w:b/>
          <w:color w:val="000000"/>
        </w:rPr>
        <w:t xml:space="preserve"> las</w:t>
      </w:r>
      <w:r w:rsidR="00511F1C" w:rsidRPr="00123BCE">
        <w:rPr>
          <w:b/>
          <w:color w:val="000000"/>
        </w:rPr>
        <w:t xml:space="preserve"> reformas que fomenten el trabajo, el esfuerzo y la innovación, no luchar por dejar todo como está.</w:t>
      </w:r>
      <w:r w:rsidR="00123BCE">
        <w:rPr>
          <w:b/>
          <w:color w:val="000000"/>
        </w:rPr>
        <w:t xml:space="preserve"> Pero ellos… “viven</w:t>
      </w:r>
      <w:r w:rsidR="00123BCE" w:rsidRPr="00123BCE">
        <w:rPr>
          <w:b/>
          <w:color w:val="000000"/>
        </w:rPr>
        <w:t xml:space="preserve"> por encima de nuestras pasividades</w:t>
      </w:r>
      <w:r w:rsidR="008934F0">
        <w:rPr>
          <w:b/>
          <w:color w:val="000000"/>
        </w:rPr>
        <w:t>”.</w:t>
      </w:r>
    </w:p>
    <w:p w:rsidR="002D47EA" w:rsidRDefault="002D47EA" w:rsidP="00511F1C">
      <w:pPr>
        <w:pStyle w:val="NormalWeb"/>
        <w:shd w:val="clear" w:color="auto" w:fill="FFFFFF"/>
        <w:jc w:val="both"/>
        <w:rPr>
          <w:color w:val="000000"/>
        </w:rPr>
      </w:pPr>
      <w:r w:rsidRPr="008622B3">
        <w:rPr>
          <w:color w:val="000000"/>
        </w:rPr>
        <w:t>Justo hoy (9/11/14): para que el Muro de Berlín cayera hizo falta la política decidida de algunos dirigentes. 25 años después</w:t>
      </w:r>
      <w:r w:rsidR="00B324C0">
        <w:rPr>
          <w:color w:val="000000"/>
        </w:rPr>
        <w:t xml:space="preserve">, para que los “28 Muros de la Derrota” </w:t>
      </w:r>
      <w:r w:rsidR="008622B3">
        <w:rPr>
          <w:color w:val="000000"/>
        </w:rPr>
        <w:t>se levante</w:t>
      </w:r>
      <w:r w:rsidR="00B324C0">
        <w:rPr>
          <w:color w:val="000000"/>
        </w:rPr>
        <w:t>n</w:t>
      </w:r>
      <w:r w:rsidR="008622B3">
        <w:rPr>
          <w:color w:val="000000"/>
        </w:rPr>
        <w:t xml:space="preserve"> parece suficiente con </w:t>
      </w:r>
      <w:r w:rsidRPr="008622B3">
        <w:rPr>
          <w:color w:val="000000"/>
        </w:rPr>
        <w:t>la cobardía de los “pobrecitos habladores” que han transformado la Unión Europea en una ópera bufa.</w:t>
      </w:r>
      <w:r w:rsidR="00B324C0">
        <w:rPr>
          <w:color w:val="000000"/>
        </w:rPr>
        <w:t xml:space="preserve"> De lo bueno</w:t>
      </w:r>
      <w:r w:rsidR="004D3F75">
        <w:rPr>
          <w:color w:val="000000"/>
        </w:rPr>
        <w:t xml:space="preserve"> y</w:t>
      </w:r>
      <w:r w:rsidR="00B324C0">
        <w:rPr>
          <w:color w:val="000000"/>
        </w:rPr>
        <w:t xml:space="preserve"> lo malo</w:t>
      </w:r>
      <w:r w:rsidR="00543FD8">
        <w:rPr>
          <w:color w:val="000000"/>
        </w:rPr>
        <w:t>, Alemania es responsable</w:t>
      </w:r>
      <w:r w:rsidR="006E2E3B">
        <w:rPr>
          <w:color w:val="000000"/>
        </w:rPr>
        <w:t>.</w:t>
      </w:r>
    </w:p>
    <w:p w:rsidR="008622B3" w:rsidRDefault="008622B3" w:rsidP="00511F1C">
      <w:pPr>
        <w:pStyle w:val="NormalWeb"/>
        <w:shd w:val="clear" w:color="auto" w:fill="FFFFFF"/>
        <w:jc w:val="both"/>
        <w:rPr>
          <w:color w:val="000000"/>
        </w:rPr>
      </w:pPr>
      <w:r w:rsidRPr="008622B3">
        <w:rPr>
          <w:color w:val="000000"/>
        </w:rPr>
        <w:t>Putsch de Múnich</w:t>
      </w:r>
      <w:r>
        <w:rPr>
          <w:color w:val="000000"/>
        </w:rPr>
        <w:t>:</w:t>
      </w:r>
      <w:r w:rsidRPr="008622B3">
        <w:rPr>
          <w:color w:val="000000"/>
        </w:rPr>
        <w:t xml:space="preserve"> </w:t>
      </w:r>
      <w:r>
        <w:rPr>
          <w:color w:val="000000"/>
        </w:rPr>
        <w:t>e</w:t>
      </w:r>
      <w:r w:rsidRPr="008622B3">
        <w:rPr>
          <w:color w:val="000000"/>
        </w:rPr>
        <w:t>n la tarde del 8 de noviembre de 1923, Hitler, junto con un contingente de las SA, llegó a la cervecería Bürgerbräukeller donde el gobernador de Baviera, Gustav von Kahr, pronunciaba un discurso delante de 3.000 personas. Cerca de 600 hombres de las SA bloquearon las salidas. Hitler, rodeado por sus copartidarios Hermann Göring, Alfred Rosenberg y Rudolf Hess, entró por la puerta delantera a las 20:30 horas, disparó un tiro al techo y s</w:t>
      </w:r>
      <w:r w:rsidR="004964F2">
        <w:rPr>
          <w:color w:val="000000"/>
        </w:rPr>
        <w:t>altó sobre una silla gritando: “</w:t>
      </w:r>
      <w:r w:rsidRPr="008622B3">
        <w:rPr>
          <w:color w:val="000000"/>
        </w:rPr>
        <w:t>¡La re</w:t>
      </w:r>
      <w:r w:rsidR="004964F2">
        <w:rPr>
          <w:color w:val="000000"/>
        </w:rPr>
        <w:t>volución nacional ha comenzado!”</w:t>
      </w:r>
      <w:r w:rsidRPr="008622B3">
        <w:rPr>
          <w:color w:val="000000"/>
        </w:rPr>
        <w:t>.</w:t>
      </w:r>
      <w:r w:rsidR="006E2E3B">
        <w:rPr>
          <w:color w:val="000000"/>
        </w:rPr>
        <w:t xml:space="preserve"> </w:t>
      </w:r>
      <w:r w:rsidR="00B324C0">
        <w:rPr>
          <w:color w:val="000000"/>
        </w:rPr>
        <w:t xml:space="preserve">Alemania será la culpable del regreso de la “vieja” </w:t>
      </w:r>
      <w:r w:rsidR="00F066B5">
        <w:rPr>
          <w:color w:val="000000"/>
        </w:rPr>
        <w:t>Europa</w:t>
      </w:r>
      <w:r w:rsidR="006E2E3B">
        <w:rPr>
          <w:color w:val="000000"/>
        </w:rPr>
        <w:t>.</w:t>
      </w:r>
    </w:p>
    <w:p w:rsidR="004964F2" w:rsidRDefault="00B61FA4" w:rsidP="00511F1C">
      <w:pPr>
        <w:pStyle w:val="NormalWeb"/>
        <w:shd w:val="clear" w:color="auto" w:fill="FFFFFF"/>
        <w:jc w:val="both"/>
        <w:rPr>
          <w:color w:val="000000"/>
        </w:rPr>
      </w:pPr>
      <w:r>
        <w:rPr>
          <w:color w:val="000000"/>
        </w:rPr>
        <w:t>A la luz de los hechos</w:t>
      </w:r>
      <w:r w:rsidR="004964F2">
        <w:rPr>
          <w:color w:val="000000"/>
        </w:rPr>
        <w:t>, podría decir</w:t>
      </w:r>
      <w:r>
        <w:rPr>
          <w:color w:val="000000"/>
        </w:rPr>
        <w:t>se</w:t>
      </w:r>
      <w:r w:rsidR="004964F2">
        <w:rPr>
          <w:color w:val="000000"/>
        </w:rPr>
        <w:t xml:space="preserve"> que Europa ha pasado de “un mundo feliz”, a</w:t>
      </w:r>
      <w:r w:rsidR="00B43C6F">
        <w:rPr>
          <w:color w:val="000000"/>
        </w:rPr>
        <w:t xml:space="preserve"> </w:t>
      </w:r>
      <w:r w:rsidR="004964F2">
        <w:rPr>
          <w:color w:val="000000"/>
        </w:rPr>
        <w:t>la “conjura de los necios”</w:t>
      </w:r>
      <w:r w:rsidR="006E2E3B">
        <w:rPr>
          <w:color w:val="000000"/>
        </w:rPr>
        <w:t xml:space="preserve">.  </w:t>
      </w:r>
      <w:r>
        <w:rPr>
          <w:color w:val="000000"/>
        </w:rPr>
        <w:t xml:space="preserve">En esta derrota (III Guerra Mundial), por acción u omisión de Alemania, Europa se ha quedado </w:t>
      </w:r>
      <w:r w:rsidR="00CC3C35">
        <w:rPr>
          <w:color w:val="000000"/>
        </w:rPr>
        <w:t>“</w:t>
      </w:r>
      <w:r w:rsidR="004964F2" w:rsidRPr="004964F2">
        <w:rPr>
          <w:color w:val="000000"/>
        </w:rPr>
        <w:t>sin barcos</w:t>
      </w:r>
      <w:r>
        <w:rPr>
          <w:color w:val="000000"/>
        </w:rPr>
        <w:t xml:space="preserve"> (economía) y </w:t>
      </w:r>
      <w:r w:rsidR="004964F2" w:rsidRPr="004964F2">
        <w:rPr>
          <w:color w:val="000000"/>
        </w:rPr>
        <w:t>sin honra</w:t>
      </w:r>
      <w:r>
        <w:rPr>
          <w:color w:val="000000"/>
        </w:rPr>
        <w:t xml:space="preserve"> (política</w:t>
      </w:r>
      <w:r w:rsidR="004D3F75">
        <w:rPr>
          <w:color w:val="000000"/>
        </w:rPr>
        <w:t xml:space="preserve"> social</w:t>
      </w:r>
      <w:r>
        <w:rPr>
          <w:color w:val="000000"/>
        </w:rPr>
        <w:t>)</w:t>
      </w:r>
      <w:r w:rsidR="00CC3C35">
        <w:rPr>
          <w:color w:val="000000"/>
        </w:rPr>
        <w:t>”</w:t>
      </w:r>
      <w:r>
        <w:rPr>
          <w:color w:val="000000"/>
        </w:rPr>
        <w:t>.</w:t>
      </w:r>
    </w:p>
    <w:p w:rsidR="006F7874" w:rsidRPr="00D361D1" w:rsidRDefault="006F7874" w:rsidP="00511F1C">
      <w:pPr>
        <w:pStyle w:val="NormalWeb"/>
        <w:shd w:val="clear" w:color="auto" w:fill="FFFFFF"/>
        <w:jc w:val="both"/>
      </w:pPr>
      <w:r w:rsidRPr="00D361D1">
        <w:rPr>
          <w:rFonts w:eastAsiaTheme="minorHAnsi"/>
          <w:b/>
          <w:bCs/>
          <w:lang w:eastAsia="en-US"/>
        </w:rPr>
        <w:t>“Los dioses ciegan a quienes quieren perder” (</w:t>
      </w:r>
      <w:r w:rsidR="00F35A87">
        <w:rPr>
          <w:rFonts w:eastAsiaTheme="minorHAnsi"/>
          <w:bCs/>
          <w:lang w:eastAsia="en-US"/>
        </w:rPr>
        <w:t>de la tragedia Á</w:t>
      </w:r>
      <w:r w:rsidRPr="00D361D1">
        <w:rPr>
          <w:rFonts w:eastAsiaTheme="minorHAnsi"/>
          <w:bCs/>
          <w:lang w:eastAsia="en-US"/>
        </w:rPr>
        <w:t>yax).</w:t>
      </w:r>
    </w:p>
    <w:sectPr w:rsidR="006F7874" w:rsidRPr="00D361D1" w:rsidSect="002C2334">
      <w:pgSz w:w="11906" w:h="16838"/>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MinionPro-Regular">
    <w:altName w:val="MS Mincho"/>
    <w:panose1 w:val="00000000000000000000"/>
    <w:charset w:val="80"/>
    <w:family w:val="roman"/>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A0CB8"/>
    <w:multiLevelType w:val="hybridMultilevel"/>
    <w:tmpl w:val="75E2FECE"/>
    <w:lvl w:ilvl="0" w:tplc="0142ADA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80110AD"/>
    <w:multiLevelType w:val="hybridMultilevel"/>
    <w:tmpl w:val="995CF4A6"/>
    <w:lvl w:ilvl="0" w:tplc="E59AEF0E">
      <w:start w:val="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C4D7487"/>
    <w:multiLevelType w:val="hybridMultilevel"/>
    <w:tmpl w:val="3664F09E"/>
    <w:lvl w:ilvl="0" w:tplc="B840264A">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D2E185E"/>
    <w:multiLevelType w:val="hybridMultilevel"/>
    <w:tmpl w:val="F5F09CB0"/>
    <w:lvl w:ilvl="0" w:tplc="FB80FF0C">
      <w:start w:val="2"/>
      <w:numFmt w:val="bullet"/>
      <w:lvlText w:val="-"/>
      <w:lvlJc w:val="left"/>
      <w:pPr>
        <w:ind w:left="720" w:hanging="360"/>
      </w:pPr>
      <w:rPr>
        <w:rFonts w:ascii="Times New Roman" w:eastAsia="Times New Roman" w:hAnsi="Times New Roman" w:cs="Times New Roman" w:hint="default"/>
        <w:b w:val="0"/>
        <w:color w:val="00000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DAF7369"/>
    <w:multiLevelType w:val="hybridMultilevel"/>
    <w:tmpl w:val="57AE2E0C"/>
    <w:lvl w:ilvl="0" w:tplc="0A9ED48A">
      <w:start w:val="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235C42A6"/>
    <w:multiLevelType w:val="hybridMultilevel"/>
    <w:tmpl w:val="9C18F210"/>
    <w:lvl w:ilvl="0" w:tplc="1EDE8ACE">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6BF3065"/>
    <w:multiLevelType w:val="hybridMultilevel"/>
    <w:tmpl w:val="2660A9B6"/>
    <w:lvl w:ilvl="0" w:tplc="F2E4B8F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9403F26"/>
    <w:multiLevelType w:val="hybridMultilevel"/>
    <w:tmpl w:val="9F10D856"/>
    <w:lvl w:ilvl="0" w:tplc="EB6E6644">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301E3010"/>
    <w:multiLevelType w:val="hybridMultilevel"/>
    <w:tmpl w:val="8F9A92AC"/>
    <w:lvl w:ilvl="0" w:tplc="B3F6758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33E46E26"/>
    <w:multiLevelType w:val="hybridMultilevel"/>
    <w:tmpl w:val="6F08E1BC"/>
    <w:lvl w:ilvl="0" w:tplc="8B6C235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51103C6"/>
    <w:multiLevelType w:val="hybridMultilevel"/>
    <w:tmpl w:val="20083F3E"/>
    <w:lvl w:ilvl="0" w:tplc="FBA23E16">
      <w:numFmt w:val="bullet"/>
      <w:lvlText w:val="-"/>
      <w:lvlJc w:val="left"/>
      <w:pPr>
        <w:ind w:left="720" w:hanging="360"/>
      </w:pPr>
      <w:rPr>
        <w:rFonts w:ascii="Times New Roman" w:eastAsiaTheme="minorHAnsi" w:hAnsi="Times New Roman" w:cs="Times New Roman"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38A6010F"/>
    <w:multiLevelType w:val="hybridMultilevel"/>
    <w:tmpl w:val="CFD81974"/>
    <w:lvl w:ilvl="0" w:tplc="C40808E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3CA659B8"/>
    <w:multiLevelType w:val="multilevel"/>
    <w:tmpl w:val="7F70892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3D69148E"/>
    <w:multiLevelType w:val="multilevel"/>
    <w:tmpl w:val="6D1A0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FEA7D33"/>
    <w:multiLevelType w:val="multilevel"/>
    <w:tmpl w:val="D2D8419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48F5B25"/>
    <w:multiLevelType w:val="hybridMultilevel"/>
    <w:tmpl w:val="572A5E9E"/>
    <w:lvl w:ilvl="0" w:tplc="B9BE4B6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7B02493A"/>
    <w:multiLevelType w:val="multilevel"/>
    <w:tmpl w:val="F4B8E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F151BA6"/>
    <w:multiLevelType w:val="hybridMultilevel"/>
    <w:tmpl w:val="C5107A3E"/>
    <w:lvl w:ilvl="0" w:tplc="8DCC384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7"/>
  </w:num>
  <w:num w:numId="4">
    <w:abstractNumId w:val="16"/>
  </w:num>
  <w:num w:numId="5">
    <w:abstractNumId w:val="13"/>
  </w:num>
  <w:num w:numId="6">
    <w:abstractNumId w:val="15"/>
  </w:num>
  <w:num w:numId="7">
    <w:abstractNumId w:val="3"/>
  </w:num>
  <w:num w:numId="8">
    <w:abstractNumId w:val="1"/>
  </w:num>
  <w:num w:numId="9">
    <w:abstractNumId w:val="4"/>
  </w:num>
  <w:num w:numId="10">
    <w:abstractNumId w:val="2"/>
  </w:num>
  <w:num w:numId="11">
    <w:abstractNumId w:val="5"/>
  </w:num>
  <w:num w:numId="12">
    <w:abstractNumId w:val="9"/>
  </w:num>
  <w:num w:numId="13">
    <w:abstractNumId w:val="6"/>
  </w:num>
  <w:num w:numId="14">
    <w:abstractNumId w:val="14"/>
  </w:num>
  <w:num w:numId="15">
    <w:abstractNumId w:val="0"/>
  </w:num>
  <w:num w:numId="16">
    <w:abstractNumId w:val="17"/>
  </w:num>
  <w:num w:numId="17">
    <w:abstractNumId w:val="10"/>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794E"/>
    <w:rsid w:val="00001605"/>
    <w:rsid w:val="000024A3"/>
    <w:rsid w:val="00003D9A"/>
    <w:rsid w:val="00006F75"/>
    <w:rsid w:val="00011EC5"/>
    <w:rsid w:val="00020DAF"/>
    <w:rsid w:val="00020F23"/>
    <w:rsid w:val="000211CC"/>
    <w:rsid w:val="00021EDE"/>
    <w:rsid w:val="000234A5"/>
    <w:rsid w:val="00036022"/>
    <w:rsid w:val="00037852"/>
    <w:rsid w:val="00046D9F"/>
    <w:rsid w:val="000475BA"/>
    <w:rsid w:val="00061591"/>
    <w:rsid w:val="00067334"/>
    <w:rsid w:val="0007129B"/>
    <w:rsid w:val="00077596"/>
    <w:rsid w:val="0009500C"/>
    <w:rsid w:val="00097E56"/>
    <w:rsid w:val="000A7ADD"/>
    <w:rsid w:val="000B0587"/>
    <w:rsid w:val="000B336E"/>
    <w:rsid w:val="000B5259"/>
    <w:rsid w:val="000B5E18"/>
    <w:rsid w:val="000B6D2F"/>
    <w:rsid w:val="000C79E9"/>
    <w:rsid w:val="000D6944"/>
    <w:rsid w:val="000E0498"/>
    <w:rsid w:val="000E1DEA"/>
    <w:rsid w:val="000E5435"/>
    <w:rsid w:val="000F4E18"/>
    <w:rsid w:val="000F6A36"/>
    <w:rsid w:val="000F770B"/>
    <w:rsid w:val="00103477"/>
    <w:rsid w:val="0010735E"/>
    <w:rsid w:val="001106A9"/>
    <w:rsid w:val="001167CA"/>
    <w:rsid w:val="00123BCE"/>
    <w:rsid w:val="00133549"/>
    <w:rsid w:val="00147DF6"/>
    <w:rsid w:val="0015752E"/>
    <w:rsid w:val="00161F51"/>
    <w:rsid w:val="001715D2"/>
    <w:rsid w:val="001903DA"/>
    <w:rsid w:val="00190DE7"/>
    <w:rsid w:val="001A03D9"/>
    <w:rsid w:val="001A2446"/>
    <w:rsid w:val="001A7A95"/>
    <w:rsid w:val="001B19AA"/>
    <w:rsid w:val="001B2665"/>
    <w:rsid w:val="001B5BAA"/>
    <w:rsid w:val="001E12BB"/>
    <w:rsid w:val="001E3EBC"/>
    <w:rsid w:val="001E4909"/>
    <w:rsid w:val="001F741E"/>
    <w:rsid w:val="00201A30"/>
    <w:rsid w:val="00217F16"/>
    <w:rsid w:val="00230C80"/>
    <w:rsid w:val="00232B37"/>
    <w:rsid w:val="00242399"/>
    <w:rsid w:val="00253DDB"/>
    <w:rsid w:val="00260B14"/>
    <w:rsid w:val="00264C96"/>
    <w:rsid w:val="00274391"/>
    <w:rsid w:val="00276B0A"/>
    <w:rsid w:val="00284DDD"/>
    <w:rsid w:val="00290009"/>
    <w:rsid w:val="002946B0"/>
    <w:rsid w:val="00294947"/>
    <w:rsid w:val="002A5380"/>
    <w:rsid w:val="002B04D3"/>
    <w:rsid w:val="002B792C"/>
    <w:rsid w:val="002C04CD"/>
    <w:rsid w:val="002C2334"/>
    <w:rsid w:val="002D47EA"/>
    <w:rsid w:val="002D5A98"/>
    <w:rsid w:val="002F0ED3"/>
    <w:rsid w:val="002F5DAF"/>
    <w:rsid w:val="00314DBC"/>
    <w:rsid w:val="0031624F"/>
    <w:rsid w:val="0031782E"/>
    <w:rsid w:val="00320B6F"/>
    <w:rsid w:val="003275A2"/>
    <w:rsid w:val="0033285D"/>
    <w:rsid w:val="003348F5"/>
    <w:rsid w:val="00335A0C"/>
    <w:rsid w:val="00340F46"/>
    <w:rsid w:val="003462DE"/>
    <w:rsid w:val="00351B3B"/>
    <w:rsid w:val="00352347"/>
    <w:rsid w:val="003545D1"/>
    <w:rsid w:val="00374EBD"/>
    <w:rsid w:val="00377D20"/>
    <w:rsid w:val="0038308B"/>
    <w:rsid w:val="003845F3"/>
    <w:rsid w:val="003A79E7"/>
    <w:rsid w:val="003C4C2C"/>
    <w:rsid w:val="003C794E"/>
    <w:rsid w:val="003C7C39"/>
    <w:rsid w:val="003D7186"/>
    <w:rsid w:val="003E2830"/>
    <w:rsid w:val="003F21A8"/>
    <w:rsid w:val="003F4651"/>
    <w:rsid w:val="003F53DF"/>
    <w:rsid w:val="00402F34"/>
    <w:rsid w:val="00403FE4"/>
    <w:rsid w:val="00407BC4"/>
    <w:rsid w:val="004111BB"/>
    <w:rsid w:val="00422826"/>
    <w:rsid w:val="00431904"/>
    <w:rsid w:val="0043618B"/>
    <w:rsid w:val="004378EE"/>
    <w:rsid w:val="00440960"/>
    <w:rsid w:val="00442E59"/>
    <w:rsid w:val="0044361B"/>
    <w:rsid w:val="00443BB5"/>
    <w:rsid w:val="004462CD"/>
    <w:rsid w:val="00462D3E"/>
    <w:rsid w:val="00472495"/>
    <w:rsid w:val="0047781B"/>
    <w:rsid w:val="00485992"/>
    <w:rsid w:val="00494916"/>
    <w:rsid w:val="00495A3A"/>
    <w:rsid w:val="004964F2"/>
    <w:rsid w:val="004A1997"/>
    <w:rsid w:val="004A70C9"/>
    <w:rsid w:val="004B48C4"/>
    <w:rsid w:val="004C3AAD"/>
    <w:rsid w:val="004C5788"/>
    <w:rsid w:val="004D0F44"/>
    <w:rsid w:val="004D39BB"/>
    <w:rsid w:val="004D3F75"/>
    <w:rsid w:val="004D6A0F"/>
    <w:rsid w:val="004E54EA"/>
    <w:rsid w:val="00507703"/>
    <w:rsid w:val="00511F1C"/>
    <w:rsid w:val="005134B9"/>
    <w:rsid w:val="00522F72"/>
    <w:rsid w:val="00532906"/>
    <w:rsid w:val="0054108D"/>
    <w:rsid w:val="00543FD8"/>
    <w:rsid w:val="00545EE4"/>
    <w:rsid w:val="00547A75"/>
    <w:rsid w:val="0055134D"/>
    <w:rsid w:val="005612FB"/>
    <w:rsid w:val="005656E7"/>
    <w:rsid w:val="00566E69"/>
    <w:rsid w:val="00573C01"/>
    <w:rsid w:val="0058387D"/>
    <w:rsid w:val="00590B7F"/>
    <w:rsid w:val="00593624"/>
    <w:rsid w:val="00593F14"/>
    <w:rsid w:val="005B558B"/>
    <w:rsid w:val="005B6C88"/>
    <w:rsid w:val="005C5CF8"/>
    <w:rsid w:val="005D3EF4"/>
    <w:rsid w:val="005E400B"/>
    <w:rsid w:val="005E4603"/>
    <w:rsid w:val="005E7CE7"/>
    <w:rsid w:val="005F1A99"/>
    <w:rsid w:val="005F5D68"/>
    <w:rsid w:val="0060727A"/>
    <w:rsid w:val="0060743D"/>
    <w:rsid w:val="006108E0"/>
    <w:rsid w:val="0061357D"/>
    <w:rsid w:val="006152B3"/>
    <w:rsid w:val="006173EB"/>
    <w:rsid w:val="00637807"/>
    <w:rsid w:val="00650055"/>
    <w:rsid w:val="00660352"/>
    <w:rsid w:val="00661390"/>
    <w:rsid w:val="00661677"/>
    <w:rsid w:val="00662654"/>
    <w:rsid w:val="0067098C"/>
    <w:rsid w:val="00671189"/>
    <w:rsid w:val="006A0260"/>
    <w:rsid w:val="006A1311"/>
    <w:rsid w:val="006A524A"/>
    <w:rsid w:val="006A5F74"/>
    <w:rsid w:val="006A7BC9"/>
    <w:rsid w:val="006B3D17"/>
    <w:rsid w:val="006C5966"/>
    <w:rsid w:val="006D0AAA"/>
    <w:rsid w:val="006D68A8"/>
    <w:rsid w:val="006E02DD"/>
    <w:rsid w:val="006E2E3B"/>
    <w:rsid w:val="006E612F"/>
    <w:rsid w:val="006F1283"/>
    <w:rsid w:val="006F254F"/>
    <w:rsid w:val="006F7874"/>
    <w:rsid w:val="007008DD"/>
    <w:rsid w:val="00702CC3"/>
    <w:rsid w:val="00707B7F"/>
    <w:rsid w:val="00710E11"/>
    <w:rsid w:val="007152C6"/>
    <w:rsid w:val="00716204"/>
    <w:rsid w:val="00727619"/>
    <w:rsid w:val="00731D5C"/>
    <w:rsid w:val="00744DB0"/>
    <w:rsid w:val="00745337"/>
    <w:rsid w:val="00746D72"/>
    <w:rsid w:val="00764A0A"/>
    <w:rsid w:val="00776983"/>
    <w:rsid w:val="0078009E"/>
    <w:rsid w:val="00790CF6"/>
    <w:rsid w:val="0079197E"/>
    <w:rsid w:val="007A1A45"/>
    <w:rsid w:val="007A4FCC"/>
    <w:rsid w:val="007A6C1B"/>
    <w:rsid w:val="007A778E"/>
    <w:rsid w:val="007C4487"/>
    <w:rsid w:val="007D40B5"/>
    <w:rsid w:val="007D5FC1"/>
    <w:rsid w:val="007E0330"/>
    <w:rsid w:val="007E2152"/>
    <w:rsid w:val="007F4234"/>
    <w:rsid w:val="007F6FA2"/>
    <w:rsid w:val="00801FBF"/>
    <w:rsid w:val="008101BF"/>
    <w:rsid w:val="00814E0B"/>
    <w:rsid w:val="00815ACD"/>
    <w:rsid w:val="00823369"/>
    <w:rsid w:val="00830201"/>
    <w:rsid w:val="00830E08"/>
    <w:rsid w:val="008353D4"/>
    <w:rsid w:val="00845D2E"/>
    <w:rsid w:val="008504E4"/>
    <w:rsid w:val="00851159"/>
    <w:rsid w:val="0085271B"/>
    <w:rsid w:val="008534FE"/>
    <w:rsid w:val="00854DF5"/>
    <w:rsid w:val="008622B3"/>
    <w:rsid w:val="0086584D"/>
    <w:rsid w:val="00874AC1"/>
    <w:rsid w:val="008754B8"/>
    <w:rsid w:val="00876D48"/>
    <w:rsid w:val="00893128"/>
    <w:rsid w:val="008934F0"/>
    <w:rsid w:val="008A20D2"/>
    <w:rsid w:val="008B63E8"/>
    <w:rsid w:val="008B7CD9"/>
    <w:rsid w:val="008C0EB9"/>
    <w:rsid w:val="008C3CB0"/>
    <w:rsid w:val="008C4345"/>
    <w:rsid w:val="008D4974"/>
    <w:rsid w:val="008E217C"/>
    <w:rsid w:val="008E6ED9"/>
    <w:rsid w:val="008F0CD3"/>
    <w:rsid w:val="008F2F60"/>
    <w:rsid w:val="00902BCA"/>
    <w:rsid w:val="009064A7"/>
    <w:rsid w:val="00907F49"/>
    <w:rsid w:val="00911BD9"/>
    <w:rsid w:val="00914273"/>
    <w:rsid w:val="009266BB"/>
    <w:rsid w:val="009314F3"/>
    <w:rsid w:val="009319E7"/>
    <w:rsid w:val="00942BD3"/>
    <w:rsid w:val="00943722"/>
    <w:rsid w:val="009466F8"/>
    <w:rsid w:val="00947B04"/>
    <w:rsid w:val="009508C2"/>
    <w:rsid w:val="00950B3A"/>
    <w:rsid w:val="00960B55"/>
    <w:rsid w:val="00973A72"/>
    <w:rsid w:val="00974128"/>
    <w:rsid w:val="009769E0"/>
    <w:rsid w:val="00981F4A"/>
    <w:rsid w:val="009A2926"/>
    <w:rsid w:val="009B25E1"/>
    <w:rsid w:val="009C3BBD"/>
    <w:rsid w:val="009C4098"/>
    <w:rsid w:val="009C67EE"/>
    <w:rsid w:val="009C707E"/>
    <w:rsid w:val="009D137C"/>
    <w:rsid w:val="009D6F98"/>
    <w:rsid w:val="009F08A2"/>
    <w:rsid w:val="00A026A4"/>
    <w:rsid w:val="00A0672B"/>
    <w:rsid w:val="00A072CC"/>
    <w:rsid w:val="00A2156A"/>
    <w:rsid w:val="00A33028"/>
    <w:rsid w:val="00A37307"/>
    <w:rsid w:val="00A427E4"/>
    <w:rsid w:val="00A44DEA"/>
    <w:rsid w:val="00A46EA9"/>
    <w:rsid w:val="00A62173"/>
    <w:rsid w:val="00A64F47"/>
    <w:rsid w:val="00A66E62"/>
    <w:rsid w:val="00A71441"/>
    <w:rsid w:val="00A73AE0"/>
    <w:rsid w:val="00A77E73"/>
    <w:rsid w:val="00A82960"/>
    <w:rsid w:val="00A912FC"/>
    <w:rsid w:val="00AA277C"/>
    <w:rsid w:val="00AA6172"/>
    <w:rsid w:val="00AB3464"/>
    <w:rsid w:val="00AC350F"/>
    <w:rsid w:val="00AC6981"/>
    <w:rsid w:val="00AD1407"/>
    <w:rsid w:val="00AD27F4"/>
    <w:rsid w:val="00AE0C5F"/>
    <w:rsid w:val="00AE2DE8"/>
    <w:rsid w:val="00AE4218"/>
    <w:rsid w:val="00AF33F6"/>
    <w:rsid w:val="00AF7493"/>
    <w:rsid w:val="00B1031E"/>
    <w:rsid w:val="00B12533"/>
    <w:rsid w:val="00B21004"/>
    <w:rsid w:val="00B324C0"/>
    <w:rsid w:val="00B32E9F"/>
    <w:rsid w:val="00B3471A"/>
    <w:rsid w:val="00B36875"/>
    <w:rsid w:val="00B400D0"/>
    <w:rsid w:val="00B40902"/>
    <w:rsid w:val="00B43C6F"/>
    <w:rsid w:val="00B53233"/>
    <w:rsid w:val="00B532D8"/>
    <w:rsid w:val="00B61FA4"/>
    <w:rsid w:val="00B70E2E"/>
    <w:rsid w:val="00B712A0"/>
    <w:rsid w:val="00B71D19"/>
    <w:rsid w:val="00B756AF"/>
    <w:rsid w:val="00B85DF1"/>
    <w:rsid w:val="00B9019A"/>
    <w:rsid w:val="00B97A46"/>
    <w:rsid w:val="00BB18CE"/>
    <w:rsid w:val="00BB3269"/>
    <w:rsid w:val="00BB6E6A"/>
    <w:rsid w:val="00BC226D"/>
    <w:rsid w:val="00BC3D9E"/>
    <w:rsid w:val="00BC60E1"/>
    <w:rsid w:val="00BD5FA3"/>
    <w:rsid w:val="00BF1983"/>
    <w:rsid w:val="00BF1D77"/>
    <w:rsid w:val="00BF4EE0"/>
    <w:rsid w:val="00C00FCA"/>
    <w:rsid w:val="00C0426F"/>
    <w:rsid w:val="00C137D8"/>
    <w:rsid w:val="00C15AD8"/>
    <w:rsid w:val="00C43AB2"/>
    <w:rsid w:val="00C457A2"/>
    <w:rsid w:val="00C45AA4"/>
    <w:rsid w:val="00C51418"/>
    <w:rsid w:val="00C52A85"/>
    <w:rsid w:val="00C52A8E"/>
    <w:rsid w:val="00C60CB6"/>
    <w:rsid w:val="00C62F62"/>
    <w:rsid w:val="00C70873"/>
    <w:rsid w:val="00C70D04"/>
    <w:rsid w:val="00C73342"/>
    <w:rsid w:val="00C817FE"/>
    <w:rsid w:val="00C832AD"/>
    <w:rsid w:val="00C910E2"/>
    <w:rsid w:val="00C93CAF"/>
    <w:rsid w:val="00C94D5D"/>
    <w:rsid w:val="00CC022B"/>
    <w:rsid w:val="00CC1E75"/>
    <w:rsid w:val="00CC3C35"/>
    <w:rsid w:val="00CD02DD"/>
    <w:rsid w:val="00CD3222"/>
    <w:rsid w:val="00CD3B4A"/>
    <w:rsid w:val="00CE40FB"/>
    <w:rsid w:val="00CF09A7"/>
    <w:rsid w:val="00D1354A"/>
    <w:rsid w:val="00D21FD1"/>
    <w:rsid w:val="00D25369"/>
    <w:rsid w:val="00D263E8"/>
    <w:rsid w:val="00D356D5"/>
    <w:rsid w:val="00D361D1"/>
    <w:rsid w:val="00D37933"/>
    <w:rsid w:val="00D44213"/>
    <w:rsid w:val="00D45E81"/>
    <w:rsid w:val="00D52DE6"/>
    <w:rsid w:val="00D537E7"/>
    <w:rsid w:val="00D62AE1"/>
    <w:rsid w:val="00D65EE3"/>
    <w:rsid w:val="00D66135"/>
    <w:rsid w:val="00D70C1B"/>
    <w:rsid w:val="00D73123"/>
    <w:rsid w:val="00D73C2C"/>
    <w:rsid w:val="00D81A7D"/>
    <w:rsid w:val="00D97BB9"/>
    <w:rsid w:val="00DB08FE"/>
    <w:rsid w:val="00DB0CCD"/>
    <w:rsid w:val="00DB24DA"/>
    <w:rsid w:val="00DB5B29"/>
    <w:rsid w:val="00DC077C"/>
    <w:rsid w:val="00DC49FE"/>
    <w:rsid w:val="00E00FBC"/>
    <w:rsid w:val="00E0202D"/>
    <w:rsid w:val="00E0268B"/>
    <w:rsid w:val="00E061AD"/>
    <w:rsid w:val="00E10AB9"/>
    <w:rsid w:val="00E12531"/>
    <w:rsid w:val="00E16CC2"/>
    <w:rsid w:val="00E36986"/>
    <w:rsid w:val="00E41A1E"/>
    <w:rsid w:val="00E5547A"/>
    <w:rsid w:val="00E56E14"/>
    <w:rsid w:val="00E57D24"/>
    <w:rsid w:val="00E60ECD"/>
    <w:rsid w:val="00E707A3"/>
    <w:rsid w:val="00E76759"/>
    <w:rsid w:val="00E8388D"/>
    <w:rsid w:val="00E85668"/>
    <w:rsid w:val="00E8684B"/>
    <w:rsid w:val="00EA1375"/>
    <w:rsid w:val="00EB26AE"/>
    <w:rsid w:val="00EC0FE4"/>
    <w:rsid w:val="00EC14BA"/>
    <w:rsid w:val="00EE3E85"/>
    <w:rsid w:val="00EF1E80"/>
    <w:rsid w:val="00F04D04"/>
    <w:rsid w:val="00F05AF1"/>
    <w:rsid w:val="00F066B5"/>
    <w:rsid w:val="00F1271F"/>
    <w:rsid w:val="00F2194F"/>
    <w:rsid w:val="00F30030"/>
    <w:rsid w:val="00F310D8"/>
    <w:rsid w:val="00F35A87"/>
    <w:rsid w:val="00F41821"/>
    <w:rsid w:val="00F46174"/>
    <w:rsid w:val="00F60C77"/>
    <w:rsid w:val="00F7446B"/>
    <w:rsid w:val="00F8299D"/>
    <w:rsid w:val="00F83104"/>
    <w:rsid w:val="00F87E70"/>
    <w:rsid w:val="00F92961"/>
    <w:rsid w:val="00F92F92"/>
    <w:rsid w:val="00F9487E"/>
    <w:rsid w:val="00FA1D96"/>
    <w:rsid w:val="00FA3C48"/>
    <w:rsid w:val="00FC718A"/>
    <w:rsid w:val="00FD27EB"/>
    <w:rsid w:val="00FD5AE7"/>
    <w:rsid w:val="00FD5E9B"/>
    <w:rsid w:val="00FD6362"/>
    <w:rsid w:val="00FE197A"/>
    <w:rsid w:val="00FF401D"/>
    <w:rsid w:val="00FF5B3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C52A8E"/>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A46EA9"/>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A44DEA"/>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5">
    <w:name w:val="heading 5"/>
    <w:basedOn w:val="Normal"/>
    <w:next w:val="Normal"/>
    <w:link w:val="Ttulo5Car"/>
    <w:uiPriority w:val="9"/>
    <w:unhideWhenUsed/>
    <w:qFormat/>
    <w:rsid w:val="00EF1E80"/>
    <w:pPr>
      <w:keepNext/>
      <w:keepLines/>
      <w:spacing w:before="200" w:after="0"/>
      <w:outlineLvl w:val="4"/>
    </w:pPr>
    <w:rPr>
      <w:rFonts w:asciiTheme="majorHAnsi" w:eastAsiaTheme="majorEastAsia" w:hAnsiTheme="majorHAnsi" w:cstheme="majorBidi"/>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C794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C794E"/>
    <w:rPr>
      <w:rFonts w:ascii="Tahoma" w:hAnsi="Tahoma" w:cs="Tahoma"/>
      <w:sz w:val="16"/>
      <w:szCs w:val="16"/>
    </w:rPr>
  </w:style>
  <w:style w:type="paragraph" w:styleId="NormalWeb">
    <w:name w:val="Normal (Web)"/>
    <w:basedOn w:val="Normal"/>
    <w:uiPriority w:val="99"/>
    <w:unhideWhenUsed/>
    <w:rsid w:val="003C794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D356D5"/>
    <w:rPr>
      <w:b/>
      <w:bCs/>
    </w:rPr>
  </w:style>
  <w:style w:type="character" w:styleId="nfasis">
    <w:name w:val="Emphasis"/>
    <w:basedOn w:val="Fuentedeprrafopredeter"/>
    <w:uiPriority w:val="20"/>
    <w:qFormat/>
    <w:rsid w:val="00E56E14"/>
    <w:rPr>
      <w:i/>
      <w:iCs/>
    </w:rPr>
  </w:style>
  <w:style w:type="character" w:styleId="Hipervnculo">
    <w:name w:val="Hyperlink"/>
    <w:basedOn w:val="Fuentedeprrafopredeter"/>
    <w:uiPriority w:val="99"/>
    <w:semiHidden/>
    <w:unhideWhenUsed/>
    <w:rsid w:val="00E56E14"/>
    <w:rPr>
      <w:color w:val="0000FF"/>
      <w:u w:val="single"/>
    </w:rPr>
  </w:style>
  <w:style w:type="paragraph" w:styleId="Prrafodelista">
    <w:name w:val="List Paragraph"/>
    <w:basedOn w:val="Normal"/>
    <w:uiPriority w:val="34"/>
    <w:qFormat/>
    <w:rsid w:val="00AE4218"/>
    <w:pPr>
      <w:ind w:left="720"/>
      <w:contextualSpacing/>
    </w:pPr>
  </w:style>
  <w:style w:type="character" w:customStyle="1" w:styleId="Ttulo2Car">
    <w:name w:val="Título 2 Car"/>
    <w:basedOn w:val="Fuentedeprrafopredeter"/>
    <w:link w:val="Ttulo2"/>
    <w:uiPriority w:val="9"/>
    <w:rsid w:val="00A46EA9"/>
    <w:rPr>
      <w:rFonts w:ascii="Times New Roman" w:eastAsia="Times New Roman" w:hAnsi="Times New Roman" w:cs="Times New Roman"/>
      <w:b/>
      <w:bCs/>
      <w:sz w:val="36"/>
      <w:szCs w:val="36"/>
      <w:lang w:eastAsia="es-ES"/>
    </w:rPr>
  </w:style>
  <w:style w:type="paragraph" w:customStyle="1" w:styleId="survauthor">
    <w:name w:val="survauthor"/>
    <w:basedOn w:val="Normal"/>
    <w:rsid w:val="00A46EA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ilite">
    <w:name w:val="hilite"/>
    <w:basedOn w:val="Fuentedeprrafopredeter"/>
    <w:rsid w:val="00A46EA9"/>
  </w:style>
  <w:style w:type="paragraph" w:customStyle="1" w:styleId="intro">
    <w:name w:val="intro"/>
    <w:basedOn w:val="Normal"/>
    <w:rsid w:val="00A46EA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stletter">
    <w:name w:val="firstletter"/>
    <w:basedOn w:val="Fuentedeprrafopredeter"/>
    <w:rsid w:val="00A46EA9"/>
  </w:style>
  <w:style w:type="paragraph" w:customStyle="1" w:styleId="kicker">
    <w:name w:val="kicker"/>
    <w:basedOn w:val="Normal"/>
    <w:rsid w:val="00A46EA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5Car">
    <w:name w:val="Título 5 Car"/>
    <w:basedOn w:val="Fuentedeprrafopredeter"/>
    <w:link w:val="Ttulo5"/>
    <w:uiPriority w:val="9"/>
    <w:rsid w:val="00EF1E80"/>
    <w:rPr>
      <w:rFonts w:asciiTheme="majorHAnsi" w:eastAsiaTheme="majorEastAsia" w:hAnsiTheme="majorHAnsi" w:cstheme="majorBidi"/>
      <w:color w:val="243F60" w:themeColor="accent1" w:themeShade="7F"/>
      <w:lang w:eastAsia="es-ES"/>
    </w:rPr>
  </w:style>
  <w:style w:type="character" w:customStyle="1" w:styleId="Ttulo1Car">
    <w:name w:val="Título 1 Car"/>
    <w:basedOn w:val="Fuentedeprrafopredeter"/>
    <w:link w:val="Ttulo1"/>
    <w:uiPriority w:val="9"/>
    <w:rsid w:val="00C52A8E"/>
    <w:rPr>
      <w:rFonts w:asciiTheme="majorHAnsi" w:eastAsiaTheme="majorEastAsia" w:hAnsiTheme="majorHAnsi" w:cstheme="majorBidi"/>
      <w:b/>
      <w:bCs/>
      <w:color w:val="365F91" w:themeColor="accent1" w:themeShade="BF"/>
      <w:sz w:val="28"/>
      <w:szCs w:val="28"/>
      <w:lang w:eastAsia="es-ES"/>
    </w:rPr>
  </w:style>
  <w:style w:type="paragraph" w:customStyle="1" w:styleId="headlinemeta">
    <w:name w:val="headline_meta"/>
    <w:basedOn w:val="Normal"/>
    <w:rsid w:val="00C52A8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C52A8E"/>
  </w:style>
  <w:style w:type="character" w:customStyle="1" w:styleId="Ttulo3Car">
    <w:name w:val="Título 3 Car"/>
    <w:basedOn w:val="Fuentedeprrafopredeter"/>
    <w:link w:val="Ttulo3"/>
    <w:uiPriority w:val="9"/>
    <w:rsid w:val="00A44DEA"/>
    <w:rPr>
      <w:rFonts w:asciiTheme="majorHAnsi" w:eastAsiaTheme="majorEastAsia" w:hAnsiTheme="majorHAnsi" w:cstheme="majorBidi"/>
      <w:b/>
      <w:bCs/>
      <w:color w:val="4F81BD" w:themeColor="accent1"/>
      <w:lang w:eastAsia="es-ES"/>
    </w:rPr>
  </w:style>
  <w:style w:type="paragraph" w:customStyle="1" w:styleId="centro-texto-notis">
    <w:name w:val="centro-texto-notis"/>
    <w:basedOn w:val="Normal"/>
    <w:uiPriority w:val="99"/>
    <w:rsid w:val="007A6C1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negra-grande">
    <w:name w:val="firma-negra-grande"/>
    <w:basedOn w:val="Fuentedeprrafopredeter"/>
    <w:rsid w:val="007A6C1B"/>
  </w:style>
  <w:style w:type="character" w:customStyle="1" w:styleId="hora-publi">
    <w:name w:val="hora-publi"/>
    <w:basedOn w:val="Fuentedeprrafopredeter"/>
    <w:rsid w:val="007A6C1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C52A8E"/>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A46EA9"/>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A44DEA"/>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5">
    <w:name w:val="heading 5"/>
    <w:basedOn w:val="Normal"/>
    <w:next w:val="Normal"/>
    <w:link w:val="Ttulo5Car"/>
    <w:uiPriority w:val="9"/>
    <w:unhideWhenUsed/>
    <w:qFormat/>
    <w:rsid w:val="00EF1E80"/>
    <w:pPr>
      <w:keepNext/>
      <w:keepLines/>
      <w:spacing w:before="200" w:after="0"/>
      <w:outlineLvl w:val="4"/>
    </w:pPr>
    <w:rPr>
      <w:rFonts w:asciiTheme="majorHAnsi" w:eastAsiaTheme="majorEastAsia" w:hAnsiTheme="majorHAnsi" w:cstheme="majorBidi"/>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C794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C794E"/>
    <w:rPr>
      <w:rFonts w:ascii="Tahoma" w:hAnsi="Tahoma" w:cs="Tahoma"/>
      <w:sz w:val="16"/>
      <w:szCs w:val="16"/>
    </w:rPr>
  </w:style>
  <w:style w:type="paragraph" w:styleId="NormalWeb">
    <w:name w:val="Normal (Web)"/>
    <w:basedOn w:val="Normal"/>
    <w:uiPriority w:val="99"/>
    <w:unhideWhenUsed/>
    <w:rsid w:val="003C794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D356D5"/>
    <w:rPr>
      <w:b/>
      <w:bCs/>
    </w:rPr>
  </w:style>
  <w:style w:type="character" w:styleId="nfasis">
    <w:name w:val="Emphasis"/>
    <w:basedOn w:val="Fuentedeprrafopredeter"/>
    <w:uiPriority w:val="20"/>
    <w:qFormat/>
    <w:rsid w:val="00E56E14"/>
    <w:rPr>
      <w:i/>
      <w:iCs/>
    </w:rPr>
  </w:style>
  <w:style w:type="character" w:styleId="Hipervnculo">
    <w:name w:val="Hyperlink"/>
    <w:basedOn w:val="Fuentedeprrafopredeter"/>
    <w:uiPriority w:val="99"/>
    <w:semiHidden/>
    <w:unhideWhenUsed/>
    <w:rsid w:val="00E56E14"/>
    <w:rPr>
      <w:color w:val="0000FF"/>
      <w:u w:val="single"/>
    </w:rPr>
  </w:style>
  <w:style w:type="paragraph" w:styleId="Prrafodelista">
    <w:name w:val="List Paragraph"/>
    <w:basedOn w:val="Normal"/>
    <w:uiPriority w:val="34"/>
    <w:qFormat/>
    <w:rsid w:val="00AE4218"/>
    <w:pPr>
      <w:ind w:left="720"/>
      <w:contextualSpacing/>
    </w:pPr>
  </w:style>
  <w:style w:type="character" w:customStyle="1" w:styleId="Ttulo2Car">
    <w:name w:val="Título 2 Car"/>
    <w:basedOn w:val="Fuentedeprrafopredeter"/>
    <w:link w:val="Ttulo2"/>
    <w:uiPriority w:val="9"/>
    <w:rsid w:val="00A46EA9"/>
    <w:rPr>
      <w:rFonts w:ascii="Times New Roman" w:eastAsia="Times New Roman" w:hAnsi="Times New Roman" w:cs="Times New Roman"/>
      <w:b/>
      <w:bCs/>
      <w:sz w:val="36"/>
      <w:szCs w:val="36"/>
      <w:lang w:eastAsia="es-ES"/>
    </w:rPr>
  </w:style>
  <w:style w:type="paragraph" w:customStyle="1" w:styleId="survauthor">
    <w:name w:val="survauthor"/>
    <w:basedOn w:val="Normal"/>
    <w:rsid w:val="00A46EA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ilite">
    <w:name w:val="hilite"/>
    <w:basedOn w:val="Fuentedeprrafopredeter"/>
    <w:rsid w:val="00A46EA9"/>
  </w:style>
  <w:style w:type="paragraph" w:customStyle="1" w:styleId="intro">
    <w:name w:val="intro"/>
    <w:basedOn w:val="Normal"/>
    <w:rsid w:val="00A46EA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stletter">
    <w:name w:val="firstletter"/>
    <w:basedOn w:val="Fuentedeprrafopredeter"/>
    <w:rsid w:val="00A46EA9"/>
  </w:style>
  <w:style w:type="paragraph" w:customStyle="1" w:styleId="kicker">
    <w:name w:val="kicker"/>
    <w:basedOn w:val="Normal"/>
    <w:rsid w:val="00A46EA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5Car">
    <w:name w:val="Título 5 Car"/>
    <w:basedOn w:val="Fuentedeprrafopredeter"/>
    <w:link w:val="Ttulo5"/>
    <w:uiPriority w:val="9"/>
    <w:rsid w:val="00EF1E80"/>
    <w:rPr>
      <w:rFonts w:asciiTheme="majorHAnsi" w:eastAsiaTheme="majorEastAsia" w:hAnsiTheme="majorHAnsi" w:cstheme="majorBidi"/>
      <w:color w:val="243F60" w:themeColor="accent1" w:themeShade="7F"/>
      <w:lang w:eastAsia="es-ES"/>
    </w:rPr>
  </w:style>
  <w:style w:type="character" w:customStyle="1" w:styleId="Ttulo1Car">
    <w:name w:val="Título 1 Car"/>
    <w:basedOn w:val="Fuentedeprrafopredeter"/>
    <w:link w:val="Ttulo1"/>
    <w:uiPriority w:val="9"/>
    <w:rsid w:val="00C52A8E"/>
    <w:rPr>
      <w:rFonts w:asciiTheme="majorHAnsi" w:eastAsiaTheme="majorEastAsia" w:hAnsiTheme="majorHAnsi" w:cstheme="majorBidi"/>
      <w:b/>
      <w:bCs/>
      <w:color w:val="365F91" w:themeColor="accent1" w:themeShade="BF"/>
      <w:sz w:val="28"/>
      <w:szCs w:val="28"/>
      <w:lang w:eastAsia="es-ES"/>
    </w:rPr>
  </w:style>
  <w:style w:type="paragraph" w:customStyle="1" w:styleId="headlinemeta">
    <w:name w:val="headline_meta"/>
    <w:basedOn w:val="Normal"/>
    <w:rsid w:val="00C52A8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C52A8E"/>
  </w:style>
  <w:style w:type="character" w:customStyle="1" w:styleId="Ttulo3Car">
    <w:name w:val="Título 3 Car"/>
    <w:basedOn w:val="Fuentedeprrafopredeter"/>
    <w:link w:val="Ttulo3"/>
    <w:uiPriority w:val="9"/>
    <w:rsid w:val="00A44DEA"/>
    <w:rPr>
      <w:rFonts w:asciiTheme="majorHAnsi" w:eastAsiaTheme="majorEastAsia" w:hAnsiTheme="majorHAnsi" w:cstheme="majorBidi"/>
      <w:b/>
      <w:bCs/>
      <w:color w:val="4F81BD" w:themeColor="accent1"/>
      <w:lang w:eastAsia="es-ES"/>
    </w:rPr>
  </w:style>
  <w:style w:type="paragraph" w:customStyle="1" w:styleId="centro-texto-notis">
    <w:name w:val="centro-texto-notis"/>
    <w:basedOn w:val="Normal"/>
    <w:uiPriority w:val="99"/>
    <w:rsid w:val="007A6C1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negra-grande">
    <w:name w:val="firma-negra-grande"/>
    <w:basedOn w:val="Fuentedeprrafopredeter"/>
    <w:rsid w:val="007A6C1B"/>
  </w:style>
  <w:style w:type="character" w:customStyle="1" w:styleId="hora-publi">
    <w:name w:val="hora-publi"/>
    <w:basedOn w:val="Fuentedeprrafopredeter"/>
    <w:rsid w:val="007A6C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643235">
      <w:bodyDiv w:val="1"/>
      <w:marLeft w:val="0"/>
      <w:marRight w:val="0"/>
      <w:marTop w:val="0"/>
      <w:marBottom w:val="0"/>
      <w:divBdr>
        <w:top w:val="none" w:sz="0" w:space="0" w:color="auto"/>
        <w:left w:val="none" w:sz="0" w:space="0" w:color="auto"/>
        <w:bottom w:val="none" w:sz="0" w:space="0" w:color="auto"/>
        <w:right w:val="none" w:sz="0" w:space="0" w:color="auto"/>
      </w:divBdr>
    </w:div>
    <w:div w:id="111940813">
      <w:bodyDiv w:val="1"/>
      <w:marLeft w:val="0"/>
      <w:marRight w:val="0"/>
      <w:marTop w:val="0"/>
      <w:marBottom w:val="0"/>
      <w:divBdr>
        <w:top w:val="none" w:sz="0" w:space="0" w:color="auto"/>
        <w:left w:val="none" w:sz="0" w:space="0" w:color="auto"/>
        <w:bottom w:val="none" w:sz="0" w:space="0" w:color="auto"/>
        <w:right w:val="none" w:sz="0" w:space="0" w:color="auto"/>
      </w:divBdr>
    </w:div>
    <w:div w:id="420638767">
      <w:bodyDiv w:val="1"/>
      <w:marLeft w:val="0"/>
      <w:marRight w:val="0"/>
      <w:marTop w:val="0"/>
      <w:marBottom w:val="0"/>
      <w:divBdr>
        <w:top w:val="none" w:sz="0" w:space="0" w:color="auto"/>
        <w:left w:val="none" w:sz="0" w:space="0" w:color="auto"/>
        <w:bottom w:val="none" w:sz="0" w:space="0" w:color="auto"/>
        <w:right w:val="none" w:sz="0" w:space="0" w:color="auto"/>
      </w:divBdr>
    </w:div>
    <w:div w:id="488836596">
      <w:bodyDiv w:val="1"/>
      <w:marLeft w:val="0"/>
      <w:marRight w:val="0"/>
      <w:marTop w:val="0"/>
      <w:marBottom w:val="0"/>
      <w:divBdr>
        <w:top w:val="none" w:sz="0" w:space="0" w:color="auto"/>
        <w:left w:val="none" w:sz="0" w:space="0" w:color="auto"/>
        <w:bottom w:val="none" w:sz="0" w:space="0" w:color="auto"/>
        <w:right w:val="none" w:sz="0" w:space="0" w:color="auto"/>
      </w:divBdr>
    </w:div>
    <w:div w:id="530803693">
      <w:bodyDiv w:val="1"/>
      <w:marLeft w:val="0"/>
      <w:marRight w:val="0"/>
      <w:marTop w:val="0"/>
      <w:marBottom w:val="0"/>
      <w:divBdr>
        <w:top w:val="none" w:sz="0" w:space="0" w:color="auto"/>
        <w:left w:val="none" w:sz="0" w:space="0" w:color="auto"/>
        <w:bottom w:val="none" w:sz="0" w:space="0" w:color="auto"/>
        <w:right w:val="none" w:sz="0" w:space="0" w:color="auto"/>
      </w:divBdr>
    </w:div>
    <w:div w:id="540048406">
      <w:bodyDiv w:val="1"/>
      <w:marLeft w:val="0"/>
      <w:marRight w:val="0"/>
      <w:marTop w:val="0"/>
      <w:marBottom w:val="0"/>
      <w:divBdr>
        <w:top w:val="none" w:sz="0" w:space="0" w:color="auto"/>
        <w:left w:val="none" w:sz="0" w:space="0" w:color="auto"/>
        <w:bottom w:val="none" w:sz="0" w:space="0" w:color="auto"/>
        <w:right w:val="none" w:sz="0" w:space="0" w:color="auto"/>
      </w:divBdr>
    </w:div>
    <w:div w:id="598030339">
      <w:bodyDiv w:val="1"/>
      <w:marLeft w:val="0"/>
      <w:marRight w:val="0"/>
      <w:marTop w:val="0"/>
      <w:marBottom w:val="0"/>
      <w:divBdr>
        <w:top w:val="none" w:sz="0" w:space="0" w:color="auto"/>
        <w:left w:val="none" w:sz="0" w:space="0" w:color="auto"/>
        <w:bottom w:val="none" w:sz="0" w:space="0" w:color="auto"/>
        <w:right w:val="none" w:sz="0" w:space="0" w:color="auto"/>
      </w:divBdr>
    </w:div>
    <w:div w:id="600063766">
      <w:bodyDiv w:val="1"/>
      <w:marLeft w:val="0"/>
      <w:marRight w:val="0"/>
      <w:marTop w:val="0"/>
      <w:marBottom w:val="0"/>
      <w:divBdr>
        <w:top w:val="none" w:sz="0" w:space="0" w:color="auto"/>
        <w:left w:val="none" w:sz="0" w:space="0" w:color="auto"/>
        <w:bottom w:val="none" w:sz="0" w:space="0" w:color="auto"/>
        <w:right w:val="none" w:sz="0" w:space="0" w:color="auto"/>
      </w:divBdr>
    </w:div>
    <w:div w:id="702486584">
      <w:bodyDiv w:val="1"/>
      <w:marLeft w:val="0"/>
      <w:marRight w:val="0"/>
      <w:marTop w:val="0"/>
      <w:marBottom w:val="0"/>
      <w:divBdr>
        <w:top w:val="none" w:sz="0" w:space="0" w:color="auto"/>
        <w:left w:val="none" w:sz="0" w:space="0" w:color="auto"/>
        <w:bottom w:val="none" w:sz="0" w:space="0" w:color="auto"/>
        <w:right w:val="none" w:sz="0" w:space="0" w:color="auto"/>
      </w:divBdr>
    </w:div>
    <w:div w:id="906957594">
      <w:bodyDiv w:val="1"/>
      <w:marLeft w:val="0"/>
      <w:marRight w:val="0"/>
      <w:marTop w:val="0"/>
      <w:marBottom w:val="0"/>
      <w:divBdr>
        <w:top w:val="none" w:sz="0" w:space="0" w:color="auto"/>
        <w:left w:val="none" w:sz="0" w:space="0" w:color="auto"/>
        <w:bottom w:val="none" w:sz="0" w:space="0" w:color="auto"/>
        <w:right w:val="none" w:sz="0" w:space="0" w:color="auto"/>
      </w:divBdr>
    </w:div>
    <w:div w:id="1041978685">
      <w:bodyDiv w:val="1"/>
      <w:marLeft w:val="0"/>
      <w:marRight w:val="0"/>
      <w:marTop w:val="0"/>
      <w:marBottom w:val="0"/>
      <w:divBdr>
        <w:top w:val="none" w:sz="0" w:space="0" w:color="auto"/>
        <w:left w:val="none" w:sz="0" w:space="0" w:color="auto"/>
        <w:bottom w:val="none" w:sz="0" w:space="0" w:color="auto"/>
        <w:right w:val="none" w:sz="0" w:space="0" w:color="auto"/>
      </w:divBdr>
    </w:div>
    <w:div w:id="1062411823">
      <w:bodyDiv w:val="1"/>
      <w:marLeft w:val="0"/>
      <w:marRight w:val="0"/>
      <w:marTop w:val="0"/>
      <w:marBottom w:val="0"/>
      <w:divBdr>
        <w:top w:val="none" w:sz="0" w:space="0" w:color="auto"/>
        <w:left w:val="none" w:sz="0" w:space="0" w:color="auto"/>
        <w:bottom w:val="none" w:sz="0" w:space="0" w:color="auto"/>
        <w:right w:val="none" w:sz="0" w:space="0" w:color="auto"/>
      </w:divBdr>
    </w:div>
    <w:div w:id="1092242488">
      <w:bodyDiv w:val="1"/>
      <w:marLeft w:val="0"/>
      <w:marRight w:val="0"/>
      <w:marTop w:val="0"/>
      <w:marBottom w:val="0"/>
      <w:divBdr>
        <w:top w:val="none" w:sz="0" w:space="0" w:color="auto"/>
        <w:left w:val="none" w:sz="0" w:space="0" w:color="auto"/>
        <w:bottom w:val="none" w:sz="0" w:space="0" w:color="auto"/>
        <w:right w:val="none" w:sz="0" w:space="0" w:color="auto"/>
      </w:divBdr>
    </w:div>
    <w:div w:id="1119882766">
      <w:bodyDiv w:val="1"/>
      <w:marLeft w:val="0"/>
      <w:marRight w:val="0"/>
      <w:marTop w:val="0"/>
      <w:marBottom w:val="0"/>
      <w:divBdr>
        <w:top w:val="none" w:sz="0" w:space="0" w:color="auto"/>
        <w:left w:val="none" w:sz="0" w:space="0" w:color="auto"/>
        <w:bottom w:val="none" w:sz="0" w:space="0" w:color="auto"/>
        <w:right w:val="none" w:sz="0" w:space="0" w:color="auto"/>
      </w:divBdr>
    </w:div>
    <w:div w:id="1156533290">
      <w:bodyDiv w:val="1"/>
      <w:marLeft w:val="0"/>
      <w:marRight w:val="0"/>
      <w:marTop w:val="0"/>
      <w:marBottom w:val="0"/>
      <w:divBdr>
        <w:top w:val="none" w:sz="0" w:space="0" w:color="auto"/>
        <w:left w:val="none" w:sz="0" w:space="0" w:color="auto"/>
        <w:bottom w:val="none" w:sz="0" w:space="0" w:color="auto"/>
        <w:right w:val="none" w:sz="0" w:space="0" w:color="auto"/>
      </w:divBdr>
    </w:div>
    <w:div w:id="1226799446">
      <w:bodyDiv w:val="1"/>
      <w:marLeft w:val="0"/>
      <w:marRight w:val="0"/>
      <w:marTop w:val="0"/>
      <w:marBottom w:val="0"/>
      <w:divBdr>
        <w:top w:val="none" w:sz="0" w:space="0" w:color="auto"/>
        <w:left w:val="none" w:sz="0" w:space="0" w:color="auto"/>
        <w:bottom w:val="none" w:sz="0" w:space="0" w:color="auto"/>
        <w:right w:val="none" w:sz="0" w:space="0" w:color="auto"/>
      </w:divBdr>
    </w:div>
    <w:div w:id="1427119974">
      <w:bodyDiv w:val="1"/>
      <w:marLeft w:val="0"/>
      <w:marRight w:val="0"/>
      <w:marTop w:val="0"/>
      <w:marBottom w:val="0"/>
      <w:divBdr>
        <w:top w:val="none" w:sz="0" w:space="0" w:color="auto"/>
        <w:left w:val="none" w:sz="0" w:space="0" w:color="auto"/>
        <w:bottom w:val="none" w:sz="0" w:space="0" w:color="auto"/>
        <w:right w:val="none" w:sz="0" w:space="0" w:color="auto"/>
      </w:divBdr>
    </w:div>
    <w:div w:id="1582523033">
      <w:bodyDiv w:val="1"/>
      <w:marLeft w:val="0"/>
      <w:marRight w:val="0"/>
      <w:marTop w:val="0"/>
      <w:marBottom w:val="0"/>
      <w:divBdr>
        <w:top w:val="none" w:sz="0" w:space="0" w:color="auto"/>
        <w:left w:val="none" w:sz="0" w:space="0" w:color="auto"/>
        <w:bottom w:val="none" w:sz="0" w:space="0" w:color="auto"/>
        <w:right w:val="none" w:sz="0" w:space="0" w:color="auto"/>
      </w:divBdr>
    </w:div>
    <w:div w:id="1712071055">
      <w:bodyDiv w:val="1"/>
      <w:marLeft w:val="0"/>
      <w:marRight w:val="0"/>
      <w:marTop w:val="0"/>
      <w:marBottom w:val="0"/>
      <w:divBdr>
        <w:top w:val="none" w:sz="0" w:space="0" w:color="auto"/>
        <w:left w:val="none" w:sz="0" w:space="0" w:color="auto"/>
        <w:bottom w:val="none" w:sz="0" w:space="0" w:color="auto"/>
        <w:right w:val="none" w:sz="0" w:space="0" w:color="auto"/>
      </w:divBdr>
    </w:div>
    <w:div w:id="1911309612">
      <w:bodyDiv w:val="1"/>
      <w:marLeft w:val="0"/>
      <w:marRight w:val="0"/>
      <w:marTop w:val="0"/>
      <w:marBottom w:val="0"/>
      <w:divBdr>
        <w:top w:val="none" w:sz="0" w:space="0" w:color="auto"/>
        <w:left w:val="none" w:sz="0" w:space="0" w:color="auto"/>
        <w:bottom w:val="none" w:sz="0" w:space="0" w:color="auto"/>
        <w:right w:val="none" w:sz="0" w:space="0" w:color="auto"/>
      </w:divBdr>
    </w:div>
    <w:div w:id="1962299511">
      <w:bodyDiv w:val="1"/>
      <w:marLeft w:val="0"/>
      <w:marRight w:val="0"/>
      <w:marTop w:val="0"/>
      <w:marBottom w:val="0"/>
      <w:divBdr>
        <w:top w:val="none" w:sz="0" w:space="0" w:color="auto"/>
        <w:left w:val="none" w:sz="0" w:space="0" w:color="auto"/>
        <w:bottom w:val="none" w:sz="0" w:space="0" w:color="auto"/>
        <w:right w:val="none" w:sz="0" w:space="0" w:color="auto"/>
      </w:divBdr>
    </w:div>
    <w:div w:id="1993564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1" Type="http://schemas.openxmlformats.org/officeDocument/2006/relationships/hyperlink" Target="http://ttp/www.theguardian.com/world/2014/jan/14/france-sick-man-europe-economy" TargetMode="External"/><Relationship Id="rId42" Type="http://schemas.openxmlformats.org/officeDocument/2006/relationships/image" Target="media/image18.png"/><Relationship Id="rId63" Type="http://schemas.openxmlformats.org/officeDocument/2006/relationships/image" Target="media/image32.png"/><Relationship Id="rId84" Type="http://schemas.openxmlformats.org/officeDocument/2006/relationships/image" Target="media/image53.png"/><Relationship Id="rId138" Type="http://schemas.openxmlformats.org/officeDocument/2006/relationships/image" Target="media/image107.png"/><Relationship Id="rId159" Type="http://schemas.openxmlformats.org/officeDocument/2006/relationships/image" Target="media/image128.png"/><Relationship Id="rId170" Type="http://schemas.openxmlformats.org/officeDocument/2006/relationships/image" Target="media/image139.png"/><Relationship Id="rId191" Type="http://schemas.openxmlformats.org/officeDocument/2006/relationships/image" Target="media/image159.png"/><Relationship Id="rId205" Type="http://schemas.openxmlformats.org/officeDocument/2006/relationships/image" Target="media/image168.png"/><Relationship Id="rId226" Type="http://schemas.openxmlformats.org/officeDocument/2006/relationships/image" Target="http://ep00.epimg.net/tecnologia/imagenes/2012/05/03/actualidad/1336057010_123489_1336133752_sumario_grande.png" TargetMode="External"/><Relationship Id="rId107" Type="http://schemas.openxmlformats.org/officeDocument/2006/relationships/image" Target="media/image76.png"/><Relationship Id="rId11" Type="http://schemas.openxmlformats.org/officeDocument/2006/relationships/image" Target="media/image3.jpeg"/><Relationship Id="rId32" Type="http://schemas.openxmlformats.org/officeDocument/2006/relationships/hyperlink" Target="http://www.eleconomista.es/mercados-cotizaciones/noticias/6053649/09/14/El-BCE-rebaja-tipos-de-interes-hasta-el-minimo-historico-del-005.html" TargetMode="External"/><Relationship Id="rId53" Type="http://schemas.openxmlformats.org/officeDocument/2006/relationships/hyperlink" Target="http://s.libertaddigital.com/fotos/noticias/poden2.jpg" TargetMode="External"/><Relationship Id="rId74" Type="http://schemas.openxmlformats.org/officeDocument/2006/relationships/image" Target="media/image43.png"/><Relationship Id="rId128" Type="http://schemas.openxmlformats.org/officeDocument/2006/relationships/image" Target="media/image97.png"/><Relationship Id="rId149" Type="http://schemas.openxmlformats.org/officeDocument/2006/relationships/image" Target="media/image118.png"/><Relationship Id="rId5" Type="http://schemas.openxmlformats.org/officeDocument/2006/relationships/settings" Target="settings.xml"/><Relationship Id="rId95" Type="http://schemas.openxmlformats.org/officeDocument/2006/relationships/image" Target="media/image64.png"/><Relationship Id="rId160" Type="http://schemas.openxmlformats.org/officeDocument/2006/relationships/image" Target="media/image129.png"/><Relationship Id="rId181" Type="http://schemas.openxmlformats.org/officeDocument/2006/relationships/image" Target="media/image150.png"/><Relationship Id="rId216" Type="http://schemas.openxmlformats.org/officeDocument/2006/relationships/image" Target="media/image179.png"/><Relationship Id="rId22" Type="http://schemas.openxmlformats.org/officeDocument/2006/relationships/hyperlink" Target="http://blogs.elconfidencial.com/economia/lleno-de-energia/2014-01-18/francia-despierta-del-error-intervencionista_77632/" TargetMode="External"/><Relationship Id="rId43" Type="http://schemas.openxmlformats.org/officeDocument/2006/relationships/hyperlink" Target="http://trends.gmfus.org/files/2013/09/TT-2013-Key-findings-17-09-13-spanish.pdf" TargetMode="External"/><Relationship Id="rId64" Type="http://schemas.openxmlformats.org/officeDocument/2006/relationships/image" Target="media/image33.png"/><Relationship Id="rId118" Type="http://schemas.openxmlformats.org/officeDocument/2006/relationships/image" Target="media/image87.png"/><Relationship Id="rId139" Type="http://schemas.openxmlformats.org/officeDocument/2006/relationships/image" Target="media/image108.png"/><Relationship Id="rId85" Type="http://schemas.openxmlformats.org/officeDocument/2006/relationships/image" Target="media/image54.png"/><Relationship Id="rId150" Type="http://schemas.openxmlformats.org/officeDocument/2006/relationships/image" Target="media/image119.png"/><Relationship Id="rId171" Type="http://schemas.openxmlformats.org/officeDocument/2006/relationships/image" Target="media/image140.png"/><Relationship Id="rId192" Type="http://schemas.openxmlformats.org/officeDocument/2006/relationships/oleObject" Target="embeddings/oleObject2.bin"/><Relationship Id="rId206" Type="http://schemas.openxmlformats.org/officeDocument/2006/relationships/image" Target="media/image169.png"/><Relationship Id="rId227" Type="http://schemas.openxmlformats.org/officeDocument/2006/relationships/image" Target="media/image189.jpeg"/><Relationship Id="rId12" Type="http://schemas.openxmlformats.org/officeDocument/2006/relationships/hyperlink" Target="http://www.elconfidencial.com/mundo/2014-06-25/portugal-se-convierte-en-el-nuevo-paraiso-fiscal-para-jubilados-extranjeros_151747/" TargetMode="External"/><Relationship Id="rId33" Type="http://schemas.openxmlformats.org/officeDocument/2006/relationships/image" Target="media/image12.jpeg"/><Relationship Id="rId108" Type="http://schemas.openxmlformats.org/officeDocument/2006/relationships/image" Target="media/image77.png"/><Relationship Id="rId129" Type="http://schemas.openxmlformats.org/officeDocument/2006/relationships/image" Target="media/image98.png"/><Relationship Id="rId54" Type="http://schemas.openxmlformats.org/officeDocument/2006/relationships/image" Target="media/image23.jpeg"/><Relationship Id="rId75" Type="http://schemas.openxmlformats.org/officeDocument/2006/relationships/image" Target="media/image44.png"/><Relationship Id="rId96" Type="http://schemas.openxmlformats.org/officeDocument/2006/relationships/image" Target="media/image65.png"/><Relationship Id="rId140" Type="http://schemas.openxmlformats.org/officeDocument/2006/relationships/image" Target="media/image109.png"/><Relationship Id="rId161" Type="http://schemas.openxmlformats.org/officeDocument/2006/relationships/image" Target="media/image130.png"/><Relationship Id="rId182" Type="http://schemas.openxmlformats.org/officeDocument/2006/relationships/image" Target="media/image151.png"/><Relationship Id="rId217" Type="http://schemas.openxmlformats.org/officeDocument/2006/relationships/image" Target="media/image180.png"/><Relationship Id="rId6" Type="http://schemas.openxmlformats.org/officeDocument/2006/relationships/webSettings" Target="webSettings.xml"/><Relationship Id="rId23" Type="http://schemas.openxmlformats.org/officeDocument/2006/relationships/hyperlink" Target="http://www.eleconomista.es/economia/noticias/6113517/09/14/El-crecimiento-del-PIB-aleman-en-2014-seria-menor-al-previsto.html" TargetMode="External"/><Relationship Id="rId119" Type="http://schemas.openxmlformats.org/officeDocument/2006/relationships/image" Target="media/image88.png"/><Relationship Id="rId44" Type="http://schemas.openxmlformats.org/officeDocument/2006/relationships/hyperlink" Target="http://s.libertaddigital.com/fotos/noticias/poden5.jpg" TargetMode="External"/><Relationship Id="rId65" Type="http://schemas.openxmlformats.org/officeDocument/2006/relationships/image" Target="media/image34.png"/><Relationship Id="rId86" Type="http://schemas.openxmlformats.org/officeDocument/2006/relationships/image" Target="media/image55.png"/><Relationship Id="rId130" Type="http://schemas.openxmlformats.org/officeDocument/2006/relationships/image" Target="media/image99.png"/><Relationship Id="rId151" Type="http://schemas.openxmlformats.org/officeDocument/2006/relationships/image" Target="media/image120.png"/><Relationship Id="rId172" Type="http://schemas.openxmlformats.org/officeDocument/2006/relationships/image" Target="media/image141.png"/><Relationship Id="rId193" Type="http://schemas.openxmlformats.org/officeDocument/2006/relationships/image" Target="media/image160.png"/><Relationship Id="rId207" Type="http://schemas.openxmlformats.org/officeDocument/2006/relationships/image" Target="media/image170.png"/><Relationship Id="rId228" Type="http://schemas.openxmlformats.org/officeDocument/2006/relationships/image" Target="media/image190.jpeg"/><Relationship Id="rId13" Type="http://schemas.openxmlformats.org/officeDocument/2006/relationships/image" Target="media/image4.jpeg"/><Relationship Id="rId109" Type="http://schemas.openxmlformats.org/officeDocument/2006/relationships/image" Target="media/image78.png"/><Relationship Id="rId34" Type="http://schemas.openxmlformats.org/officeDocument/2006/relationships/image" Target="media/image13.jpeg"/><Relationship Id="rId55" Type="http://schemas.openxmlformats.org/officeDocument/2006/relationships/image" Target="media/image24.png"/><Relationship Id="rId76" Type="http://schemas.openxmlformats.org/officeDocument/2006/relationships/image" Target="media/image45.png"/><Relationship Id="rId97" Type="http://schemas.openxmlformats.org/officeDocument/2006/relationships/image" Target="media/image66.png"/><Relationship Id="rId120" Type="http://schemas.openxmlformats.org/officeDocument/2006/relationships/image" Target="media/image89.png"/><Relationship Id="rId141" Type="http://schemas.openxmlformats.org/officeDocument/2006/relationships/image" Target="media/image110.png"/><Relationship Id="rId7" Type="http://schemas.openxmlformats.org/officeDocument/2006/relationships/image" Target="media/image1.jpeg"/><Relationship Id="rId162" Type="http://schemas.openxmlformats.org/officeDocument/2006/relationships/image" Target="media/image131.png"/><Relationship Id="rId183" Type="http://schemas.openxmlformats.org/officeDocument/2006/relationships/image" Target="media/image152.png"/><Relationship Id="rId218" Type="http://schemas.openxmlformats.org/officeDocument/2006/relationships/image" Target="media/image181.png"/><Relationship Id="rId24" Type="http://schemas.openxmlformats.org/officeDocument/2006/relationships/image" Target="media/image8.jpeg"/><Relationship Id="rId45" Type="http://schemas.openxmlformats.org/officeDocument/2006/relationships/image" Target="media/image19.jpeg"/><Relationship Id="rId66" Type="http://schemas.openxmlformats.org/officeDocument/2006/relationships/image" Target="media/image35.png"/><Relationship Id="rId87" Type="http://schemas.openxmlformats.org/officeDocument/2006/relationships/image" Target="media/image56.png"/><Relationship Id="rId110" Type="http://schemas.openxmlformats.org/officeDocument/2006/relationships/image" Target="media/image79.png"/><Relationship Id="rId131" Type="http://schemas.openxmlformats.org/officeDocument/2006/relationships/image" Target="media/image100.png"/><Relationship Id="rId152" Type="http://schemas.openxmlformats.org/officeDocument/2006/relationships/image" Target="media/image121.png"/><Relationship Id="rId173" Type="http://schemas.openxmlformats.org/officeDocument/2006/relationships/image" Target="media/image142.png"/><Relationship Id="rId194" Type="http://schemas.openxmlformats.org/officeDocument/2006/relationships/oleObject" Target="embeddings/oleObject3.bin"/><Relationship Id="rId208" Type="http://schemas.openxmlformats.org/officeDocument/2006/relationships/image" Target="media/image171.png"/><Relationship Id="rId229" Type="http://schemas.openxmlformats.org/officeDocument/2006/relationships/image" Target="media/image191.jpeg"/><Relationship Id="rId14" Type="http://schemas.openxmlformats.org/officeDocument/2006/relationships/hyperlink" Target="http://elpais.com/elpais/2014/10/17/media/1413577081_550723.html" TargetMode="External"/><Relationship Id="rId35" Type="http://schemas.openxmlformats.org/officeDocument/2006/relationships/image" Target="media/image14.jpeg"/><Relationship Id="rId56" Type="http://schemas.openxmlformats.org/officeDocument/2006/relationships/image" Target="media/image25.png"/><Relationship Id="rId77" Type="http://schemas.openxmlformats.org/officeDocument/2006/relationships/image" Target="media/image46.png"/><Relationship Id="rId100" Type="http://schemas.openxmlformats.org/officeDocument/2006/relationships/image" Target="media/image69.png"/><Relationship Id="rId8" Type="http://schemas.openxmlformats.org/officeDocument/2006/relationships/image" Target="media/image2.jpeg"/><Relationship Id="rId98" Type="http://schemas.openxmlformats.org/officeDocument/2006/relationships/image" Target="media/image67.png"/><Relationship Id="rId121" Type="http://schemas.openxmlformats.org/officeDocument/2006/relationships/image" Target="media/image90.png"/><Relationship Id="rId142" Type="http://schemas.openxmlformats.org/officeDocument/2006/relationships/image" Target="media/image111.png"/><Relationship Id="rId163" Type="http://schemas.openxmlformats.org/officeDocument/2006/relationships/image" Target="media/image132.png"/><Relationship Id="rId184" Type="http://schemas.openxmlformats.org/officeDocument/2006/relationships/image" Target="media/image153.png"/><Relationship Id="rId219" Type="http://schemas.openxmlformats.org/officeDocument/2006/relationships/image" Target="media/image182.png"/><Relationship Id="rId230" Type="http://schemas.openxmlformats.org/officeDocument/2006/relationships/image" Target="media/image192.jpeg"/><Relationship Id="rId25" Type="http://schemas.openxmlformats.org/officeDocument/2006/relationships/image" Target="media/image9.jpeg"/><Relationship Id="rId46" Type="http://schemas.openxmlformats.org/officeDocument/2006/relationships/hyperlink" Target="http://www.libremercado.com/2013-04-07/gritar-mucho-y-mojarse-poco-una-foto-poco-agradable-del-espanol-medio-1276486814/" TargetMode="External"/><Relationship Id="rId67" Type="http://schemas.openxmlformats.org/officeDocument/2006/relationships/image" Target="media/image36.png"/><Relationship Id="rId20" Type="http://schemas.openxmlformats.org/officeDocument/2006/relationships/hyperlink" Target="http://blogs.elconfidencial.com/economia/lleno-de-energia/2014-04-26/el-estimulo-innecesario-y-peligroso-del-banco-central-europeo_121496/" TargetMode="External"/><Relationship Id="rId41" Type="http://schemas.openxmlformats.org/officeDocument/2006/relationships/hyperlink" Target="http://nadaesgratis.es/wp-content/uploads/Cuadro1.png" TargetMode="External"/><Relationship Id="rId62" Type="http://schemas.openxmlformats.org/officeDocument/2006/relationships/image" Target="media/image31.png"/><Relationship Id="rId83" Type="http://schemas.openxmlformats.org/officeDocument/2006/relationships/image" Target="media/image52.png"/><Relationship Id="rId88" Type="http://schemas.openxmlformats.org/officeDocument/2006/relationships/image" Target="media/image57.png"/><Relationship Id="rId111" Type="http://schemas.openxmlformats.org/officeDocument/2006/relationships/image" Target="media/image80.png"/><Relationship Id="rId132" Type="http://schemas.openxmlformats.org/officeDocument/2006/relationships/image" Target="media/image101.png"/><Relationship Id="rId153" Type="http://schemas.openxmlformats.org/officeDocument/2006/relationships/image" Target="media/image122.png"/><Relationship Id="rId174" Type="http://schemas.openxmlformats.org/officeDocument/2006/relationships/image" Target="media/image143.png"/><Relationship Id="rId179" Type="http://schemas.openxmlformats.org/officeDocument/2006/relationships/image" Target="media/image148.png"/><Relationship Id="rId195" Type="http://schemas.openxmlformats.org/officeDocument/2006/relationships/image" Target="media/image161.png"/><Relationship Id="rId209" Type="http://schemas.openxmlformats.org/officeDocument/2006/relationships/image" Target="media/image172.png"/><Relationship Id="rId190" Type="http://schemas.openxmlformats.org/officeDocument/2006/relationships/oleObject" Target="embeddings/oleObject1.bin"/><Relationship Id="rId204" Type="http://schemas.openxmlformats.org/officeDocument/2006/relationships/image" Target="media/image167.png"/><Relationship Id="rId220" Type="http://schemas.openxmlformats.org/officeDocument/2006/relationships/image" Target="media/image183.png"/><Relationship Id="rId225" Type="http://schemas.openxmlformats.org/officeDocument/2006/relationships/image" Target="media/image188.png"/><Relationship Id="rId15" Type="http://schemas.openxmlformats.org/officeDocument/2006/relationships/image" Target="media/image5.png"/><Relationship Id="rId36" Type="http://schemas.openxmlformats.org/officeDocument/2006/relationships/hyperlink" Target="http://www.eleconomista.es/mercados-cotizaciones/noticias/6065985/09/14/Los-selectivos-de-Estados-Unidos-cierran-con-caidas-unanimes.html" TargetMode="External"/><Relationship Id="rId57" Type="http://schemas.openxmlformats.org/officeDocument/2006/relationships/image" Target="media/image26.png"/><Relationship Id="rId106" Type="http://schemas.openxmlformats.org/officeDocument/2006/relationships/image" Target="media/image75.png"/><Relationship Id="rId127" Type="http://schemas.openxmlformats.org/officeDocument/2006/relationships/image" Target="media/image96.png"/><Relationship Id="rId10" Type="http://schemas.openxmlformats.org/officeDocument/2006/relationships/hyperlink" Target="http://www.euroxpress.es/img/2014/09/PIB.jpg" TargetMode="External"/><Relationship Id="rId31" Type="http://schemas.openxmlformats.org/officeDocument/2006/relationships/hyperlink" Target="http://www.eleconomista.es/economia/noticias/6106536/09/14/Alemania-arremete-contra-el-plan-de-compra-de-activos-del-BCE-por-conflicto-de-intereses.html" TargetMode="External"/><Relationship Id="rId52" Type="http://schemas.openxmlformats.org/officeDocument/2006/relationships/image" Target="media/image22.jpe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63.png"/><Relationship Id="rId99" Type="http://schemas.openxmlformats.org/officeDocument/2006/relationships/image" Target="media/image68.png"/><Relationship Id="rId101" Type="http://schemas.openxmlformats.org/officeDocument/2006/relationships/image" Target="media/image70.png"/><Relationship Id="rId122" Type="http://schemas.openxmlformats.org/officeDocument/2006/relationships/image" Target="media/image91.jpeg"/><Relationship Id="rId143" Type="http://schemas.openxmlformats.org/officeDocument/2006/relationships/image" Target="media/image112.png"/><Relationship Id="rId148" Type="http://schemas.openxmlformats.org/officeDocument/2006/relationships/image" Target="media/image117.png"/><Relationship Id="rId164" Type="http://schemas.openxmlformats.org/officeDocument/2006/relationships/image" Target="media/image133.png"/><Relationship Id="rId169" Type="http://schemas.openxmlformats.org/officeDocument/2006/relationships/image" Target="media/image138.png"/><Relationship Id="rId185" Type="http://schemas.openxmlformats.org/officeDocument/2006/relationships/image" Target="media/image154.png"/><Relationship Id="rId4" Type="http://schemas.microsoft.com/office/2007/relationships/stylesWithEffects" Target="stylesWithEffects.xml"/><Relationship Id="rId9" Type="http://schemas.openxmlformats.org/officeDocument/2006/relationships/hyperlink" Target="http://www.econ2.jhu.edu/People/Ball/long%20term%20damage.pdf" TargetMode="External"/><Relationship Id="rId180" Type="http://schemas.openxmlformats.org/officeDocument/2006/relationships/image" Target="media/image149.png"/><Relationship Id="rId210" Type="http://schemas.openxmlformats.org/officeDocument/2006/relationships/image" Target="media/image173.png"/><Relationship Id="rId215" Type="http://schemas.openxmlformats.org/officeDocument/2006/relationships/image" Target="media/image178.png"/><Relationship Id="rId236" Type="http://schemas.openxmlformats.org/officeDocument/2006/relationships/theme" Target="theme/theme1.xml"/><Relationship Id="rId26" Type="http://schemas.openxmlformats.org/officeDocument/2006/relationships/hyperlink" Target="http://www.ecestaticos.com/image/clipping/8701ea6f7839c932336d4040cd46a942/imagen-sin-titulo.jpg" TargetMode="External"/><Relationship Id="rId231" Type="http://schemas.openxmlformats.org/officeDocument/2006/relationships/hyperlink" Target="http://www.applesfera.com/apple/la-gpu-del-ipad-2-al-descubierto-arrasando-con-la-competencia" TargetMode="External"/><Relationship Id="rId47" Type="http://schemas.openxmlformats.org/officeDocument/2006/relationships/hyperlink" Target="http://s.libertaddigital.com/fotos/noticias/poden1.jpg" TargetMode="External"/><Relationship Id="rId68" Type="http://schemas.openxmlformats.org/officeDocument/2006/relationships/image" Target="media/image37.png"/><Relationship Id="rId89" Type="http://schemas.openxmlformats.org/officeDocument/2006/relationships/image" Target="media/image58.png"/><Relationship Id="rId112" Type="http://schemas.openxmlformats.org/officeDocument/2006/relationships/image" Target="media/image81.png"/><Relationship Id="rId133" Type="http://schemas.openxmlformats.org/officeDocument/2006/relationships/image" Target="media/image102.png"/><Relationship Id="rId154" Type="http://schemas.openxmlformats.org/officeDocument/2006/relationships/image" Target="media/image123.png"/><Relationship Id="rId175" Type="http://schemas.openxmlformats.org/officeDocument/2006/relationships/image" Target="media/image144.png"/><Relationship Id="rId196" Type="http://schemas.openxmlformats.org/officeDocument/2006/relationships/oleObject" Target="embeddings/oleObject4.bin"/><Relationship Id="rId200" Type="http://schemas.openxmlformats.org/officeDocument/2006/relationships/oleObject" Target="embeddings/oleObject6.bin"/><Relationship Id="rId16" Type="http://schemas.openxmlformats.org/officeDocument/2006/relationships/image" Target="media/image6.png"/><Relationship Id="rId221" Type="http://schemas.openxmlformats.org/officeDocument/2006/relationships/image" Target="media/image184.png"/><Relationship Id="rId37" Type="http://schemas.openxmlformats.org/officeDocument/2006/relationships/image" Target="media/image15.jpeg"/><Relationship Id="rId58" Type="http://schemas.openxmlformats.org/officeDocument/2006/relationships/image" Target="media/image27.png"/><Relationship Id="rId79" Type="http://schemas.openxmlformats.org/officeDocument/2006/relationships/image" Target="media/image48.png"/><Relationship Id="rId102" Type="http://schemas.openxmlformats.org/officeDocument/2006/relationships/image" Target="media/image71.png"/><Relationship Id="rId123" Type="http://schemas.openxmlformats.org/officeDocument/2006/relationships/image" Target="media/image92.png"/><Relationship Id="rId144" Type="http://schemas.openxmlformats.org/officeDocument/2006/relationships/image" Target="media/image113.png"/><Relationship Id="rId90" Type="http://schemas.openxmlformats.org/officeDocument/2006/relationships/image" Target="media/image59.png"/><Relationship Id="rId165" Type="http://schemas.openxmlformats.org/officeDocument/2006/relationships/image" Target="media/image134.png"/><Relationship Id="rId186" Type="http://schemas.openxmlformats.org/officeDocument/2006/relationships/image" Target="media/image155.png"/><Relationship Id="rId211" Type="http://schemas.openxmlformats.org/officeDocument/2006/relationships/image" Target="media/image174.png"/><Relationship Id="rId232" Type="http://schemas.openxmlformats.org/officeDocument/2006/relationships/hyperlink" Target="http://www.rae.es/" TargetMode="External"/><Relationship Id="rId27" Type="http://schemas.openxmlformats.org/officeDocument/2006/relationships/image" Target="media/image10.jpeg"/><Relationship Id="rId48" Type="http://schemas.openxmlformats.org/officeDocument/2006/relationships/image" Target="media/image20.jpeg"/><Relationship Id="rId69" Type="http://schemas.openxmlformats.org/officeDocument/2006/relationships/image" Target="media/image38.png"/><Relationship Id="rId113" Type="http://schemas.openxmlformats.org/officeDocument/2006/relationships/image" Target="media/image82.png"/><Relationship Id="rId134" Type="http://schemas.openxmlformats.org/officeDocument/2006/relationships/image" Target="media/image103.png"/><Relationship Id="rId80" Type="http://schemas.openxmlformats.org/officeDocument/2006/relationships/image" Target="media/image49.png"/><Relationship Id="rId155" Type="http://schemas.openxmlformats.org/officeDocument/2006/relationships/image" Target="media/image124.png"/><Relationship Id="rId176" Type="http://schemas.openxmlformats.org/officeDocument/2006/relationships/image" Target="media/image145.png"/><Relationship Id="rId197" Type="http://schemas.openxmlformats.org/officeDocument/2006/relationships/image" Target="media/image162.png"/><Relationship Id="rId201" Type="http://schemas.openxmlformats.org/officeDocument/2006/relationships/image" Target="media/image164.png"/><Relationship Id="rId222" Type="http://schemas.openxmlformats.org/officeDocument/2006/relationships/image" Target="media/image185.png"/><Relationship Id="rId17" Type="http://schemas.openxmlformats.org/officeDocument/2006/relationships/image" Target="media/image7.png"/><Relationship Id="rId38" Type="http://schemas.openxmlformats.org/officeDocument/2006/relationships/image" Target="media/image16.jpeg"/><Relationship Id="rId59" Type="http://schemas.openxmlformats.org/officeDocument/2006/relationships/image" Target="media/image28.png"/><Relationship Id="rId103" Type="http://schemas.openxmlformats.org/officeDocument/2006/relationships/image" Target="media/image72.png"/><Relationship Id="rId124" Type="http://schemas.openxmlformats.org/officeDocument/2006/relationships/image" Target="media/image93.png"/><Relationship Id="rId70" Type="http://schemas.openxmlformats.org/officeDocument/2006/relationships/image" Target="media/image39.png"/><Relationship Id="rId91" Type="http://schemas.openxmlformats.org/officeDocument/2006/relationships/image" Target="media/image60.png"/><Relationship Id="rId145" Type="http://schemas.openxmlformats.org/officeDocument/2006/relationships/image" Target="media/image114.png"/><Relationship Id="rId166" Type="http://schemas.openxmlformats.org/officeDocument/2006/relationships/image" Target="media/image135.png"/><Relationship Id="rId187" Type="http://schemas.openxmlformats.org/officeDocument/2006/relationships/image" Target="media/image156.png"/><Relationship Id="rId1" Type="http://schemas.openxmlformats.org/officeDocument/2006/relationships/customXml" Target="../customXml/item1.xml"/><Relationship Id="rId212" Type="http://schemas.openxmlformats.org/officeDocument/2006/relationships/image" Target="media/image175.png"/><Relationship Id="rId233" Type="http://schemas.openxmlformats.org/officeDocument/2006/relationships/hyperlink" Target="http://definicion.de/hombre" TargetMode="External"/><Relationship Id="rId28" Type="http://schemas.openxmlformats.org/officeDocument/2006/relationships/hyperlink" Target="http://www.eleconomista.es/seleccion-ee/noticias/5962533/07/14/Devaluacion-interna-cuanto-se-han-ajustado-los-costes-de-mano-de-obra-unitaria-en-la-Eurozona.html" TargetMode="External"/><Relationship Id="rId49" Type="http://schemas.openxmlformats.org/officeDocument/2006/relationships/hyperlink" Target="http://s.libertaddigital.com/fotos/noticias/poden4.jpg" TargetMode="External"/><Relationship Id="rId114" Type="http://schemas.openxmlformats.org/officeDocument/2006/relationships/image" Target="media/image83.png"/><Relationship Id="rId60" Type="http://schemas.openxmlformats.org/officeDocument/2006/relationships/image" Target="media/image29.png"/><Relationship Id="rId81" Type="http://schemas.openxmlformats.org/officeDocument/2006/relationships/image" Target="media/image50.png"/><Relationship Id="rId135" Type="http://schemas.openxmlformats.org/officeDocument/2006/relationships/image" Target="media/image104.png"/><Relationship Id="rId156" Type="http://schemas.openxmlformats.org/officeDocument/2006/relationships/image" Target="media/image125.png"/><Relationship Id="rId177" Type="http://schemas.openxmlformats.org/officeDocument/2006/relationships/image" Target="media/image146.png"/><Relationship Id="rId198" Type="http://schemas.openxmlformats.org/officeDocument/2006/relationships/oleObject" Target="embeddings/oleObject5.bin"/><Relationship Id="rId202" Type="http://schemas.openxmlformats.org/officeDocument/2006/relationships/image" Target="media/image165.png"/><Relationship Id="rId223" Type="http://schemas.openxmlformats.org/officeDocument/2006/relationships/image" Target="media/image186.png"/><Relationship Id="rId18" Type="http://schemas.openxmlformats.org/officeDocument/2006/relationships/hyperlink" Target="http://www.eleconomista.es/mercados-cotizaciones/noticias/5137930/09/13/La-semilla-de-la-proxima-crisis-el-sistema-bancario-en-la-sombra-una-bomba-de-60-billones-de-dolares.html" TargetMode="External"/><Relationship Id="rId39" Type="http://schemas.openxmlformats.org/officeDocument/2006/relationships/image" Target="media/image17.png"/><Relationship Id="rId50" Type="http://schemas.openxmlformats.org/officeDocument/2006/relationships/image" Target="media/image21.jpeg"/><Relationship Id="rId104" Type="http://schemas.openxmlformats.org/officeDocument/2006/relationships/image" Target="media/image73.png"/><Relationship Id="rId125" Type="http://schemas.openxmlformats.org/officeDocument/2006/relationships/image" Target="media/image94.png"/><Relationship Id="rId146" Type="http://schemas.openxmlformats.org/officeDocument/2006/relationships/image" Target="media/image115.png"/><Relationship Id="rId167" Type="http://schemas.openxmlformats.org/officeDocument/2006/relationships/image" Target="media/image136.png"/><Relationship Id="rId188" Type="http://schemas.openxmlformats.org/officeDocument/2006/relationships/image" Target="media/image157.png"/><Relationship Id="rId71" Type="http://schemas.openxmlformats.org/officeDocument/2006/relationships/image" Target="media/image40.png"/><Relationship Id="rId92" Type="http://schemas.openxmlformats.org/officeDocument/2006/relationships/image" Target="media/image61.png"/><Relationship Id="rId213" Type="http://schemas.openxmlformats.org/officeDocument/2006/relationships/image" Target="media/image176.png"/><Relationship Id="rId234" Type="http://schemas.openxmlformats.org/officeDocument/2006/relationships/image" Target="media/image193.jpeg"/><Relationship Id="rId2" Type="http://schemas.openxmlformats.org/officeDocument/2006/relationships/numbering" Target="numbering.xml"/><Relationship Id="rId29" Type="http://schemas.openxmlformats.org/officeDocument/2006/relationships/image" Target="media/image11.jpeg"/><Relationship Id="rId40" Type="http://schemas.openxmlformats.org/officeDocument/2006/relationships/hyperlink" Target="http://www.bls.gov/news.release/empsit.t15.htm" TargetMode="External"/><Relationship Id="rId115" Type="http://schemas.openxmlformats.org/officeDocument/2006/relationships/image" Target="media/image84.png"/><Relationship Id="rId136" Type="http://schemas.openxmlformats.org/officeDocument/2006/relationships/image" Target="media/image105.png"/><Relationship Id="rId157" Type="http://schemas.openxmlformats.org/officeDocument/2006/relationships/image" Target="media/image126.png"/><Relationship Id="rId178" Type="http://schemas.openxmlformats.org/officeDocument/2006/relationships/image" Target="media/image147.png"/><Relationship Id="rId61" Type="http://schemas.openxmlformats.org/officeDocument/2006/relationships/image" Target="media/image30.png"/><Relationship Id="rId82" Type="http://schemas.openxmlformats.org/officeDocument/2006/relationships/image" Target="media/image51.png"/><Relationship Id="rId199" Type="http://schemas.openxmlformats.org/officeDocument/2006/relationships/image" Target="media/image163.png"/><Relationship Id="rId203" Type="http://schemas.openxmlformats.org/officeDocument/2006/relationships/image" Target="media/image166.png"/><Relationship Id="rId19" Type="http://schemas.openxmlformats.org/officeDocument/2006/relationships/hyperlink" Target="http://blogs.elconfidencial.com/economia/lleno-de-energia/2014-06-07/el-plan-draghi-no-arregla-europa_142722" TargetMode="External"/><Relationship Id="rId224" Type="http://schemas.openxmlformats.org/officeDocument/2006/relationships/image" Target="media/image187.png"/><Relationship Id="rId30" Type="http://schemas.openxmlformats.org/officeDocument/2006/relationships/hyperlink" Target="http://www.eleconomista.es/economia/noticias/6124920/10/14/El-BCE-mantiene-los-tipos-de-interes-en-el-minimo-historico-del-005.html" TargetMode="External"/><Relationship Id="rId105" Type="http://schemas.openxmlformats.org/officeDocument/2006/relationships/image" Target="media/image74.png"/><Relationship Id="rId126" Type="http://schemas.openxmlformats.org/officeDocument/2006/relationships/image" Target="media/image95.png"/><Relationship Id="rId147" Type="http://schemas.openxmlformats.org/officeDocument/2006/relationships/image" Target="media/image116.png"/><Relationship Id="rId168" Type="http://schemas.openxmlformats.org/officeDocument/2006/relationships/image" Target="media/image137.png"/><Relationship Id="rId51" Type="http://schemas.openxmlformats.org/officeDocument/2006/relationships/hyperlink" Target="http://s.libertaddigital.com/fotos/noticias/poden3.jpg" TargetMode="External"/><Relationship Id="rId72" Type="http://schemas.openxmlformats.org/officeDocument/2006/relationships/image" Target="media/image41.png"/><Relationship Id="rId93" Type="http://schemas.openxmlformats.org/officeDocument/2006/relationships/image" Target="media/image62.png"/><Relationship Id="rId189" Type="http://schemas.openxmlformats.org/officeDocument/2006/relationships/image" Target="media/image158.png"/><Relationship Id="rId3" Type="http://schemas.openxmlformats.org/officeDocument/2006/relationships/styles" Target="styles.xml"/><Relationship Id="rId214" Type="http://schemas.openxmlformats.org/officeDocument/2006/relationships/image" Target="media/image177.png"/><Relationship Id="rId235" Type="http://schemas.openxmlformats.org/officeDocument/2006/relationships/fontTable" Target="fontTable.xml"/><Relationship Id="rId116" Type="http://schemas.openxmlformats.org/officeDocument/2006/relationships/image" Target="media/image85.png"/><Relationship Id="rId137" Type="http://schemas.openxmlformats.org/officeDocument/2006/relationships/image" Target="media/image106.png"/><Relationship Id="rId158" Type="http://schemas.openxmlformats.org/officeDocument/2006/relationships/image" Target="media/image12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C4FC2B-55DE-4DD1-A413-2EEEB407B6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259</Pages>
  <Words>61723</Words>
  <Characters>339477</Characters>
  <Application>Microsoft Office Word</Application>
  <DocSecurity>0</DocSecurity>
  <Lines>2828</Lines>
  <Paragraphs>800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400400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2014-11-10T12:02:00Z</dcterms:created>
  <dcterms:modified xsi:type="dcterms:W3CDTF">2014-11-10T12:02:00Z</dcterms:modified>
</cp:coreProperties>
</file>