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9FD" w:rsidRPr="000369FD" w:rsidRDefault="000369FD" w:rsidP="000369FD">
      <w:pPr>
        <w:pStyle w:val="NormalWeb"/>
        <w:jc w:val="both"/>
        <w:rPr>
          <w:b/>
        </w:rPr>
      </w:pPr>
      <w:r w:rsidRPr="002B199A">
        <w:rPr>
          <w:b/>
        </w:rPr>
        <w:t>Paper</w:t>
      </w:r>
      <w:r>
        <w:rPr>
          <w:b/>
        </w:rPr>
        <w:t xml:space="preserve"> - Análisis crítico del </w:t>
      </w:r>
      <w:r w:rsidRPr="000369FD">
        <w:rPr>
          <w:rStyle w:val="Textoennegrita"/>
          <w:rFonts w:eastAsiaTheme="majorEastAsia"/>
          <w:b/>
        </w:rPr>
        <w:t xml:space="preserve">Tratado Transatlántico de Comercio e Inversiones entre la Unión Europea y Estados Unidos (TTIP) </w:t>
      </w:r>
      <w:r w:rsidR="004265B7">
        <w:rPr>
          <w:rStyle w:val="Textoennegrita"/>
          <w:rFonts w:eastAsiaTheme="majorEastAsia"/>
          <w:b/>
        </w:rPr>
        <w:t>- (Parte I)</w:t>
      </w:r>
    </w:p>
    <w:p w:rsidR="000369FD" w:rsidRPr="000369FD" w:rsidRDefault="000369FD" w:rsidP="000369FD">
      <w:pPr>
        <w:spacing w:line="240" w:lineRule="auto"/>
        <w:jc w:val="both"/>
        <w:rPr>
          <w:rFonts w:ascii="Times New Roman" w:hAnsi="Times New Roman" w:cs="Times New Roman"/>
          <w:b/>
          <w:sz w:val="24"/>
          <w:szCs w:val="24"/>
        </w:rPr>
      </w:pPr>
      <w:r w:rsidRPr="000369FD">
        <w:rPr>
          <w:rFonts w:ascii="Times New Roman" w:hAnsi="Times New Roman" w:cs="Times New Roman"/>
          <w:b/>
          <w:sz w:val="24"/>
          <w:szCs w:val="24"/>
        </w:rPr>
        <w:t xml:space="preserve"> </w:t>
      </w:r>
    </w:p>
    <w:p w:rsidR="000369FD" w:rsidRDefault="000369FD" w:rsidP="000369FD">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D4A4E00" wp14:editId="069F3982">
            <wp:extent cx="5391150" cy="23241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391150" cy="2324100"/>
                    </a:xfrm>
                    <a:prstGeom prst="rect">
                      <a:avLst/>
                    </a:prstGeom>
                    <a:noFill/>
                    <a:ln>
                      <a:noFill/>
                    </a:ln>
                  </pic:spPr>
                </pic:pic>
              </a:graphicData>
            </a:graphic>
          </wp:inline>
        </w:drawing>
      </w:r>
    </w:p>
    <w:p w:rsidR="000369FD" w:rsidRDefault="000369FD" w:rsidP="000369FD">
      <w:pPr>
        <w:spacing w:line="240" w:lineRule="auto"/>
        <w:jc w:val="both"/>
        <w:rPr>
          <w:rFonts w:ascii="Times New Roman" w:hAnsi="Times New Roman" w:cs="Times New Roman"/>
          <w:sz w:val="24"/>
          <w:szCs w:val="24"/>
        </w:rPr>
      </w:pPr>
    </w:p>
    <w:p w:rsidR="000369FD" w:rsidRPr="00A3764F" w:rsidRDefault="000369FD" w:rsidP="000369FD">
      <w:pPr>
        <w:spacing w:line="240" w:lineRule="auto"/>
        <w:jc w:val="both"/>
        <w:rPr>
          <w:rFonts w:ascii="Times New Roman" w:hAnsi="Times New Roman" w:cs="Times New Roman"/>
          <w:b/>
          <w:sz w:val="24"/>
          <w:szCs w:val="24"/>
        </w:rPr>
      </w:pPr>
      <w:r w:rsidRPr="00A3764F">
        <w:rPr>
          <w:rFonts w:ascii="Times New Roman" w:hAnsi="Times New Roman" w:cs="Times New Roman"/>
          <w:b/>
          <w:sz w:val="24"/>
          <w:szCs w:val="24"/>
        </w:rPr>
        <w:t>- ¿La verdad de la mentira o la mentira de la verdad?</w:t>
      </w:r>
      <w:r>
        <w:rPr>
          <w:rFonts w:ascii="Times New Roman" w:hAnsi="Times New Roman" w:cs="Times New Roman"/>
          <w:b/>
          <w:sz w:val="24"/>
          <w:szCs w:val="24"/>
        </w:rPr>
        <w:t xml:space="preserve"> That is the question</w:t>
      </w:r>
    </w:p>
    <w:p w:rsidR="000369FD" w:rsidRPr="00B61C38"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61C38">
        <w:rPr>
          <w:rFonts w:ascii="Times New Roman" w:hAnsi="Times New Roman" w:cs="Times New Roman"/>
          <w:sz w:val="24"/>
          <w:szCs w:val="24"/>
          <w:u w:val="single"/>
        </w:rPr>
        <w:t>Directrices de negociación relativas a la Asociación Transatlántica sobre Comercio e Inversión, entre la Unión Europea y los Estados Unidos de América</w:t>
      </w:r>
      <w:r>
        <w:rPr>
          <w:rFonts w:ascii="Times New Roman" w:hAnsi="Times New Roman" w:cs="Times New Roman"/>
          <w:sz w:val="24"/>
          <w:szCs w:val="24"/>
        </w:rPr>
        <w:t xml:space="preserve"> (</w:t>
      </w:r>
      <w:r w:rsidRPr="00B61C38">
        <w:rPr>
          <w:rFonts w:ascii="Times New Roman" w:hAnsi="Times New Roman" w:cs="Times New Roman"/>
          <w:sz w:val="24"/>
          <w:szCs w:val="24"/>
        </w:rPr>
        <w:t>Consejo de la Unión Europea</w:t>
      </w:r>
      <w:r>
        <w:rPr>
          <w:rFonts w:ascii="Times New Roman" w:hAnsi="Times New Roman" w:cs="Times New Roman"/>
          <w:sz w:val="24"/>
          <w:szCs w:val="24"/>
        </w:rPr>
        <w:t xml:space="preserve"> - </w:t>
      </w:r>
      <w:r w:rsidRPr="00B61C38">
        <w:rPr>
          <w:rFonts w:ascii="Times New Roman" w:hAnsi="Times New Roman" w:cs="Times New Roman"/>
          <w:b/>
          <w:sz w:val="24"/>
          <w:szCs w:val="24"/>
        </w:rPr>
        <w:t>17/6/13</w:t>
      </w:r>
      <w:r>
        <w:rPr>
          <w:rFonts w:ascii="Times New Roman" w:hAnsi="Times New Roman" w:cs="Times New Roman"/>
          <w:sz w:val="24"/>
          <w:szCs w:val="24"/>
        </w:rPr>
        <w:t>)</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Adjuntas se remiten a las Delegaciones las directrices de negociación relativas a la Asociación Transatlántica sobre Comercio e Inversión, entre la Unión Europea y los Estados Unidos de América adoptadas en el Consejo de Asuntos Exteriores (Comercio) el 14 de junio de 2013.</w:t>
      </w:r>
    </w:p>
    <w:p w:rsidR="000369FD" w:rsidRPr="00A3764F" w:rsidRDefault="000369FD" w:rsidP="000369FD">
      <w:pPr>
        <w:spacing w:line="240" w:lineRule="auto"/>
        <w:jc w:val="both"/>
        <w:rPr>
          <w:rFonts w:ascii="Times New Roman" w:hAnsi="Times New Roman" w:cs="Times New Roman"/>
          <w:color w:val="FF0000"/>
          <w:sz w:val="24"/>
          <w:szCs w:val="24"/>
        </w:rPr>
      </w:pPr>
      <w:r w:rsidRPr="00A3764F">
        <w:rPr>
          <w:rFonts w:ascii="Times New Roman" w:hAnsi="Times New Roman" w:cs="Times New Roman"/>
          <w:color w:val="FF0000"/>
          <w:sz w:val="24"/>
          <w:szCs w:val="24"/>
        </w:rPr>
        <w:t xml:space="preserve">(N.B.: El presente documento contiene información clasificada RESTREINT UE/EU RESTRICTED cuya divulgación no autorizada puede ser perjudicial para los intereses de la Unión o de uno o más de sus Estados miembros. Por ello se ruega a todos los destinatarios que traten este documento con el especial cuidado requerido por las normas de seguridad aplicables a los documentos)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Naturaleza y alcance del Acuerdo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 El Acuerdo contendrá exclusivamente disposiciones sobre comercio y ámbitos relacionados con el comercio</w:t>
      </w:r>
      <w:r>
        <w:rPr>
          <w:rFonts w:ascii="Times New Roman" w:hAnsi="Times New Roman" w:cs="Times New Roman"/>
          <w:sz w:val="24"/>
          <w:szCs w:val="24"/>
        </w:rPr>
        <w:t>,</w:t>
      </w:r>
      <w:r w:rsidRPr="00B61C38">
        <w:rPr>
          <w:rFonts w:ascii="Times New Roman" w:hAnsi="Times New Roman" w:cs="Times New Roman"/>
          <w:sz w:val="24"/>
          <w:szCs w:val="24"/>
        </w:rPr>
        <w:t xml:space="preserve"> aplicables entre las Partes. El Acuerdo deberá confirmar que la asociación transatlántica sobre comercio e inversión se basa en valores comunes, incluida la protección y la promoción de los derechos humanos y la seguridad internacional.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 El Acuerdo será ambicioso, global, equilibrado y totalmente coherente con las normas y obligaciones de la Organización Mundial de Comercio (OMC).</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 El Acuerdo deberá prever una liberalización recíproca del comercio de productos y servicios, así como normas sobre temas relacionados con el comercio, con un elevado nivel de ambición que vaya más allá de los compromisos existentes en el ámbito de la OMC.</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lastRenderedPageBreak/>
        <w:t>4. Las obligaciones del Acuerdo serán vinculantes en todos los niveles de la administración.</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5. El Acuerdo estará formado por tres componentes clave: a) acceso al mercado, b) cuestiones reglamentarias y barreras no arancelarias (BNA) y c) normas. Estos tres componentes se negociarán de forma paralela y formarán parte de un acto único que garantice un resultado equilibrado entre la eliminación de derechos, la eliminación de obstáculos reglamentarios al comercio innecesarios y la mejora de las normas que den lugar a resultados importantes en cada uno de estos componentes y una apertura efectiva y recíproca de los respectivos mercados.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Preámbulo y principios generales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6. El preámbulo recordará que la asociación con los Estados Unidos se basa en principios y valores comunes que son coherentes con los principios y los objetivos de la actuación exterior de la Unión. Hará referencia, entre otras cosas, a lo siguiente:</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Valores compartidos en ámbitos tales como los derechos humanos, las libertades fundamentales, la democracia y el Estado de Derecho.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El compromiso de las Partes con el desarrollo sostenible y la contribución del comercio internacional al desarrollo sostenible en sus dimensiones económica, social y medioambiental, incluido el desarrollo económico, un empleo pleno y productivo y un trabajo digno para todos, así como la protección y la preservación del medio ambiente y los recursos naturales.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El compromiso de las Partes con un Acuerdo que se ajuste plenamente a sus derechos y obligaciones en el marco de la OMC y que apoye el sistema de comercio multilateral.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El derecho de las Partes a tomar las medidas necesarias para conseguir objetivos legítimos de política pública sobre la base del nivel de protección de la salud, la seguridad, el trabajo, los consumidores y el medio ambiente y la promoción de la diversidad cultural, tal y como se establece en la Convención de la UNESCO sobre la protección y promoción de las expresiones culturales, que consideren apropiado.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El objetivo compartido por las Partes de tener en cuenta los desafíos específicos a que se enfrentan las pequeñas y medianas empresas para contribuir al desarrollo del comercio y la inversión.</w:t>
      </w:r>
    </w:p>
    <w:p w:rsidR="000369FD"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 El compromiso de las Partes de comunicarse con todas las partes interesadas, incluido el sector privado y las organizaciones de la sociedad civil.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Objetivos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7. El objetivo del Acuerdo es aumentar el comercio y la</w:t>
      </w:r>
      <w:r>
        <w:rPr>
          <w:rFonts w:ascii="Times New Roman" w:hAnsi="Times New Roman" w:cs="Times New Roman"/>
          <w:sz w:val="24"/>
          <w:szCs w:val="24"/>
        </w:rPr>
        <w:t xml:space="preserve"> inversión entre la UE y los EEUU</w:t>
      </w:r>
      <w:r w:rsidRPr="00B61C38">
        <w:rPr>
          <w:rFonts w:ascii="Times New Roman" w:hAnsi="Times New Roman" w:cs="Times New Roman"/>
          <w:sz w:val="24"/>
          <w:szCs w:val="24"/>
        </w:rPr>
        <w:t xml:space="preserve"> haciendo realidad el potencial sin explotar de un auténtico mercado transatlántico que genere nuevas oportunidades económicas de creación de empleo y crecimiento mediante un mejor acceso al mercado y una mayor compatibilidad reglamentaria y marcando una pauta en materia de normas mundiales.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8. El Acuerdo debe reconocer que el desarrollo sostenible es un objetivo general de las Partes y que estas tendrán como objetivo garantizar y facilitar el respeto de los acuerdos y normas internacionales, medioambientales y laborales, a la vez que se fomentan unos elevados niveles de protección medioambiental, laboral y de los consumidores </w:t>
      </w:r>
      <w:r w:rsidRPr="00B61C38">
        <w:rPr>
          <w:rFonts w:ascii="Times New Roman" w:hAnsi="Times New Roman" w:cs="Times New Roman"/>
          <w:sz w:val="24"/>
          <w:szCs w:val="24"/>
        </w:rPr>
        <w:lastRenderedPageBreak/>
        <w:t>compatible con el acervo de la UE y la legislación estadounidense. El Acuerdo debe reconocer que las Partes no alentarán el comercio o la inversión extranjera directa mediante una suavización de la legislación y las normas internas en materia de medio ambiente, trabajo o salud y seguridad en el trabajo, ni de las normas laborales básicas ni las políticas y la legislación destinadas a proteger y promover la diversidad cultural.</w:t>
      </w:r>
    </w:p>
    <w:p w:rsidR="000369FD"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9. El Acuerdo no contendrá disposiciones que puedan perjudicar a la diversidad cultural y lingüística de la Unión o de sus Estado miembros, por ejemplo en el sector cultural, ni limitar que la Unión y sus Estados miembros mantengan políticas y medidas existentes en apoyo del sector cultural en vista de su situación especial en el marco del Derecho de la UE y de sus Estados miembros. El acuerdo no afectará a la capacidad de la Unión y sus Estados miembros de aplicar políticas y medidas que tengan en cuenta la evolución de este sector, en particular en el entorno digital. </w:t>
      </w:r>
    </w:p>
    <w:p w:rsidR="000369FD" w:rsidRPr="00A3764F" w:rsidRDefault="000369FD" w:rsidP="000369FD">
      <w:pPr>
        <w:spacing w:line="240" w:lineRule="auto"/>
        <w:jc w:val="both"/>
        <w:rPr>
          <w:rFonts w:ascii="Times New Roman" w:hAnsi="Times New Roman" w:cs="Times New Roman"/>
          <w:sz w:val="24"/>
          <w:szCs w:val="24"/>
          <w:u w:val="single"/>
        </w:rPr>
      </w:pPr>
      <w:r w:rsidRPr="00A3764F">
        <w:rPr>
          <w:rFonts w:ascii="Times New Roman" w:hAnsi="Times New Roman" w:cs="Times New Roman"/>
          <w:sz w:val="24"/>
          <w:szCs w:val="24"/>
          <w:u w:val="single"/>
        </w:rPr>
        <w:t>Acceso al mercado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Comercio de productos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10. Derechos y otros requisitos en relación con las importaciones y las exportaciones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objetivo consistirá en eliminar todos los derechos en el comercio bilateral, con el objetivo compartido de conseguir una eliminación sustancial de aranceles en el momento de entrada en vigor y la eliminación progresiva de todos los aranceles, excepto los más sensibles, en un corto periodo de tiempo. Durante las negociaciones, ambas Partes estudiarán opciones para el tratamiento de los productos más sensibles, incluidos los contingentes arancelarios. En virtud del Acuerdo, se suprimirán todos los derechos de aduana, impuestos, tasas o gravámenes y las restricciones cuantitativas o requisitos de autorización aplicados a las exportaciones de la otra Parte que no estén justificados por excepciones en el marco del Acuerdo. Las negociaciones deberán abordar las preocupaciones en relación con los obstáculos subsistentes en cuanto al comercio de bienes de doble uso que afectan a la integridad del mercado único.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11. Normas de origen</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Las negociaciones tendrán como objetivo reconciliar</w:t>
      </w:r>
      <w:r>
        <w:rPr>
          <w:rFonts w:ascii="Times New Roman" w:hAnsi="Times New Roman" w:cs="Times New Roman"/>
          <w:sz w:val="24"/>
          <w:szCs w:val="24"/>
        </w:rPr>
        <w:t xml:space="preserve"> los enfoques de la UE y los EEUU</w:t>
      </w:r>
      <w:r w:rsidRPr="00B61C38">
        <w:rPr>
          <w:rFonts w:ascii="Times New Roman" w:hAnsi="Times New Roman" w:cs="Times New Roman"/>
          <w:sz w:val="24"/>
          <w:szCs w:val="24"/>
        </w:rPr>
        <w:t xml:space="preserve"> en relación con las normas de origen, de manera que se facilite el comercio entre las Partes y se tengan en cuenta las normas de origen de la UE y los intereses de sus productores. También deben tratar de garantizar que se aborden adecuadamente los errores administr</w:t>
      </w:r>
      <w:r>
        <w:rPr>
          <w:rFonts w:ascii="Times New Roman" w:hAnsi="Times New Roman" w:cs="Times New Roman"/>
          <w:sz w:val="24"/>
          <w:szCs w:val="24"/>
        </w:rPr>
        <w:t>ativos. Tras la presentación de</w:t>
      </w:r>
      <w:r w:rsidRPr="00B61C38">
        <w:rPr>
          <w:rFonts w:ascii="Times New Roman" w:hAnsi="Times New Roman" w:cs="Times New Roman"/>
          <w:sz w:val="24"/>
          <w:szCs w:val="24"/>
        </w:rPr>
        <w:t xml:space="preserve"> un análisis por parte de la Comisión de las posibles consecuencias económicas y antes de consultar al Comité de Política Comercial, se examinará el margen de acumulación existente con países vecinos que hayan celebrado Acuerdos de Libre Comercio (ALC) </w:t>
      </w:r>
      <w:r>
        <w:rPr>
          <w:rFonts w:ascii="Times New Roman" w:hAnsi="Times New Roman" w:cs="Times New Roman"/>
          <w:sz w:val="24"/>
          <w:szCs w:val="24"/>
        </w:rPr>
        <w:t>tanto con la UE como con los EE</w:t>
      </w:r>
      <w:r w:rsidRPr="00B61C38">
        <w:rPr>
          <w:rFonts w:ascii="Times New Roman" w:hAnsi="Times New Roman" w:cs="Times New Roman"/>
          <w:sz w:val="24"/>
          <w:szCs w:val="24"/>
        </w:rPr>
        <w:t>UU.</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12. Excepciones generales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El Acuerdo incluirá una cláusula de excepción general basada en los artículos XX y XXI del GATT.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13 Antidumping y medidas compensatorias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El Acuerdo debe incluir una cláusula sobre antidumping y medidas compensatorias que reconozca que cualquiera de las Partes puede tomar las medidas oportunas contra el dumping o que compensen los subsidios con arreglo al Acuerdo de la OMC sobre la </w:t>
      </w:r>
      <w:r w:rsidRPr="00B61C38">
        <w:rPr>
          <w:rFonts w:ascii="Times New Roman" w:hAnsi="Times New Roman" w:cs="Times New Roman"/>
          <w:sz w:val="24"/>
          <w:szCs w:val="24"/>
        </w:rPr>
        <w:lastRenderedPageBreak/>
        <w:t>aplicación del artículo VI del Acuerdo General sobre Aranceles y Comercio de 1994 o el Acuerdo de la OMC sobre subsidios y medidas compensatorias. El Acuerdo debe establecer un diálogo periódico sobre asuntos comerciales de defensa.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14. Salvaguardias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A fin de maximizar los compromisos de liberalización, el Acuerdo deben contener una cláusula de salvaguardia bilateral por la cual cada Parte pueda eliminar preferencias, en parte o en su totalidad, en los casos en que un incremento de las importaciones de un producto de la otra Parte provoque graves daños a su industria, o amenace con provocarlos.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Comercio de servicios y establecimiento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15. El objetivo de las negociaciones sobre el comercio de servicios consistirá en vincular el nivel autónomo de liberalización existente de ambas Partes con el nivel de liberalización más elevado obtenido en los ALC vigentes, en línea con el artículo V del AGCS (Acuerdo General sobre el Comercio de Servicios) que contemple sustancialmente todos los sectores y todos los modelos de prestación, tratando de conseguir al mismo tiempo un nuevo acceso al mercado abordando las barreras al acceso al mercado que siguen existiendo desde hace tiempo y reconociendo la naturaleza sensible de determinados s</w:t>
      </w:r>
      <w:r>
        <w:rPr>
          <w:rFonts w:ascii="Times New Roman" w:hAnsi="Times New Roman" w:cs="Times New Roman"/>
          <w:sz w:val="24"/>
          <w:szCs w:val="24"/>
        </w:rPr>
        <w:t>ectores. Además, la UE y los EEUU</w:t>
      </w:r>
      <w:r w:rsidRPr="00B61C38">
        <w:rPr>
          <w:rFonts w:ascii="Times New Roman" w:hAnsi="Times New Roman" w:cs="Times New Roman"/>
          <w:sz w:val="24"/>
          <w:szCs w:val="24"/>
        </w:rPr>
        <w:t xml:space="preserve"> incluirán compromisos vinculantes para proporcionar transparencia, imparcialidad y garantías procesales en relación con los requisitos y procedimientos de concesión de licencias y de cualificación, así como para incrementar las disciplinas reglamentarias incluidas e</w:t>
      </w:r>
      <w:r>
        <w:rPr>
          <w:rFonts w:ascii="Times New Roman" w:hAnsi="Times New Roman" w:cs="Times New Roman"/>
          <w:sz w:val="24"/>
          <w:szCs w:val="24"/>
        </w:rPr>
        <w:t>n los ALC vigentes entre los EEUU</w:t>
      </w:r>
      <w:r w:rsidRPr="00B61C38">
        <w:rPr>
          <w:rFonts w:ascii="Times New Roman" w:hAnsi="Times New Roman" w:cs="Times New Roman"/>
          <w:sz w:val="24"/>
          <w:szCs w:val="24"/>
        </w:rPr>
        <w:t xml:space="preserve"> y la UE.</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16. Las partes deben acordar, en relación con el establecimiento en su territorio de sociedades, filiales o sucursales de la otra Parte, la concesión de un trato no menos favorable que el que concede a sus propias sociedades, filiales o sucursales, teniendo debidamente en cuenta el carácter sensible de algunos sectores específicos.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17. El Acuerdo deberá desarrollar un marco que facilite el reconocimiento mutuo de las cualificaciones profesionales.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18. El Acuerdo no será obstáculo para la aplicación de excepciones sobre la prestación de servicios justificables en el marco de las normas pertinentes de la OMC (artículos XIV y XIV bis del AGCS). La Comisión deberá también garantizar que en el Acuerdo nada impida a las Partes aplicar sus disposiciones legales y reglamentarias y administrativas nacionales en relación con la entrada y la estancia, siempre que al hacerlo no se anulen ni se erosionen los beneficios que se derivan del Acuerdo. Seguirán siendo de aplicación las disposiciones legales, reglamentarias y administrativas relativas al trabajo y las condiciones laborales.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19. La elevada calidad de los servicios públicos de la UE debe conservarse con arreglo al TFUE y en particular el Protocolo nº 26 sobre Servicios de Interés General, y teniendo en cuenta el compromiso de la UE en esta materia, incluido el AGCS.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20. Los servicios prestados en el ejercicio de la autoridad pública como se define en el artículo I.3 del AGCS quedarán excluidos de las presentes negociaciones.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21. Este capítulo no abarcará los servicios audiovisuales.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lastRenderedPageBreak/>
        <w:t>Protección de la inversión</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22. El objetivo de las negociaciones sobre inversión consistirá en negociar disposiciones sobre liberalización y protección de las inversiones, incluidas las áreas de competencia mixta, como la inversión de cartera y los aspectos de propiedad y expropiación, sobre la base de los niveles más elevados de liberalización y las normas más estrictas de protección que ambas Partes hayan negociado hasta la fecha. Previa consulta de los Estados miembros y con arreglo a los Tratados de la UE, la inclusión de la protección de las inversiones y de la solución de diferencias entre inversores y Estados dependerá de que se encuentre una solución satisfactoria para los intereses de la UE en relación con los aspectos tratados en el punto 23. Este asunto también se estudiará en función del equilibrio final del acuerdo.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23. En lo que respecta a la protección de las inversiones, el objetivo de las disposiciones respectivas del Acuerdo debe consistir en lo siguiente:</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ofrecer el nivel más elevado posible de protección y seguridad jurídica para los inversores europeos e</w:t>
      </w:r>
      <w:r>
        <w:rPr>
          <w:rFonts w:ascii="Times New Roman" w:hAnsi="Times New Roman" w:cs="Times New Roman"/>
          <w:sz w:val="24"/>
          <w:szCs w:val="24"/>
        </w:rPr>
        <w:t>n los EEUU</w:t>
      </w:r>
      <w:r w:rsidRPr="00B61C38">
        <w:rPr>
          <w:rFonts w:ascii="Times New Roman" w:hAnsi="Times New Roman" w:cs="Times New Roman"/>
          <w:sz w:val="24"/>
          <w:szCs w:val="24"/>
        </w:rPr>
        <w:t>,</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establecer la promoción de las normas europeas de protección que incrementen el atractivo de Europa como destino de la inversión extranjera,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ofrecer unas condiciones equitativa</w:t>
      </w:r>
      <w:r>
        <w:rPr>
          <w:rFonts w:ascii="Times New Roman" w:hAnsi="Times New Roman" w:cs="Times New Roman"/>
          <w:sz w:val="24"/>
          <w:szCs w:val="24"/>
        </w:rPr>
        <w:t>s para los inversores en los EEUU</w:t>
      </w:r>
      <w:r w:rsidRPr="00B61C38">
        <w:rPr>
          <w:rFonts w:ascii="Times New Roman" w:hAnsi="Times New Roman" w:cs="Times New Roman"/>
          <w:sz w:val="24"/>
          <w:szCs w:val="24"/>
        </w:rPr>
        <w:t xml:space="preserve"> y la UE,</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aprovechar la experiencia y las mejores prácticas de los Estados miembros en relación con sus acuerdos de inversión bilateral con terceros países,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 además, las disposiciones deben entenderse sin perjuicio del derecho de la UE y los Estados miembros a adoptar y hacer aplicar, de conformidad con sus competencias respectivas, las medidas necesarias para conseguir objetivos legítimos de política pública, como por ejemplo objetivos sociales, medioambientales, de seguridad, de estabilidad del sistema financiero, de salud y de seguridad pública, de manera no discriminatoria. El Acuerdo debe respetar las políticas de la UE y sus Estados miembros para la promoción y protección de la diversidad cultural.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Ámbito de aplicación: el capítulo de protección de las inversiones del Acuerdo debe cubrir una amplia gama de inversores y sus inversiones, incluidos los derechos de propiedad intelectual, con independencia de si la inversión se efectúa antes o después de la entrada en vigor del Acuerdo.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Normas de trato: las negociaciones deben tener como objetivo, en particular, pero no exclusivamente, las siguientes normas de trato y reglas: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a) un trato justo y equitativo, incluida la prohibición de medidas desproporcionadas, arbitrarias o discriminatorias,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b) el trato nacional,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 el trato de nación más favorecida,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d) la protección contra la expropiación directa e indirecta, incluido el derecho a una indemnización rápida, adecuada y eficaz,</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 la protección y seguridad plenas de inversores e inversiones,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lastRenderedPageBreak/>
        <w:t xml:space="preserve">f) otras disposiciones de protección eficaces, </w:t>
      </w:r>
      <w:r>
        <w:rPr>
          <w:rFonts w:ascii="Times New Roman" w:hAnsi="Times New Roman" w:cs="Times New Roman"/>
          <w:sz w:val="24"/>
          <w:szCs w:val="24"/>
        </w:rPr>
        <w:t>como una “cláusula general”</w:t>
      </w:r>
      <w:r w:rsidRPr="00B61C38">
        <w:rPr>
          <w:rFonts w:ascii="Times New Roman" w:hAnsi="Times New Roman" w:cs="Times New Roman"/>
          <w:sz w:val="24"/>
          <w:szCs w:val="24"/>
        </w:rPr>
        <w:t>,</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g) la libre transferencia de fondos de capital y de pagos por inversores,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h) reglas en materia de subrogación.</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Aplicación de la normativa: el Acuerdo debe tener como objetivo prever un mecanismo eficaz y vanguardista de solución de diferencias entre inversores y estados, que ofrezca transparencia, independencia de los árbitros y previsibilidad del Acuerdo, incluso mediante la posibilidad de una interpretación vinculante del Acuerdo por las Partes. Debe incluir la solución de diferencias entre estados, pero no debe interferir con el derecho de los inversores a recurrir a los mecanismos de solución de diferencias entre inversores y estados. Debe ofrecer a los inversores una gama tan amplia de foros de mediación como la ya existente en el marco de los acuerdos bilaterales de inversión de los Estados miembros. El mecanismo de solución de las diferencias entre inversores y Estados debe contemplar salvaguardias contra las demandas claramente injustificadas o frívolas. Debe examinarse la posibilidad de crear, en el marco del Acuerdo, un mecanismo de apelación aplicable a la solución de diferencias entre inversores y estados y la relación adecuada entre esta y los sistemas nacionales de recurso.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Relación con otras partes del Acuerdo: las disposiciones en materia de protección de las inversiones no deben vincularse con los compromisos de acceso al mercado sobre inversiones que se hayan adoptado en otras partes del Acuerdo. La solución de diferencias entre inversores y estados no se aplicará a las disposiciones de acceso al mercado. Estos compromisos de acceso al mercado podrán incluir, cuando sea necesario, normas que prohíban los requisitos de rendimiento.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Todas las autoridades y entidades de nivel inferior al central (como estados federados o municipios) deben cumplir efectivamente el capítulo de protección de inversiones de este Acuerdo.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Contratación pública</w:t>
      </w:r>
    </w:p>
    <w:p w:rsidR="000369FD"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24. El Acuerdo debe ser lo más ambicioso posible, complementando el resultado de las negociaciones del Acuerdo sobre Contratación Pública revisado en lo que respecta a su alcance (entidades contratantes, sectores, umbrales y contratos de servicios, incluida, en particular, la construcción pública). El Acuerdo tendrá como objetivo un acceso mutuo reforzado a los mercados de contratación pública a todos los niveles administrativos (nacional, regional y local), y los ámbitos de los servicios públicos, cubriendo operaciones relevantes de empresas que operen en este ámbito y garantizando un trato no menos favorable que el otorgado a los proveedores establecidos a nivel local. El Acuerdo también incluirá normas y disciplinas para abordar las barreras que tengan un impacto negativo en los mercados respectivos de contratación pública, incluidos los requisitos relativos al contenido local o a la producción local, e</w:t>
      </w:r>
      <w:r>
        <w:rPr>
          <w:rFonts w:ascii="Times New Roman" w:hAnsi="Times New Roman" w:cs="Times New Roman"/>
          <w:sz w:val="24"/>
          <w:szCs w:val="24"/>
        </w:rPr>
        <w:t>n particular las disposiciones “Buy American”</w:t>
      </w:r>
      <w:r w:rsidRPr="00B61C38">
        <w:rPr>
          <w:rFonts w:ascii="Times New Roman" w:hAnsi="Times New Roman" w:cs="Times New Roman"/>
          <w:sz w:val="24"/>
          <w:szCs w:val="24"/>
        </w:rPr>
        <w:t xml:space="preserve"> (compre productos estadounidenses) y las que se apliquen a los procedimientos de contratación, las especificaciones técnicas, los procedimientos de recurso y las exclusiones existentes, incluso para pequeñas y medianas empresas, con el fin de incrementar el acceso al mercado y, cuando sea pertinente, agilizar, simplificar e incrementar la transparencia de los procedimientos. </w:t>
      </w:r>
    </w:p>
    <w:p w:rsidR="000369FD" w:rsidRDefault="000369FD" w:rsidP="000369FD">
      <w:pPr>
        <w:spacing w:line="240" w:lineRule="auto"/>
        <w:jc w:val="both"/>
        <w:rPr>
          <w:rFonts w:ascii="Times New Roman" w:hAnsi="Times New Roman" w:cs="Times New Roman"/>
          <w:sz w:val="24"/>
          <w:szCs w:val="24"/>
        </w:rPr>
      </w:pPr>
    </w:p>
    <w:p w:rsidR="000369FD" w:rsidRDefault="000369FD" w:rsidP="000369FD">
      <w:pPr>
        <w:spacing w:line="240" w:lineRule="auto"/>
        <w:jc w:val="both"/>
        <w:rPr>
          <w:rFonts w:ascii="Times New Roman" w:hAnsi="Times New Roman" w:cs="Times New Roman"/>
          <w:sz w:val="24"/>
          <w:szCs w:val="24"/>
        </w:rPr>
      </w:pPr>
    </w:p>
    <w:p w:rsidR="000369FD" w:rsidRPr="00A3764F" w:rsidRDefault="000369FD" w:rsidP="000369FD">
      <w:pPr>
        <w:spacing w:line="240" w:lineRule="auto"/>
        <w:jc w:val="both"/>
        <w:rPr>
          <w:rFonts w:ascii="Times New Roman" w:hAnsi="Times New Roman" w:cs="Times New Roman"/>
          <w:sz w:val="24"/>
          <w:szCs w:val="24"/>
          <w:u w:val="single"/>
        </w:rPr>
      </w:pPr>
      <w:r w:rsidRPr="00A3764F">
        <w:rPr>
          <w:rFonts w:ascii="Times New Roman" w:hAnsi="Times New Roman" w:cs="Times New Roman"/>
          <w:sz w:val="24"/>
          <w:szCs w:val="24"/>
          <w:u w:val="single"/>
        </w:rPr>
        <w:lastRenderedPageBreak/>
        <w:t>Cuestiones reglamentarias y barreras no arancelarias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25. El Acuerdo tendrá como objetivo eliminar los obstáculos innecesarios al comercio y la inversión, incluidos los obstáculos no arancelarios existentes mediante unos mecanismos eficaces y eficientes, logrando un nivel ambicioso de compatibilidad reglamentaria para productos y servicios, incluso a través del reconocimiento mutuo, la armonización y mediante la cooperación reforzada entre reguladores. La compatibilidad reglamentaria se entenderá sin perjuicio del derecho a regular de conformidad con el nivel de protección de la salud, la seguridad, los consumidores, el trabajo y el medio ambiente y la diversidad cultural que cada parte considere apropiado, o bien en cumplimiento de objetivos reglamentarios legítimos, y se ajustará a los objetivos establecidos en el punto 8. Con este fin, el Acuerdo incluirá disposiciones sobre los asuntos siguientes: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Medidas sanitarias y fitosanitarias (MSF)</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En lo que respecta a las medidas sanitarias y fitosanitarias, las negociaciones seguirán las directrices de negociación adoptadas por el Consejo el 20 de febrero de 1995 (doc. 4976/95 del Consejo). Las Partes establecerán disposiciones basadas en el Acuerdo MSF de la OMC y en las disposiciones del acuerdo veterinario existente, introducirán disciplinas en materia de fitosanidad y crearán un foro bilateral para mejorar el diálogo y la cooperación sobre temas relacionados con las MSF. En los ámbitos cubiertos por el acuerdo veterinario</w:t>
      </w:r>
      <w:r>
        <w:rPr>
          <w:rFonts w:ascii="Times New Roman" w:hAnsi="Times New Roman" w:cs="Times New Roman"/>
          <w:sz w:val="24"/>
          <w:szCs w:val="24"/>
        </w:rPr>
        <w:t xml:space="preserve"> existente entre la UE y los EEUU</w:t>
      </w:r>
      <w:r w:rsidRPr="00B61C38">
        <w:rPr>
          <w:rFonts w:ascii="Times New Roman" w:hAnsi="Times New Roman" w:cs="Times New Roman"/>
          <w:sz w:val="24"/>
          <w:szCs w:val="24"/>
        </w:rPr>
        <w:t xml:space="preserve">, las disposiciones pertinentes deben considerarse como punto de partida de las negociaciones. Las disposiciones del capítulo sobre MSF aprovecharán los principios básicos del Acuerdo MSF de la OMC, incluido el requisito de que las MSF de cada parte se basen en la ciencia y en normas internacionales o evaluaciones de riesgo científicas, a la vez que se reconoce el derecho de las Partes a evaluar y gestionar el riesgo con arreglo al nivel de protección que cada Parte juzgue oportuna, en particular cuando las pruebas científicas pertinentes sean insuficientes, pero aplicándolo solo en la medida necesaria para proteger la vida o la salud de las personas, los animales o las plantas, y que se elaboren de manera transparente, sin retraso indebido. El Acuerdo también debe tener como objetivo establecer mecanismos de cooperación que, entre otras cosas, debatirán la equivalencia en materia de bienestar de los animales entre las Partes.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debe marcarse el objetivo de lograr la plena transparencia en lo que se refiere a las medidas sanitarias y fitosanitarias aplicables al comercio, en particular establecer disposiciones en materia de reconocimiento de equivalencias, aplicación de listas previas de establecimientos de elaboración de alimentos, prevención de la aplicación del despacho previo, reconocimi</w:t>
      </w:r>
      <w:r w:rsidR="00F440B1">
        <w:rPr>
          <w:rFonts w:ascii="Times New Roman" w:hAnsi="Times New Roman" w:cs="Times New Roman"/>
          <w:sz w:val="24"/>
          <w:szCs w:val="24"/>
        </w:rPr>
        <w:t>ento del estatuto sanitario de “libre de enfermedad” y de “libre de plagas”</w:t>
      </w:r>
      <w:r w:rsidRPr="00B61C38">
        <w:rPr>
          <w:rFonts w:ascii="Times New Roman" w:hAnsi="Times New Roman" w:cs="Times New Roman"/>
          <w:sz w:val="24"/>
          <w:szCs w:val="24"/>
        </w:rPr>
        <w:t xml:space="preserve"> de las Partes y el principio de regionalización, tanto para las zoonosis como para las plagas de los vegetales.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Regulaciones técnicas, normas y procedimientos de evaluación de la conformidad</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Tomando como base los compromisos de las Partes en el marco del Acuerdo sobre Obstáculos Técnicos al Comercio (OTC), las Partes también establecerán disposiciones que utilicen dichas disposiciones y las complementen, con el fin de facilitar el acceso a cada mercado respectivo, y crearán un mecanismo para mejorar el diálogo y la cooperación con vistas a abordar cuestiones bilaterales sobre OTC. Los objetivos de estas disposiciones consistirían en aportar una mayor apertura, transparencia y convergencia a los enfoques y requisitos reglamentarios y a los procesos de elaboración de las normas correspondientes, también con el objetivo de adoptar las correspondientes normas </w:t>
      </w:r>
      <w:r w:rsidRPr="00B61C38">
        <w:rPr>
          <w:rFonts w:ascii="Times New Roman" w:hAnsi="Times New Roman" w:cs="Times New Roman"/>
          <w:sz w:val="24"/>
          <w:szCs w:val="24"/>
        </w:rPr>
        <w:lastRenderedPageBreak/>
        <w:t>internacionales, así como, entre otras cosas, reducir los requisitos de certificación y ensayo redundantes y onerosos, promover la confianza en nuestros respectivos organismos de evaluación de la conformidad y reforzar la cooperación general en materia de evaluación de la conformidad y en cuestiones de normalización. Debería prestarse atención asimismo a las disposiciones sobre etiquetado y los medios de evitar la información engañosa para los consumidores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Coherencia reglamentaria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El Acuerdo incluirá disciplinas transversales sobre coherencia y transparencia reglamentaria para el desarrollo y la aplicación de normativas eficaces, rentables y más compatibles para productos y servicios, incluidas consultas tempranas sobre normativas significativas, uso de evaluaciones de impacto, evaluaciones, revisión periódica de medidas reglamentarias existentes y aplicación de buenas prácticas reglamentarias.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Disposiciones sectoriales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incluirá disposiciones o anexos que contengan compromisos o pasos adicionales destinados a promover la compatibilidad reglamentaria en sectores específicos y mutuamente acordados de productos y servicios, con el objetivo de reducir los costes derivados de las diferencias reglamentarias en sectores específicos, incluida la consideración de enfoques relativos a la armonización reglamentaria, la equivalencia o el reconocimiento mutuo, cuando sea conveniente. Esto debe incluir disposiciones y procedimientos específicos y sustantivos en sectores de importancia significativa para la economía transatlántica, incluidos, aunque no exclusivamente, el sector de la automoción, los productos químicos, los productos farmacéuticos y otros sectores de la salud, las tecnologías de la información y la comunicación, y los servicios financieros, que garanticen la eliminación de las barreras no arancelarias existentes, eviten la adopción de nuevas barreras no arancelarias y permitan el acceso al mercado a un nivel superior al establecido por las normas horizontales del Acuerdo. En lo que respecta a los servicios financieros, las negociaciones también deben tener como objetivo conseguir unos marcos comunes para la cooperación prudencial.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26. El Acuerdo también deberá incluir un marco para identificar oportunidades y orientar las tareas adicionales sobre cuestiones reglamentarias, incluidas disposiciones que proporcionen una base institucional para aprovechar en el Acuerdo global el resultado de las posteriores conversaciones sobre regulación.</w:t>
      </w:r>
    </w:p>
    <w:p w:rsidR="000369FD"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27. El Acuerdo será vinculante para todos los reguladores y otras autoridades competentes de ambas Partes. </w:t>
      </w:r>
    </w:p>
    <w:p w:rsidR="000369FD" w:rsidRPr="00A3764F" w:rsidRDefault="000369FD" w:rsidP="000369FD">
      <w:pPr>
        <w:spacing w:line="240" w:lineRule="auto"/>
        <w:jc w:val="both"/>
        <w:rPr>
          <w:rFonts w:ascii="Times New Roman" w:hAnsi="Times New Roman" w:cs="Times New Roman"/>
          <w:sz w:val="24"/>
          <w:szCs w:val="24"/>
          <w:u w:val="single"/>
        </w:rPr>
      </w:pPr>
      <w:r w:rsidRPr="00A3764F">
        <w:rPr>
          <w:rFonts w:ascii="Times New Roman" w:hAnsi="Times New Roman" w:cs="Times New Roman"/>
          <w:sz w:val="24"/>
          <w:szCs w:val="24"/>
          <w:u w:val="single"/>
        </w:rPr>
        <w:t>Normas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Derechos de propiedad intelectual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28. El Acuerdo cubrirá las cuestiones relativas a los derechos de propiedad intelectual. Reflejará el gran valor que ambas Partes conceden a la protección de la propiedad intelectual </w:t>
      </w:r>
      <w:r>
        <w:rPr>
          <w:rFonts w:ascii="Times New Roman" w:hAnsi="Times New Roman" w:cs="Times New Roman"/>
          <w:sz w:val="24"/>
          <w:szCs w:val="24"/>
        </w:rPr>
        <w:t>y se basará en el diálogo UE-EEUU</w:t>
      </w:r>
      <w:r w:rsidRPr="00B61C38">
        <w:rPr>
          <w:rFonts w:ascii="Times New Roman" w:hAnsi="Times New Roman" w:cs="Times New Roman"/>
          <w:sz w:val="24"/>
          <w:szCs w:val="24"/>
        </w:rPr>
        <w:t xml:space="preserve"> existente en esta materia.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29. En particular, las negociaciones deben abordar los ámbitos más relevantes para promover el intercambio de productos y servicios con contenido de propiedad intelectual, con el fin de reducir costes y apoyar la innovación. Las negociaciones tendrán como objetivo facilitar una protección reforzada de las Indicaciones Geográficas clave de la UE </w:t>
      </w:r>
      <w:r w:rsidRPr="00B61C38">
        <w:rPr>
          <w:rFonts w:ascii="Times New Roman" w:hAnsi="Times New Roman" w:cs="Times New Roman"/>
          <w:sz w:val="24"/>
          <w:szCs w:val="24"/>
        </w:rPr>
        <w:lastRenderedPageBreak/>
        <w:t>a través del Acuerdo, de manera que complemente los ADPIC y se base en los mismos, contemplando también la relación con el uso anterior en el mercado estadounidense con el objetivo de resolver los conflictos existentes de manera satisfactoria. Tras la consulta previa con el Comité de Política Comercial, se abordarán nuevos asuntos de derechos de propiedad intelectual en las negociaciones.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30. El Acuerdo no incluirá disposiciones sobre sanciones penales.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Comercio y desarrollo sostenible</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31. El Acuerdo incluirá compromisos por ambas Partes en relación con los aspectos laborales y medioambientales del comercio y el desarrollo sostenible. Se estudiarán medidas para facilitar y promover el comercio de productos, servicios y tecnologías ecológicos, hipocarbónicos y eficientes en el consumo de energía y recursos, incluso a través de una contratación pública con criterios ecológicos, así como para apoyar que los consumidores elijan con conocimiento de causa. El Acuerdo también incluirá disposiciones para promover el cumplimiento y la aplicación eficaz de normas y acuerdos laborales y medioambientales acordados internacionalmente como condición necesaria para el desarrollo sostenible.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32. El Acuerdo incluirá mecanismos para apoyar la promoción del trabajo digno mediante una aplicación interna eficaz de las normas laborales básicas de la Organización Internacional del Trabajo (OIT), tal como se definen en la Declaración de la OIT de 1998 relativa a los principios y derechos fundamentales en el trabajo, y los Acuerdos medioambientales pertinentes, así como reforzando la cooperación sobre aspectos del desarrollo sostenible relacionados con el comercio. También debe subrayarse la importancia de la aplicación y la ejecución de la legislación laboral y medioambiental interna. Asimismo, debe incluir disposiciones en apoyo de las normas reconocidas internacionalmente en materia de responsabilidad social de las empresas, así como de la conservación, la gestión sostenible y la promoción del comercio de recursos naturales sostenibles y obtenidos legalmente, como la madera, la vida silvestre o los recursos pesqueros. El Acuerdo deberá prever el seguimiento de la aplicación de estas disposiciones a través de un mecanismo que incluya la participación de la sociedad civil, así como un mecanismo para abordar diferencias.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33. Las repercusiones económicas, sociales y medioambientales se examinarán a través de una evaluación independiente de impacto de la sostenibilidad en la que participe la sociedad civil, que se realizará paralelamente a las negociaciones y que deberá finalizar antes de que se rubrique el Acuerdo. Esta evaluación de impacto tendrá por objetivo aclarar los efectos probables del Acuerdo en el desarrollo sostenible y proponer medidas (en aspectos tanto comerciales como no comerciales) que aprovechen al máximo los beneficios del Acuerdo y eviten o reduzcan al mínimo los posibles impactos negativos. La Comisión velará por que la evaluación se realice en diálogo periódico con todos los respectivos interesados de la sociedad civil. Durante las negociaciones, la Comisión también mantendrá un diálogo periódico con todos los respectivos interesados de la sociedad civil.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Aduanas y facilitación del comercio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34. El Acuerdo incluirá disposiciones para facilitar el comercio entre las Partes, a la vez que se garantizan unos controles eficaces y medidas contra el fraude. Con este fin, incluirá, entre otras cosas, compromisos en materia de normas, requisitos, formalidades </w:t>
      </w:r>
      <w:r w:rsidRPr="00B61C38">
        <w:rPr>
          <w:rFonts w:ascii="Times New Roman" w:hAnsi="Times New Roman" w:cs="Times New Roman"/>
          <w:sz w:val="24"/>
          <w:szCs w:val="24"/>
        </w:rPr>
        <w:lastRenderedPageBreak/>
        <w:t>y procedimientos de las Partes en relación con la importación, la exportación y el tránsito, con un elevado nivel de ambición que vaya más allá de los compromisos negociados en el marco de la OMC. Estas disposiciones deben promover la modernización y la simplificación de las normas y procedimientos, la tipificación de la documentación, la transparencia, el reconocimiento mutuo de las normas y la cooperación entre autoridades aduaneras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Acuerdos comerciales sectoriales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35. El Acuerdo debe, cuando proceda, aprovechar y complementar los Acuerdos comerciales sectoriales existentes como el Acuerdo entre la Comunidad Europea y los Estados Unidos sobre el comercio del vino, en particular en lo que se refiere a las negociaciones de las condiciones del Anexo II del Acuerdo de 2005, el Acuerdo de reconocimiento mutuo entre la Comunidad Europea y los Estados Unidos y el Acuerdo entre la Comunidad Europea y los Estados Unidos de América sobre cooperación aduanera y asistencia administrativa mutua en materia aduanera.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Comercio y competencia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36. El Acuerdo deberá tener el objetivo de incluir disposiciones sobre política de competencia, incluidas disposiciones antimonopolio y sobre fusiones y ayudas estatales. Además, el Acuerdo deberá abordar los monopolios estatales, las empresas de propiedad estatal y las empresas titulares de derechos especiales o exclusivos.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Comercio relacionado con la energía y las materias primas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37. El Acuerdo incluirá disposiciones que aborden los aspectos relativos al comercio y la inversión en materia de energía y las materias primas. El objetivo de las negociaciones debe ser garantizar un entorno abierto, transparente y previsible en materia de energía y garantizar un acceso sostenible y sin restricciones a las materias primas.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Pequeñas y medianas empresas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38. El Acuerdo incluirá disposiciones que aborden los aspectos relativos al comercio de las pequeñas y medianas empresas.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Movimientos de capital y pagos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39. El Acuerdo incluirá disposiciones sobre la plena liberalización de los pagos corrientes y los movimientos de capital, e incluirá una cláusula de statu quo. Contendrá disposiciones de exclusión (p. ej., en caso de graves dificultades para la política monetaria y de tipo de cambio, o para la supervisión prudencial y la fiscalidad), que se ajustarán a las disposiciones del Tratado de la UE sobre la libre circulación de capitales. Las negociaciones deberán tener en cuenta los recelos que plantea la liberalización de los movimientos de capital no relacionados con la inversión directa.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Transparencia</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40. El Acuerdo abordará las cuestiones relacionadas con la transparencia. Con este fin, incluirá disposiciones sobre los puntos siguientes: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El compromiso de consultar a las partes interesadas antes de la introducción de medidas que tengan un impacto en el comercio y la inversión.</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lastRenderedPageBreak/>
        <w:t>- La publicación de normas y medidas generales con un impacto en el comercio y la inversión internacional de productos y servicios.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La transparencia en lo que se refiere a la aplicación de medidas que tengan un impacto en el comercio y la inversión internacional de productos o servicios.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41. Ninguna disposición de este Acuerdo afectará a las normas de las legislaciones de la UE o de los Estados miembros relativas al acceso del público a los documentos oficiales.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Otros ámbitos relativos a las normas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 xml:space="preserve">42. A la vista del análisis realizado por la Comisión, previa consulta del Comité de Política Comercial y con arreglo a lo previsto en los Tratados de la UE, el Acuerdo podrá incluir disposiciones relativas a otros ámbitos relacionados con la relación comercial y económica en los casos en que, durante las negociaciones, se haya expresado un interés mutuo en hacerlo. </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Marco institucional y disposiciones finales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43. Marco institucional</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creará una estructura institucional a fin de garantizar un seguimiento eficaz de los compromisos en el marco del Acuerdo, así como de promover la consecución progresiva de la compatibilidad de los regímenes reglamentarios.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44. En aras de la transparencia, la Comisión informará periódicamente al Comité de Política Comercial sobre el curso de las negociaciones. Con arreglo a los Tratados, la Comisión podrá formular recomendaciones al Consejo sobre posibles directrices de negociación adicionales relativas a cualquier asunto, con los mismos procedimientos de adopción, incluidas las normas de votación, que para el presente mandato.</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45. Solución de diferencias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incluirá un mecanismo apropiado de solución de diferencias, que garantizará que las Partes cumplan las normas mutuamente acordadas.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debe incluir disposiciones para una resolución rápida de los problemas, tales como un mecanismo de mediación flexible. Este mecanismo prestará especial atención a la solución de las diferencias relacionadas con los aspectos de obstáculos no arancelarios.</w:t>
      </w:r>
    </w:p>
    <w:p w:rsidR="000369FD" w:rsidRPr="00B61C38"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46. Lenguas auténticas</w:t>
      </w:r>
    </w:p>
    <w:p w:rsidR="000369FD" w:rsidRDefault="000369FD" w:rsidP="000369FD">
      <w:pPr>
        <w:spacing w:line="240" w:lineRule="auto"/>
        <w:jc w:val="both"/>
        <w:rPr>
          <w:rFonts w:ascii="Times New Roman" w:hAnsi="Times New Roman" w:cs="Times New Roman"/>
          <w:sz w:val="24"/>
          <w:szCs w:val="24"/>
        </w:rPr>
      </w:pPr>
      <w:r w:rsidRPr="00B61C38">
        <w:rPr>
          <w:rFonts w:ascii="Times New Roman" w:hAnsi="Times New Roman" w:cs="Times New Roman"/>
          <w:sz w:val="24"/>
          <w:szCs w:val="24"/>
        </w:rPr>
        <w:t>El Acuerdo, que será igualmente auténtico en todas las lenguas oficiales de la UE, incluirá una cláusula sobre lenguas.</w:t>
      </w:r>
    </w:p>
    <w:p w:rsidR="000369FD" w:rsidRPr="00EB361F" w:rsidRDefault="000369FD" w:rsidP="000369FD">
      <w:pPr>
        <w:spacing w:line="240" w:lineRule="auto"/>
        <w:jc w:val="both"/>
        <w:rPr>
          <w:rFonts w:ascii="Times New Roman" w:hAnsi="Times New Roman" w:cs="Times New Roman"/>
          <w:b/>
          <w:sz w:val="24"/>
          <w:szCs w:val="24"/>
        </w:rPr>
      </w:pPr>
      <w:r w:rsidRPr="00EB361F">
        <w:rPr>
          <w:rFonts w:ascii="Times New Roman" w:hAnsi="Times New Roman" w:cs="Times New Roman"/>
          <w:b/>
          <w:sz w:val="24"/>
          <w:szCs w:val="24"/>
        </w:rPr>
        <w:t>Ficha informativa</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404ED">
        <w:rPr>
          <w:rFonts w:ascii="Times New Roman" w:hAnsi="Times New Roman" w:cs="Times New Roman"/>
          <w:sz w:val="24"/>
          <w:szCs w:val="24"/>
          <w:u w:val="single"/>
        </w:rPr>
        <w:t>Protección de la inversión y solución de controversias entre inversor y Estado en los acuerdos de la UE</w:t>
      </w:r>
      <w:r>
        <w:rPr>
          <w:rFonts w:ascii="Times New Roman" w:hAnsi="Times New Roman" w:cs="Times New Roman"/>
          <w:sz w:val="24"/>
          <w:szCs w:val="24"/>
        </w:rPr>
        <w:t xml:space="preserve"> (Comisión Europea - </w:t>
      </w:r>
      <w:r w:rsidRPr="00EB361F">
        <w:rPr>
          <w:rFonts w:ascii="Times New Roman" w:hAnsi="Times New Roman" w:cs="Times New Roman"/>
          <w:b/>
          <w:sz w:val="24"/>
          <w:szCs w:val="24"/>
        </w:rPr>
        <w:t>Noviembre de 2013</w:t>
      </w:r>
      <w:r>
        <w:rPr>
          <w:rFonts w:ascii="Times New Roman" w:hAnsi="Times New Roman" w:cs="Times New Roman"/>
          <w:sz w:val="24"/>
          <w:szCs w:val="24"/>
        </w:rPr>
        <w:t>)</w:t>
      </w:r>
      <w:r w:rsidRPr="00EB361F">
        <w:rPr>
          <w:rFonts w:ascii="Times New Roman" w:hAnsi="Times New Roman" w:cs="Times New Roman"/>
          <w:sz w:val="24"/>
          <w:szCs w:val="24"/>
        </w:rPr>
        <w:t xml:space="preserve"> </w:t>
      </w:r>
    </w:p>
    <w:p w:rsidR="000369FD" w:rsidRPr="00EB361F" w:rsidRDefault="000369FD" w:rsidP="000369FD">
      <w:pPr>
        <w:spacing w:line="240" w:lineRule="auto"/>
        <w:jc w:val="both"/>
        <w:rPr>
          <w:rFonts w:ascii="Times New Roman" w:hAnsi="Times New Roman" w:cs="Times New Roman"/>
          <w:b/>
          <w:sz w:val="24"/>
          <w:szCs w:val="24"/>
        </w:rPr>
      </w:pPr>
      <w:r w:rsidRPr="00EB361F">
        <w:rPr>
          <w:rFonts w:ascii="Times New Roman" w:hAnsi="Times New Roman" w:cs="Times New Roman"/>
          <w:b/>
          <w:sz w:val="24"/>
          <w:szCs w:val="24"/>
        </w:rPr>
        <w:t xml:space="preserve">Resumen </w:t>
      </w:r>
    </w:p>
    <w:p w:rsidR="000369FD" w:rsidRPr="00EB361F" w:rsidRDefault="000369FD" w:rsidP="000369FD">
      <w:pPr>
        <w:spacing w:line="240" w:lineRule="auto"/>
        <w:jc w:val="both"/>
        <w:rPr>
          <w:rFonts w:ascii="Times New Roman" w:hAnsi="Times New Roman" w:cs="Times New Roman"/>
          <w:b/>
          <w:sz w:val="24"/>
          <w:szCs w:val="24"/>
        </w:rPr>
      </w:pPr>
      <w:r w:rsidRPr="00EB361F">
        <w:rPr>
          <w:rFonts w:ascii="Times New Roman" w:hAnsi="Times New Roman" w:cs="Times New Roman"/>
          <w:b/>
          <w:sz w:val="24"/>
          <w:szCs w:val="24"/>
        </w:rPr>
        <w:t xml:space="preserve">La nueva era de la inversión y de la protección de la inversión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lastRenderedPageBreak/>
        <w:t xml:space="preserve">Es importante que los flujos de inversión cuenten con el respaldo de disposiciones que regulen su protección, incluso en el caso de solución de controversias entre inversor y Estado. Estas disposiciones han funcionado bien en términos generales. No obstante, cabe introducir mejoras en el sistema, que se basen en encontrar un mayor equilibrio entre el derecho de los Estados a regular y la necesidad de proteger a los inversores, así como en garantizar que el sistema de arbitraje sea irreprochable, por ejemplo en cuanto a transparencia, designaciones de árbitros y costes de los procedimientos.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El Tratado de Lisboa estableció como competencia de la UE la negociación de acuerdos de inversión, que brinda una oportunidad exclusiva para definir un nuevo programa en el ámbito de las disposiciones que rigen la protección de la inversión y la solución de controversias entre inversor y Estado. Esto también refleja las opiniones expresadas por el Parlamento Europeo en su Resolución sobre el futuro de una política europea en materia de inversión internacional adoptada el 6 de abril de 2011.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 UE puede servirse de las lecciones aprendidas acerca de cómo el sistema de arbitraje ha funcionado hasta la fecha, teniendo en cuenta además los 1 400 acuerdos vigentes en los Estados miembros en materia de protección de la inversión, a fin de introducir cambios en el sistema de protección de la inversión. Gracias a su peso económico en todo el mundo, la UE está en una posición fuerte para convencer a sus socios comerciales de la necesidad de establecer normas más claras y mejores. La mejor manera de hacerlo consiste en entablar negociaciones bilaterales con terceros países. También tenemos la posibilidad de influir en el contexto multilateral, por ejemplo, mediante la Comisión de las Naciones Unidas para el </w:t>
      </w:r>
      <w:r>
        <w:rPr>
          <w:rFonts w:ascii="Times New Roman" w:hAnsi="Times New Roman" w:cs="Times New Roman"/>
          <w:sz w:val="24"/>
          <w:szCs w:val="24"/>
        </w:rPr>
        <w:t xml:space="preserve">Derecho Mercantil Internacional </w:t>
      </w:r>
      <w:r w:rsidRPr="00EB361F">
        <w:rPr>
          <w:rFonts w:ascii="Times New Roman" w:hAnsi="Times New Roman" w:cs="Times New Roman"/>
          <w:sz w:val="24"/>
          <w:szCs w:val="24"/>
        </w:rPr>
        <w:t xml:space="preserve">(CNUDMI), donde hemos elaborado nuevas normas sobre la transparencia que van más allá de los propios acuerdos de inversión de la UE.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Reajuste del sistema: un enfoque de dos bandas La Comisión está trabajando para introducir mejoras en dos aspectos.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1) Aclarar y mejorar las normas sob</w:t>
      </w:r>
      <w:r>
        <w:rPr>
          <w:rFonts w:ascii="Times New Roman" w:hAnsi="Times New Roman" w:cs="Times New Roman"/>
          <w:sz w:val="24"/>
          <w:szCs w:val="24"/>
        </w:rPr>
        <w:t xml:space="preserve">re protección de la inversión.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Derecho a regular: los acuerdos de la UE reafirman los derechos de las Partes a regular con el fin de conseguir objetiv</w:t>
      </w:r>
      <w:r>
        <w:rPr>
          <w:rFonts w:ascii="Times New Roman" w:hAnsi="Times New Roman" w:cs="Times New Roman"/>
          <w:sz w:val="24"/>
          <w:szCs w:val="24"/>
        </w:rPr>
        <w:t xml:space="preserve">os legítimos de orden público;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EB361F">
        <w:rPr>
          <w:rFonts w:ascii="Times New Roman" w:hAnsi="Times New Roman" w:cs="Times New Roman"/>
          <w:sz w:val="24"/>
          <w:szCs w:val="24"/>
        </w:rPr>
        <w:t>Expropiación indirec</w:t>
      </w:r>
      <w:r>
        <w:rPr>
          <w:rFonts w:ascii="Times New Roman" w:hAnsi="Times New Roman" w:cs="Times New Roman"/>
          <w:sz w:val="24"/>
          <w:szCs w:val="24"/>
        </w:rPr>
        <w:t>ta”</w:t>
      </w:r>
      <w:r w:rsidRPr="00EB361F">
        <w:rPr>
          <w:rFonts w:ascii="Times New Roman" w:hAnsi="Times New Roman" w:cs="Times New Roman"/>
          <w:sz w:val="24"/>
          <w:szCs w:val="24"/>
        </w:rPr>
        <w:t xml:space="preserve">: los fututos acuerdos de la UE comprenderán un conjunto pormenorizado de disposiciones que servirán de guía para que los árbitros sepan cómo decidir si una medida del gobierno constituye o no una expropiación indirecta. En particular, cuando el Estado vela por el interés público de forma no discriminatoria, el derecho del Estado a regular prevalecerá sobre la repercusión económica que tales </w:t>
      </w:r>
      <w:r>
        <w:rPr>
          <w:rFonts w:ascii="Times New Roman" w:hAnsi="Times New Roman" w:cs="Times New Roman"/>
          <w:sz w:val="24"/>
          <w:szCs w:val="24"/>
        </w:rPr>
        <w:t xml:space="preserve">medidas tienen en el inversor.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“Trato justo y equitativo”</w:t>
      </w:r>
      <w:r w:rsidRPr="00EB361F">
        <w:rPr>
          <w:rFonts w:ascii="Times New Roman" w:hAnsi="Times New Roman" w:cs="Times New Roman"/>
          <w:sz w:val="24"/>
          <w:szCs w:val="24"/>
        </w:rPr>
        <w:t xml:space="preserve">: este principio, al que los inversores recurren con mucha frecuencia, no está definido con claridad. Por ello, los tribunales han tenido un amplio margen de maniobra para interpretar este principio, de tal forma que se ha considerado que otorga demasiados o muy pocos derechos a los inversores. En los acuerdos de la UE, esta disposición establecerá de forma precisa qué elementos quedan cubiertos y, por tanto, cuáles están prohibidos.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2) Mejorar el funcionamiento del sistema de solución de controversias.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lastRenderedPageBreak/>
        <w:t xml:space="preserve"> Prevenir que los inversores presenten varias demandas o demandas de carácter frívolo (los inversores que pierdan los casos estarán obligados a sufragar todos los gastos procesales, incluidos los del Estado); </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Dotar al sistema de arbitraje de mayor transparencia: los documentos públicos, el acceso a las audiencias y permitir que las partes interesadas (por ejemplo, las ONG) presenten conclusiones en un determinado asunto;</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Gestionar los conflictos de intereses y de coherencia de los laudos arbitrales (por ejemplo, la introducción de un código de conducta vinculante para los árbitros);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Introducir salvaguardias para las Partes, lo que permitirá a los Estados mantener el control sobre cómo se interpretan las disposiciones que rigen las inversiones).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Tales mejoras responderán a las inquietudes planteadas en el sentido de que las normas relativas a la protección de la inversión pueden tener una repercusión negativa en el derecho de los Estados a regular. Asimismo, deberán garantizar, entre otras cuestiones, que no puedan impugnarse con éxito las decisiones legítimas de orden público del gobierno.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 Comisión ya ha introducido estas mejoras en el acuerdo de libre comercio de la UE con Canadá y está negociando o negociará mejoras similares en sus acuerdos con otros países.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I. Introducción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En este documento se explica por qué las disposiciones sobre protección de la inversión resultan necesarias y analiza las conclusiones extraídas sobre la forma en que ha funcionado la protección de la inversión en el pasado. Se presentan las mejoras concretas que la Comisión ha introducido en el ámbito de las disposiciones sobre la inversión en los acuerdos comerciales de la UE y que se incluirán en los futuros acuerdos.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Es importante que los flujos de inversión cuenten con el respaldo de disposiciones que regulen su protección, incluso en el caso de solución de controversias entre inversor y Estado. Estas disposiciones han funcionado bien. No obstante, cabe introducir mejoras en el sistema, que se basen en encontrar un mayor equilibrio entre el derecho de los Estados a regular y la necesidad de proteger a los inversores, así como en garantizar que el sistema de arbitraje sea irreprochable, por ejemplo en cuanto a transparencia, designaciones de árbitros y costes de los procedimientos.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El Tratado de Lisboa estableció como competencia de la UE la negociación de acuerdos de inversión, Con el tiempo, esto ofrecerá la ventaja evidente de que los veintiocho Estados miembros puedan disponer de un conjunto exclusivo de normas sobre protección de la inversión en los acuerdos comerciales y de inversión de la UE.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Esto también brinda una oportunidad exclusiva para definir un nuevo programa en el ámbito de las disposiciones que rigen la </w:t>
      </w:r>
      <w:r>
        <w:rPr>
          <w:rFonts w:ascii="Times New Roman" w:hAnsi="Times New Roman" w:cs="Times New Roman"/>
          <w:sz w:val="24"/>
          <w:szCs w:val="24"/>
        </w:rPr>
        <w:t xml:space="preserve">protección de la inversión y la </w:t>
      </w:r>
      <w:r w:rsidRPr="00EB361F">
        <w:rPr>
          <w:rFonts w:ascii="Times New Roman" w:hAnsi="Times New Roman" w:cs="Times New Roman"/>
          <w:sz w:val="24"/>
          <w:szCs w:val="24"/>
        </w:rPr>
        <w:t xml:space="preserve">solución de controversias entre inversor y Estado. Asimismo, refleja las opiniones expresadas por el Parlamento Europeo en su Resolución sobre el futuro de una política europea en materia de inversión internacional adoptada el 6 de abril de 2011.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 UE puede servirse de las lecciones aprendidas acerca de cómo el sistema de arbitraje ha funcionado hasta la fecha, con el objeto de introducir cambios en el sistema de </w:t>
      </w:r>
      <w:r w:rsidRPr="00EB361F">
        <w:rPr>
          <w:rFonts w:ascii="Times New Roman" w:hAnsi="Times New Roman" w:cs="Times New Roman"/>
          <w:sz w:val="24"/>
          <w:szCs w:val="24"/>
        </w:rPr>
        <w:lastRenderedPageBreak/>
        <w:t xml:space="preserve">protección de la inversión. Gracias a su peso económico en todo el mundo, la UE está en una posición fuerte para convencer a sus socios comerciales de la necesidad de establecer normas más claras y mejores. La mejor manera de hacerlo consiste en entablar negociaciones bilaterales. También tenemos la posibilidad de influir en el contexto multilateral, por ejemplo, mediante la Comisión de las Naciones Unidas para el Derecho Mercantil Internacional (CNUDMI), donde la UE ya ha elaborado satisfactoriamente nuevas normas sobre la transparencia que van más allá de los propios acuerdos de inversión de la UE.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1. ¿Por qué se incluye la protección de la inversión en los acuerdos comerciales?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 inversión es un factor de vital importancia para el crecimiento y el empleo, como en el caso de la UE, concretamente, donde la base de nuestra economía se basa en la receptividad al comercio y la inversión. De hecho, la inversión resulta fundamental para crear empresas y puestos de trabajo, así como para mantenerlos. A través de la inversión, las empresas crean cadenas de valor mundiales que tienen un papel cada vez más importante en la economía internacional moderna. No solo constituyen nuevas oportunidades para el comercio, sino que también crean puestos de trabajo y generan ingresos de valor añadido. Esa es la razón por la que los acuerdos comerciales deben promover la inversión y brindar nuevas oportunidades a las empresas para que inviertan en todo el mundo.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Las empresas que invierten en el extranjero se enfrentan a problemas que, por una serie de motivos, no siempre pueden resolver recurriendo al ordenamiento jurídico nacional. Estos problemas van desde las extrañas, pero dramáticas, ocurrencias de expropiaciones que el país anfitrión ejecuta a la fuerza, la discriminación, las expropiaciones sin la compensación adecuada, la revocación de licencias a las empresas y los abusos del Estado anfitrión, como la falta de garantías procesales, hasta la incapacidad de hacer transferencias de capital internacionales.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Precisamente por estos riesgos, las disposiciones que velan por la protección de las inversiones ha constituido un</w:t>
      </w:r>
      <w:r>
        <w:rPr>
          <w:rFonts w:ascii="Times New Roman" w:hAnsi="Times New Roman" w:cs="Times New Roman"/>
          <w:sz w:val="24"/>
          <w:szCs w:val="24"/>
        </w:rPr>
        <w:t xml:space="preserve">a parte integral de los 1 400 </w:t>
      </w:r>
      <w:r w:rsidRPr="00EB361F">
        <w:rPr>
          <w:rFonts w:ascii="Times New Roman" w:hAnsi="Times New Roman" w:cs="Times New Roman"/>
          <w:sz w:val="24"/>
          <w:szCs w:val="24"/>
        </w:rPr>
        <w:t xml:space="preserve">acuerdos bilaterales suscritos por los Estados miembros de la UE desde finales de la década de 1960. La propia UE forma parte del Tratado sobre la Carta de la Energía, que también comprende disposiciones para proteger las inversiones y sobre la solución de controversias entre inversor y Estado. Hay más de 3 400 acuerdos bilaterales y multilaterales en vigor en todo el mundo que contienen disposiciones para proteger las inversiones. Estos acuerdos ofrecen garantías a las empresas de que sus inversiones recibirán un trato justo y equitativo con respecto a las empresas nacionales. Gracias a que aportan seguridad y previsibilidad jurídica para las empresas, la protección de la inversión también constituye una herramienta para que todos los países del mundo puedan atraer y mantener la inversión extranjera directa (IED) a fin de sustentar su economía.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2. ¿Qué prevén las disposiciones sobre protección de la inversión?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Concretamente, casi todos los acuerdos detallados ofrecen a los inversores extranjeros cuatro garantías clave en sus relaciones con el Estado anfitrión: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Protección frente a la discriminación (trato de la nación más favorecida y trato nacional);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lastRenderedPageBreak/>
        <w:t xml:space="preserve"> Protección frente a expropiaciones que no sean de orden público y que no se compensen debidamente;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Protección frente a un trato injusto y no equitativo, por ejemplo, mediante la denegación de la equidad procesal básica;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Protección frente a la posibilidad de transferir capital.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Los acuerdos de inversión tambi</w:t>
      </w:r>
      <w:r>
        <w:rPr>
          <w:rFonts w:ascii="Times New Roman" w:hAnsi="Times New Roman" w:cs="Times New Roman"/>
          <w:sz w:val="24"/>
          <w:szCs w:val="24"/>
        </w:rPr>
        <w:t>én pueden prever un sistema de “</w:t>
      </w:r>
      <w:r w:rsidRPr="00EB361F">
        <w:rPr>
          <w:rFonts w:ascii="Times New Roman" w:hAnsi="Times New Roman" w:cs="Times New Roman"/>
          <w:sz w:val="24"/>
          <w:szCs w:val="24"/>
        </w:rPr>
        <w:t>solución de contro</w:t>
      </w:r>
      <w:r>
        <w:rPr>
          <w:rFonts w:ascii="Times New Roman" w:hAnsi="Times New Roman" w:cs="Times New Roman"/>
          <w:sz w:val="24"/>
          <w:szCs w:val="24"/>
        </w:rPr>
        <w:t>versias entre inversor y Estado”</w:t>
      </w:r>
      <w:r w:rsidRPr="00EB361F">
        <w:rPr>
          <w:rFonts w:ascii="Times New Roman" w:hAnsi="Times New Roman" w:cs="Times New Roman"/>
          <w:sz w:val="24"/>
          <w:szCs w:val="24"/>
        </w:rPr>
        <w:t xml:space="preserve">, considerado como un elemento fundamental para velar por una protección eficacia la protección prevista. Este sistema permite que un inversor presente directamente ante un tribunal internacional una demanda contra las autoridades del país anfitrión. No obstante, el inversor solo puede presentar una demanda cuando alegue la infracción de alguna de las disposiciones del acuerdo (por ejemplo, de las cuatro garantías fundamentales mencionadas anteriormente). Esto significa que un inversor que presenta una demanda debido a que sus beneficios se han reducido por un cambio normativo introducido por el Estado (por ejemplo, reglamentos más estrictos sobre algún aditivo alimentario) no puede obtener compensación solo sobre esa base. El inversor necesitaría demostrar que se han infringido las disposiciones que regulan la inversión (por ejemplo, por discriminación, denegación de justicia, etc.).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La razón principal para disponer de un mecanismo de solución de controversias entre inversor y Estado se debe a que, en muchos países, los acuerdos de inversión no son directamen</w:t>
      </w:r>
      <w:r>
        <w:rPr>
          <w:rFonts w:ascii="Times New Roman" w:hAnsi="Times New Roman" w:cs="Times New Roman"/>
          <w:sz w:val="24"/>
          <w:szCs w:val="24"/>
        </w:rPr>
        <w:t xml:space="preserve">te aplicables en los tribunales </w:t>
      </w:r>
      <w:r w:rsidRPr="00EB361F">
        <w:rPr>
          <w:rFonts w:ascii="Times New Roman" w:hAnsi="Times New Roman" w:cs="Times New Roman"/>
          <w:sz w:val="24"/>
          <w:szCs w:val="24"/>
        </w:rPr>
        <w:t xml:space="preserve">nacionales. Por tanto, un inversor que se sienta discriminado o cuya inversión sea expropiada no podrá invocar las normas de protección de la inversión ante los el tribunal nacional para obtener reparación. La solución de controversias entre inversor y Estado permite a los inversores basarse directamente en las normas diseñadas particularmente para proteger sus inversiones.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Los inversores de la UE han destacado como unos de los mayores usuarios de los procedimientos de solución de controversias, representando un número de casos cada vez mayor. Según las últimas cifras de la Conferencia de las Naciones Unidas sobre Comercio y Desarrollo, de los 214 casos (conocidos) de solución de controversias entre inversor y Estado registrados en todo el mundo entre 2008 y 2012, los inversores de la UE representaron el 53 % de los casos (113 casos), tratándose en su mayoría de usuarios de los Países Bajos, Alemania y el Reino Unido. El fuerte aumento del uso que los inversores de la UE hacen del sistema de solución de controversias entre inversor y Estado es más notable si cabe en las cifras de las recientes incoaciones de procesos judiciales. De los casos incoados en 2012 (un total de 52), los inversores de la UE representaron poco menos del 60 % de las incoaciones, mientras que los inversores de los Estados Unidos representaron solo el 7,7 %.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3. Las imperfecciones del sistema actual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Si bien el número de casos sometidos a arbitraje es reducido en comparación con las cientos de miles de decisiones de inversión que se toman diariamente en beneficio de los países anfitriones y de las empresas que invierten en ellos, algunos de los casos más recientes de demandas presentadas por los inversores contra los Estados han planteado importantes inquietudes de orden público. La principal inquietud es que cabe la posibilidad de que se haya realizado un uso indebido de las normas de protección de la inversión en vigor para prevenir que los países tomen decisiones políticas legítimas.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lastRenderedPageBreak/>
        <w:t>Entre los casos que han despertado la atención pública destacan los casos en curso Vattenfall vs. Alemania y Philip Morris vs. Australia. La empresa de energía sueca Vattenfall ha presentado una demanda contra el Gobierno de Alemania (en virtud del Tratado sobre la Carta de la Energía) después de que este último decidiera en 2011 agilizar significativamente la eliminación progresiva de la generación de energía nuclear. La empresa estadounidense Philip Morris ha presentado una demanda contra el Gobierno de Australia por la decisión de este último de prohibir los nombres de marcas en las cajetillas de tabaco (la denominada medid</w:t>
      </w:r>
      <w:r>
        <w:rPr>
          <w:rFonts w:ascii="Times New Roman" w:hAnsi="Times New Roman" w:cs="Times New Roman"/>
          <w:sz w:val="24"/>
          <w:szCs w:val="24"/>
        </w:rPr>
        <w:t>a “paquete genérico”</w:t>
      </w:r>
      <w:r w:rsidRPr="00EB361F">
        <w:rPr>
          <w:rFonts w:ascii="Times New Roman" w:hAnsi="Times New Roman" w:cs="Times New Roman"/>
          <w:sz w:val="24"/>
          <w:szCs w:val="24"/>
        </w:rPr>
        <w:t xml:space="preserve">) por motivos de salud pública.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Aún no se ha tomado ninguna decisión sobre estos casos. El Gobierno de Alemania y Vattenfall aún no han hecho público ninguno de los documentos relacionados con el caso. En cambio, sobre los casos de Philip Morris sí se encuentran disponibles algunos documen</w:t>
      </w:r>
      <w:r>
        <w:rPr>
          <w:rFonts w:ascii="Times New Roman" w:hAnsi="Times New Roman" w:cs="Times New Roman"/>
          <w:sz w:val="24"/>
          <w:szCs w:val="24"/>
        </w:rPr>
        <w:t xml:space="preserve">tos. No es posible saber si los </w:t>
      </w:r>
      <w:r w:rsidRPr="00EB361F">
        <w:rPr>
          <w:rFonts w:ascii="Times New Roman" w:hAnsi="Times New Roman" w:cs="Times New Roman"/>
          <w:sz w:val="24"/>
          <w:szCs w:val="24"/>
        </w:rPr>
        <w:t xml:space="preserve">demandantes ganarán o no los casos. Pero lo que sí está claro que ni Alemania ni Australia han hecho ningún cambio en sus políticas a raíz de las demandas interpuestas por los inversores ni los tribunales pueden forzarlos a que lo hagan.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Las inquietudes públicas planteadas sobre estos casos son legítimas y cabe tratarlas. Queremos garantizar que los tribunales interpretan las normas según prevén las Partes. Si bien algunos tribunales han interpretado las disposiciones para confirmar el derecho de los Estados a regular para el bien público (véase el cuadro 1), liberando a los Estados de la obligación de hacer compensaciones, otros tribunales no han hecho esto con la suficiente claridad.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Cuadro 1: Extractos del Tribunal competente en la solución de controversias entre inversor y Estado sobre el derecho de los Estados a regular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Saluka Investments B.V. c. La República Checa (2006) En el Derecho internacional se prevé que los Estados no están obligados a pagar una compensación a un inversor extranjero cuando, en el ejercicio habitual de su potestad normativa, adopten de reglamentos de buena fe y no discriminatorios destinados a velar por el bienestar general.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Methanex c. Estados Unidos (2005) En el seno del Derecho internacional general, un reglamento no discriminatorio para un fin público, promulgado de conformidad con el debido procedimiento, que afecta, entre otros agentes, a un inversor extranjero o a una inversión, no se considera expropiatorio ni compensable a menos que el gobierno legislador haya asumido compromisos específicos con el inversor extranjero putativo de que el gobierno se apartaría de tal reglamento.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No obstante, es importante tener en cuenta que los árbitros de un procedimiento en el que intervengan inversor y Estado operan en el seno de un marco determinado y que tienen que aplicar las normas específicas contenidas en un acuerdo de inversión. Esto implica que las decisiones adoptadas por los árbitros dependen de las normas que están llamados a aplicar. Unas normas vagas, por definición, dejarán margen de interpretación.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Por tanto hemos de garantizar que: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1) Las normas de los acuerdos comerciales para proteger las inversiones se definen de forma clara y no dejan margen para ambigüedades en su interpretación. Esto reviste </w:t>
      </w:r>
      <w:r w:rsidRPr="00EB361F">
        <w:rPr>
          <w:rFonts w:ascii="Times New Roman" w:hAnsi="Times New Roman" w:cs="Times New Roman"/>
          <w:sz w:val="24"/>
          <w:szCs w:val="24"/>
        </w:rPr>
        <w:lastRenderedPageBreak/>
        <w:t xml:space="preserve">especial importancia en lo tocante al derecho del Estado a regular con vistas a conseguir objetivos de orden público. </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2) Los árbitros trabajan de conformidad con un conjunto claro de procedimientos que garantice transparencia y un proceso justo.</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Algunas disposiciones fundamentales sobre protección de la inversión no quedan claras. La forma en que están redactadas ha dado lugar a reclamos de que tales disposiciones de hecho socavan la posibilidad de los Estados de regular en aras del interés público. Por ejemplo, muchos acuerdos de inversión en vigor no especifican el significado ni</w:t>
      </w:r>
      <w:r>
        <w:rPr>
          <w:rFonts w:ascii="Times New Roman" w:hAnsi="Times New Roman" w:cs="Times New Roman"/>
          <w:sz w:val="24"/>
          <w:szCs w:val="24"/>
        </w:rPr>
        <w:t xml:space="preserve"> el ámbito de aplicación exacto</w:t>
      </w:r>
      <w:r w:rsidRPr="00EB361F">
        <w:rPr>
          <w:rFonts w:ascii="Times New Roman" w:hAnsi="Times New Roman" w:cs="Times New Roman"/>
          <w:sz w:val="24"/>
          <w:szCs w:val="24"/>
        </w:rPr>
        <w:t xml:space="preserve"> de normas sustantivas fundamentales, como la</w:t>
      </w:r>
      <w:r>
        <w:rPr>
          <w:rFonts w:ascii="Times New Roman" w:hAnsi="Times New Roman" w:cs="Times New Roman"/>
          <w:sz w:val="24"/>
          <w:szCs w:val="24"/>
        </w:rPr>
        <w:t xml:space="preserve"> “expropiación indirecta” o un “trato justo y equitativo”</w:t>
      </w:r>
      <w:r w:rsidRPr="00EB361F">
        <w:rPr>
          <w:rFonts w:ascii="Times New Roman" w:hAnsi="Times New Roman" w:cs="Times New Roman"/>
          <w:sz w:val="24"/>
          <w:szCs w:val="24"/>
        </w:rPr>
        <w:t xml:space="preserve">, que son precisamente los motivos por los que los inversores presentan la mayoría de las demandas.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También varía la forma en que se desarrolla la solución de controversias. En la mayoría de los tratados de inversión bilaterales, los procedimientos tienen lugar a puerta cerrada, a menos que ambas Partes acuerden lo contrario. Asimismo, algunas empresas prueban suerte y tratan de presentar demandas sin fundamento. Tales demandas suelen desestimarse finalmente, pero cuestan tiempo y dinero al Estado afectado y pueden considerarse como una forma de ejercer presión en el Estado para que no adopte determinadas medidas políticas. Aunque los árbitros re</w:t>
      </w:r>
      <w:r>
        <w:rPr>
          <w:rFonts w:ascii="Times New Roman" w:hAnsi="Times New Roman" w:cs="Times New Roman"/>
          <w:sz w:val="24"/>
          <w:szCs w:val="24"/>
        </w:rPr>
        <w:t>chazan la mayoría de los casos “desesperados”</w:t>
      </w:r>
      <w:r w:rsidRPr="00EB361F">
        <w:rPr>
          <w:rFonts w:ascii="Times New Roman" w:hAnsi="Times New Roman" w:cs="Times New Roman"/>
          <w:sz w:val="24"/>
          <w:szCs w:val="24"/>
        </w:rPr>
        <w:t xml:space="preserve">, pueden dar lugar a que estos árbitros tengan la impresión de que el sistema plantea una amenaza en lo que respecta al derecho a regular.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4. ¿Qué está haciendo la UE para mejorar las normas de protección de la inversión?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 Comisión pretende introducir mejoras en dos ámbitos, a saber, 1) aclarar y mejorar las normas sobre protección de la inversión y 2) mejorar el funcionamiento del sistema de solución de controversias. Tales mejoras responderán a las inquietudes planteadas sobre el hecho de que las normas relativas a la protección de la inversión pueden tener una repercusión negativa en el derecho de los Estados a regular. Asimismo, deberán garantizar, entre otras cuestiones, que las empresas no puedan presentar demandas con éxito contra las políticas legislativas de los Estados cuando estas se adopten por motivos de orden público. </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1. Aclarar y mejorar las normas sobre protección de la inversión Todos los acuerdos de libre comercio de la UE confirman claramente, como principio de derecho, el derecho de las Partes a regular y a perseguir objetivos legítimos de orden público, entre otros, sociales, medioambientales, de protección, de salud pública y seguridad, así como la promoción y protección de la diversidad cultural. Este principio también se aplicará a las disposiciones sobre protección de la inversión</w:t>
      </w:r>
      <w:r>
        <w:rPr>
          <w:rFonts w:ascii="Times New Roman" w:hAnsi="Times New Roman" w:cs="Times New Roman"/>
          <w:sz w:val="24"/>
          <w:szCs w:val="24"/>
        </w:rPr>
        <w:t>,</w:t>
      </w:r>
      <w:r w:rsidRPr="00EB361F">
        <w:rPr>
          <w:rFonts w:ascii="Times New Roman" w:hAnsi="Times New Roman" w:cs="Times New Roman"/>
          <w:sz w:val="24"/>
          <w:szCs w:val="24"/>
        </w:rPr>
        <w:t xml:space="preserve"> comprendidas en los acuerdos de la UE.</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Asimismo, en los acuerdos de libre comercio de la UE, las principales normas sobre protección de la inversión se redactan de forma pormenorizada y precisa, en particular dejando claro que se preserva el derecho de los Estados a regular.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En este contexto, se aclaran dos disposiciones fu</w:t>
      </w:r>
      <w:r>
        <w:rPr>
          <w:rFonts w:ascii="Times New Roman" w:hAnsi="Times New Roman" w:cs="Times New Roman"/>
          <w:sz w:val="24"/>
          <w:szCs w:val="24"/>
        </w:rPr>
        <w:t xml:space="preserve">ndamentales: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En primer lugar, la “expropiación indirecta”</w:t>
      </w:r>
      <w:r w:rsidRPr="00EB361F">
        <w:rPr>
          <w:rFonts w:ascii="Times New Roman" w:hAnsi="Times New Roman" w:cs="Times New Roman"/>
          <w:sz w:val="24"/>
          <w:szCs w:val="24"/>
        </w:rPr>
        <w:t xml:space="preserve"> constituye una de las disposiciones más polémicas del sistema de protección de la inversión. La expropiación indirecta se da cuando las medidas del gobierno, si bien no arrebatan la propiedad directamente, tienen precisamente el efecto de restringirla (por ejemplo, la retirada de una licencia necesaria para el funcionamiento de una fábrica). Algunos inversores han utilizado esta disposición </w:t>
      </w:r>
      <w:r w:rsidRPr="00EB361F">
        <w:rPr>
          <w:rFonts w:ascii="Times New Roman" w:hAnsi="Times New Roman" w:cs="Times New Roman"/>
          <w:sz w:val="24"/>
          <w:szCs w:val="24"/>
        </w:rPr>
        <w:lastRenderedPageBreak/>
        <w:t xml:space="preserve">para impugnar las prohibiciones impuestas por las autoridades públicas por motivos de salud de los productos químicos o la introducción de una legislación medioambiental más estricta. Los fututos acuerdos de la UE comprenderán un conjunto pormenorizado de disposiciones que servirán de guía para que los árbitros sepan cómo decidir si una medida del gobierno constituye o no una expropiación indirecta, de manera que se prevenga un uso indebido del sistema.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En particular, cuando el Estado vela por el interés público de forma no discriminatoria, el derecho del Estado a regular prevalecerá sobre la repercusión económica que tales medidas tienen en el inversor. Estas aclaraciones tan necesarias garantizarán que las empresas no puedan ser compensadas por el simple hecho de que sus ingresos hayan disminuido por las repercusiones de la legislación promulgada en aras de alcanzar un objetivo de orden público. La Comisión ha negociado disposiciones con Canadá y Singapur para dejar esto claro, y el idioma también se inc</w:t>
      </w:r>
      <w:r>
        <w:rPr>
          <w:rFonts w:ascii="Times New Roman" w:hAnsi="Times New Roman" w:cs="Times New Roman"/>
          <w:sz w:val="24"/>
          <w:szCs w:val="24"/>
        </w:rPr>
        <w:t xml:space="preserve">luirá en los futuros acuerdos. </w:t>
      </w:r>
    </w:p>
    <w:p w:rsidR="000369FD" w:rsidRPr="00EB361F"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En segundo lugar, la norma d</w:t>
      </w:r>
      <w:r>
        <w:rPr>
          <w:rFonts w:ascii="Times New Roman" w:hAnsi="Times New Roman" w:cs="Times New Roman"/>
          <w:sz w:val="24"/>
          <w:szCs w:val="24"/>
        </w:rPr>
        <w:t>el “trato justo y equitativo”</w:t>
      </w:r>
      <w:r w:rsidRPr="00EB361F">
        <w:rPr>
          <w:rFonts w:ascii="Times New Roman" w:hAnsi="Times New Roman" w:cs="Times New Roman"/>
          <w:sz w:val="24"/>
          <w:szCs w:val="24"/>
        </w:rPr>
        <w:t xml:space="preserve">, a la que tanto recurren los inversores, no está definida con claridad en el Derecho internacional. Por ello, los tribunales han tenido un amplio margen de maniobra para interpretar este principio, de tal forma que se ha considerado que otorga demasiados o muy pocos derechos a los inversores. En los acuerdos de la UE, la norma establecerá con precisión qué acciones no están permitidas, entre otras, cuestiones como la arbitrariedad manifiesta, el trato abusivo (coerción, intimidación o acoso) o el incumplimiento de los principios fundamentales del debido proceso. </w:t>
      </w:r>
      <w:r>
        <w:rPr>
          <w:rFonts w:ascii="Times New Roman" w:hAnsi="Times New Roman" w:cs="Times New Roman"/>
          <w:sz w:val="24"/>
          <w:szCs w:val="24"/>
        </w:rPr>
        <w:t>Estos elementos relativos a un “trato justo y equitativo”</w:t>
      </w:r>
      <w:r w:rsidRPr="00EB361F">
        <w:rPr>
          <w:rFonts w:ascii="Times New Roman" w:hAnsi="Times New Roman" w:cs="Times New Roman"/>
          <w:sz w:val="24"/>
          <w:szCs w:val="24"/>
        </w:rPr>
        <w:t xml:space="preserve"> se definen con exactitud en los textos de Canadá y Singapur, y así se hará en los futuros tratados de la UE.</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2. Mejorar el funcionamiento del sistema de solución de controversias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Prevenir que los inversores presenten varias demandas o demandas de carácter frívolo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En primer lugar, la UE prohibirá que se presenten dos tipos de demandas al mismo tiempo ante diferentes tribunales. Evitar la presentación paralela de demandas impedirá que los inversores puedan ganar dos veces, además de prevenir una situación en la que dos tribunales diferentes fallen de manera diversa basándose en los mismos hechos.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A fin de disuadir </w:t>
      </w:r>
      <w:r>
        <w:rPr>
          <w:rFonts w:ascii="Times New Roman" w:hAnsi="Times New Roman" w:cs="Times New Roman"/>
          <w:sz w:val="24"/>
          <w:szCs w:val="24"/>
        </w:rPr>
        <w:t>de la presentación de demandas “desesperadas”</w:t>
      </w:r>
      <w:r w:rsidRPr="00EB361F">
        <w:rPr>
          <w:rFonts w:ascii="Times New Roman" w:hAnsi="Times New Roman" w:cs="Times New Roman"/>
          <w:sz w:val="24"/>
          <w:szCs w:val="24"/>
        </w:rPr>
        <w:t xml:space="preserve"> y frívolas, la UE ha acordado disposiciones para permitir que los tribunales desestimen tales demandas con rapidez y para exigir que todos los gastos procesales los sufrague la parte vencida. En el seno del sistema existente, en algunos casos, incluso si el Estado gana el caso, el inversor tendrá que pagar los gastos procesales, que pueden ser bastante altos. Si el inversor ha de pagar los gastos procesales de todas las partes en caso de que pierda el caso, se les d</w:t>
      </w:r>
      <w:r>
        <w:rPr>
          <w:rFonts w:ascii="Times New Roman" w:hAnsi="Times New Roman" w:cs="Times New Roman"/>
          <w:sz w:val="24"/>
          <w:szCs w:val="24"/>
        </w:rPr>
        <w:t>isuadirá de presentar demandas “desesperadas”</w:t>
      </w:r>
      <w:r w:rsidRPr="00EB361F">
        <w:rPr>
          <w:rFonts w:ascii="Times New Roman" w:hAnsi="Times New Roman" w:cs="Times New Roman"/>
          <w:sz w:val="24"/>
          <w:szCs w:val="24"/>
        </w:rPr>
        <w:t xml:space="preserve">. </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Dotar al sistema de arbitraje de mayor transparencia</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En primer lugar, la UE ha presionado con éxito para conseguir más transparencia a escala internacional. La UE ha desempeñado una función fundamental en las negociaciones Comisión de las Naciones Unidas para el Derecho Mercantil Internacional (CNUDMI), donde los países han acordado normas sobre la transparencia de los procedimientos de inversión internacionales. Estas normas garantizan la transparencia de los procedimientos en los tribunales internacionales. Asimismo, las normas prevén la publicación de documentos, conceder acceso a las audiencias y permitir que las partes interesadas (como </w:t>
      </w:r>
      <w:r w:rsidRPr="00EB361F">
        <w:rPr>
          <w:rFonts w:ascii="Times New Roman" w:hAnsi="Times New Roman" w:cs="Times New Roman"/>
          <w:sz w:val="24"/>
          <w:szCs w:val="24"/>
        </w:rPr>
        <w:lastRenderedPageBreak/>
        <w:t>las ONG defensoras del medio ambiente) presenten conclusiones en un determinado asunto.</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En segundo lugar, la UE ya ha introducido estas obligaciones sobre transparencia de la CNUDMI en su acuerdo con Canadá y promoverá la inclusión de disposiciones similares en otros acuerdos.</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Gestionar los conflictos de intereses y de coherencia de los laudos arbitrales</w:t>
      </w:r>
    </w:p>
    <w:p w:rsidR="000369FD" w:rsidRPr="00EB361F"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La UE ha introducido un código de conducta que establece obligaciones específicas y vinculantes para los árbitros. Dicho código de conducta ya es una realidad en el acuerdo negociado con Canadá, y la UE promoverá su inclusión en los futuros acuerdos sobre inversiones. Estas obligaciones abarcarán conflictos de intereses como cuestiones más amplias sobre la ética de los árbitros, es decir, la forma en que deberían actuar en situaciones concretas.</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La UE ha incluido en su acuerdo comercial co</w:t>
      </w:r>
      <w:r>
        <w:rPr>
          <w:rFonts w:ascii="Times New Roman" w:hAnsi="Times New Roman" w:cs="Times New Roman"/>
          <w:sz w:val="24"/>
          <w:szCs w:val="24"/>
        </w:rPr>
        <w:t>n Canadá una lista de personas -</w:t>
      </w:r>
      <w:r w:rsidRPr="00EB361F">
        <w:rPr>
          <w:rFonts w:ascii="Times New Roman" w:hAnsi="Times New Roman" w:cs="Times New Roman"/>
          <w:sz w:val="24"/>
          <w:szCs w:val="24"/>
        </w:rPr>
        <w:t xml:space="preserve">sujeta a la </w:t>
      </w:r>
      <w:r>
        <w:rPr>
          <w:rFonts w:ascii="Times New Roman" w:hAnsi="Times New Roman" w:cs="Times New Roman"/>
          <w:sz w:val="24"/>
          <w:szCs w:val="24"/>
        </w:rPr>
        <w:t>aprobación de la UE y de Canadá-</w:t>
      </w:r>
      <w:r w:rsidRPr="00EB361F">
        <w:rPr>
          <w:rFonts w:ascii="Times New Roman" w:hAnsi="Times New Roman" w:cs="Times New Roman"/>
          <w:sz w:val="24"/>
          <w:szCs w:val="24"/>
        </w:rPr>
        <w:t xml:space="preserve"> que pueden actuar como árbitros en un litigio particular. Estas personas se seleccionarán en función de su experiencia y deberán atenerse al código de conducta. De esta forma, se eliminará el riesgo de actuar conforme a intereses personales. Tratará de acordar listas similares con otros socios con los que negocie. Asimismo, la UE pretende crear un mecanismo de apelación, también como un nuevo elemento del sistema de solución de controversias, a efectos de garantizar la coherencia y reforzar la legitimidad del sistema sometiendo los laudos a revisión.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Introducir salvaguardias para las Partes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De común acuerdo con Canadá, la UE ha aprobado cláusulas que permiten a los países suscriptores de un acuerdo llegar a un consenso de forma conjunta acerca de cómo interpretar el acuerdo. Estas cláusulas permitirían al país anfitrión del inversor presentar conclusiones en un determinado asunto en los procedimientos en curso. Se trata de salvaguardias adicionales, que permiten a las Partes influir en las interpretaciones y corregir las posibles interpretaciones incorrectas por parte de los tribunales, ya que ello permitirá a los Estados influir en la forma en que se interpretan las disposiciones relativas a las inversiones.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Hechos y cifras sobre el sistema de solución de controversias entre inversor y Estado </w:t>
      </w:r>
    </w:p>
    <w:p w:rsidR="000369FD" w:rsidRDefault="00F440B1"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0369FD" w:rsidRPr="00EB361F">
        <w:rPr>
          <w:rFonts w:ascii="Times New Roman" w:hAnsi="Times New Roman" w:cs="Times New Roman"/>
          <w:sz w:val="24"/>
          <w:szCs w:val="24"/>
        </w:rPr>
        <w:t>según las estadís</w:t>
      </w:r>
      <w:r>
        <w:rPr>
          <w:rFonts w:ascii="Times New Roman" w:hAnsi="Times New Roman" w:cs="Times New Roman"/>
          <w:sz w:val="24"/>
          <w:szCs w:val="24"/>
        </w:rPr>
        <w:t>ticas recabadas por la UNCTAD)</w:t>
      </w:r>
      <w:r w:rsidR="000369FD" w:rsidRPr="00EB361F">
        <w:rPr>
          <w:rFonts w:ascii="Times New Roman" w:hAnsi="Times New Roman" w:cs="Times New Roman"/>
          <w:sz w:val="24"/>
          <w:szCs w:val="24"/>
        </w:rPr>
        <w:t xml:space="preserve">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Uso de las disposiciones sobre el sistema de solución de controversias entre inversor y Estado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De todos los 154 casos (conocidos) atendidos con el sistema de solución de controversias entre inversor y </w:t>
      </w:r>
      <w:r>
        <w:rPr>
          <w:rFonts w:ascii="Times New Roman" w:hAnsi="Times New Roman" w:cs="Times New Roman"/>
          <w:sz w:val="24"/>
          <w:szCs w:val="24"/>
        </w:rPr>
        <w:t xml:space="preserve">Estado (fallados y pendientes):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El 24 % de los casos los presentaron inversores de l</w:t>
      </w:r>
      <w:r>
        <w:rPr>
          <w:rFonts w:ascii="Times New Roman" w:hAnsi="Times New Roman" w:cs="Times New Roman"/>
          <w:sz w:val="24"/>
          <w:szCs w:val="24"/>
        </w:rPr>
        <w:t>os Estados Unidos (124 casos).</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B361F">
        <w:rPr>
          <w:rFonts w:ascii="Times New Roman" w:hAnsi="Times New Roman" w:cs="Times New Roman"/>
          <w:sz w:val="24"/>
          <w:szCs w:val="24"/>
        </w:rPr>
        <w:t xml:space="preserve"> El 26 % de los casos los presentaron inversores de la UE (al menos 132 casos)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NL 50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lastRenderedPageBreak/>
        <w:t xml:space="preserve">UK 30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DE 27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FR 7 Otros Estados miembros de la UE: 18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Las cifras de los últimos cinco años (2008-2012) revelan un fuerte aumento de las demandas presentadas por inversores de la UE. De los 214 casos (conocidos) gestionados con el sistema de solución de controversias entre inversor y Estado a escala mundial para este periodo, los inversores de la UE representaban el 52 % de los casos (113 casos). De estos 113 casos, el 27 % de ellos eran intraeuropeos (según los CBI: 19) y según los casos del Tratado sobre la Carta de la Energía (12).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El aumento del uso que los inversores de la UE hacen del sistema de solución de controversias entre inversor y Estado es notable según las cifras de las recientes incoaciones de procesos judiciales. De los 52 nuevos casos incoados </w:t>
      </w:r>
      <w:r>
        <w:rPr>
          <w:rFonts w:ascii="Times New Roman" w:hAnsi="Times New Roman" w:cs="Times New Roman"/>
          <w:sz w:val="24"/>
          <w:szCs w:val="24"/>
        </w:rPr>
        <w:t xml:space="preserve">en 2012 (pendientes de fallo):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Inversores de la UE</w:t>
      </w:r>
      <w:r>
        <w:rPr>
          <w:rFonts w:ascii="Times New Roman" w:hAnsi="Times New Roman" w:cs="Times New Roman"/>
          <w:sz w:val="24"/>
          <w:szCs w:val="24"/>
        </w:rPr>
        <w:t xml:space="preserve">: 60 % de las incoaciones (31)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Inversores de</w:t>
      </w:r>
      <w:r>
        <w:rPr>
          <w:rFonts w:ascii="Times New Roman" w:hAnsi="Times New Roman" w:cs="Times New Roman"/>
          <w:sz w:val="24"/>
          <w:szCs w:val="24"/>
        </w:rPr>
        <w:t xml:space="preserve"> los Estados Unidos: 7,7 % (4)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Rusia: 5,8 % (3)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Canadá: 3,8 % (2)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Otros (Australia, Barbados, China, Egipto y Turquía): 22,7 % (12)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Instrumentos más utilizados en el sistema de solución de controve</w:t>
      </w:r>
      <w:r>
        <w:rPr>
          <w:rFonts w:ascii="Times New Roman" w:hAnsi="Times New Roman" w:cs="Times New Roman"/>
          <w:sz w:val="24"/>
          <w:szCs w:val="24"/>
        </w:rPr>
        <w:t xml:space="preserve">rsias entre inversor y Estado: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TLCAN: 66 casos (19 contra los Estados Unidos, 28 contra Canadá y 19 contra M</w:t>
      </w:r>
      <w:r>
        <w:rPr>
          <w:rFonts w:ascii="Times New Roman" w:hAnsi="Times New Roman" w:cs="Times New Roman"/>
          <w:sz w:val="24"/>
          <w:szCs w:val="24"/>
        </w:rPr>
        <w:t xml:space="preserve">éxico) (hasta finales de 2010)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Tratado sobre la Carta de la Energía: 37</w:t>
      </w:r>
      <w:r>
        <w:rPr>
          <w:rFonts w:ascii="Times New Roman" w:hAnsi="Times New Roman" w:cs="Times New Roman"/>
          <w:sz w:val="24"/>
          <w:szCs w:val="24"/>
        </w:rPr>
        <w:t xml:space="preserve"> casos (hasta finales de 2013) </w:t>
      </w:r>
    </w:p>
    <w:p w:rsidR="000369FD"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B361F">
        <w:rPr>
          <w:rFonts w:ascii="Times New Roman" w:hAnsi="Times New Roman" w:cs="Times New Roman"/>
          <w:sz w:val="24"/>
          <w:szCs w:val="24"/>
        </w:rPr>
        <w:t xml:space="preserve"> CBI Argentina-Estados Unidos: 17 </w:t>
      </w:r>
      <w:r>
        <w:rPr>
          <w:rFonts w:ascii="Times New Roman" w:hAnsi="Times New Roman" w:cs="Times New Roman"/>
          <w:sz w:val="24"/>
          <w:szCs w:val="24"/>
        </w:rPr>
        <w:t>casos (hasta finales de 2012): -</w:t>
      </w:r>
      <w:r w:rsidRPr="00EB361F">
        <w:rPr>
          <w:rFonts w:ascii="Times New Roman" w:hAnsi="Times New Roman" w:cs="Times New Roman"/>
          <w:sz w:val="24"/>
          <w:szCs w:val="24"/>
        </w:rPr>
        <w:t xml:space="preserve"> CBI con Argentina, Ecuador y Venezuela: 109 casos (hasta finales de 2012)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 xml:space="preserve">En el marco de las disposiciones sobre solución de controversias del Tratado sobre la Carta de la Energía, los inversores de la UE han incoado la mayoría de los casos, lo que representa casi el 80 % de todos los casos, a saber, 29 casos de un total de 37 demandas presentadas en el periodo 2001-2013: </w:t>
      </w:r>
    </w:p>
    <w:p w:rsidR="000369FD" w:rsidRDefault="000369FD" w:rsidP="000369FD">
      <w:pPr>
        <w:spacing w:line="240" w:lineRule="auto"/>
        <w:jc w:val="both"/>
        <w:rPr>
          <w:rFonts w:ascii="Times New Roman" w:hAnsi="Times New Roman" w:cs="Times New Roman"/>
          <w:sz w:val="24"/>
          <w:szCs w:val="24"/>
        </w:rPr>
      </w:pPr>
      <w:r w:rsidRPr="00EB361F">
        <w:rPr>
          <w:rFonts w:ascii="Times New Roman" w:hAnsi="Times New Roman" w:cs="Times New Roman"/>
          <w:sz w:val="24"/>
          <w:szCs w:val="24"/>
        </w:rPr>
        <w:t>Reino Unido: 5, Países Bajos: 5, Chipre: 5, Suecia: 3, Polonia: 2, Austria: 2, Italia: 1, Croacia: 1, Francia: 1, Bélgica: 1, Grecia: 1, Letonia: 1 y República Checa: 1</w:t>
      </w:r>
    </w:p>
    <w:p w:rsidR="000369FD" w:rsidRDefault="000369FD" w:rsidP="000369FD">
      <w:pPr>
        <w:autoSpaceDE w:val="0"/>
        <w:autoSpaceDN w:val="0"/>
        <w:adjustRightInd w:val="0"/>
        <w:spacing w:after="0" w:line="240" w:lineRule="auto"/>
        <w:rPr>
          <w:rFonts w:ascii="TimesNewRoman" w:hAnsi="TimesNewRoman" w:cs="TimesNewRoman"/>
          <w:color w:val="000000"/>
          <w:sz w:val="24"/>
          <w:szCs w:val="24"/>
        </w:rPr>
      </w:pPr>
      <w:r>
        <w:rPr>
          <w:rFonts w:ascii="TimesNewRoman" w:hAnsi="TimesNewRoman" w:cs="TimesNewRoman"/>
          <w:color w:val="000000"/>
          <w:sz w:val="24"/>
          <w:szCs w:val="24"/>
        </w:rPr>
        <w:t xml:space="preserve">- </w:t>
      </w:r>
      <w:r w:rsidRPr="005D1B4D">
        <w:rPr>
          <w:rFonts w:ascii="TimesNewRoman" w:hAnsi="TimesNewRoman" w:cs="TimesNewRoman"/>
          <w:color w:val="000000"/>
          <w:sz w:val="24"/>
          <w:szCs w:val="24"/>
          <w:u w:val="single"/>
        </w:rPr>
        <w:t>Ventajas de la ATCI para las PYME</w:t>
      </w:r>
      <w:r>
        <w:rPr>
          <w:rFonts w:ascii="TimesNewRoman" w:hAnsi="TimesNewRoman" w:cs="TimesNewRoman"/>
          <w:color w:val="000000"/>
          <w:sz w:val="24"/>
          <w:szCs w:val="24"/>
        </w:rPr>
        <w:t xml:space="preserve"> </w:t>
      </w:r>
    </w:p>
    <w:p w:rsidR="000369FD" w:rsidRDefault="000369FD" w:rsidP="000369FD">
      <w:pPr>
        <w:autoSpaceDE w:val="0"/>
        <w:autoSpaceDN w:val="0"/>
        <w:adjustRightInd w:val="0"/>
        <w:spacing w:after="0" w:line="240" w:lineRule="auto"/>
        <w:rPr>
          <w:rFonts w:ascii="TimesNewRoman" w:hAnsi="TimesNewRoman" w:cs="TimesNewRoman"/>
          <w:color w:val="000000"/>
          <w:sz w:val="24"/>
          <w:szCs w:val="24"/>
        </w:rPr>
      </w:pPr>
      <w:r w:rsidRPr="00F440B1">
        <w:rPr>
          <w:rFonts w:ascii="TimesNewRoman" w:hAnsi="TimesNewRoman" w:cs="TimesNewRoman"/>
          <w:sz w:val="24"/>
          <w:szCs w:val="24"/>
        </w:rPr>
        <w:t>(</w:t>
      </w:r>
      <w:hyperlink r:id="rId6" w:history="1">
        <w:r w:rsidRPr="00F440B1">
          <w:rPr>
            <w:rStyle w:val="Hipervnculo"/>
            <w:rFonts w:ascii="TimesNewRoman" w:hAnsi="TimesNewRoman" w:cs="TimesNewRoman"/>
            <w:color w:val="auto"/>
            <w:sz w:val="24"/>
            <w:szCs w:val="24"/>
            <w:u w:val="none"/>
          </w:rPr>
          <w:t>http://ec.europa.eu/spain/pdf/ttip/ue</w:t>
        </w:r>
      </w:hyperlink>
      <w:r>
        <w:rPr>
          <w:rFonts w:ascii="TimesNewRoman" w:hAnsi="TimesNewRoman" w:cs="TimesNewRoman"/>
          <w:color w:val="000000"/>
          <w:sz w:val="24"/>
          <w:szCs w:val="24"/>
        </w:rPr>
        <w:t xml:space="preserve"> </w:t>
      </w:r>
      <w:r w:rsidRPr="00715B09">
        <w:rPr>
          <w:rFonts w:ascii="TimesNewRoman" w:hAnsi="TimesNewRoman" w:cs="TimesNewRoman"/>
          <w:color w:val="000000"/>
          <w:sz w:val="24"/>
          <w:szCs w:val="24"/>
        </w:rPr>
        <w:t>oportunidades-pymes.pdf</w:t>
      </w:r>
      <w:r>
        <w:rPr>
          <w:rFonts w:ascii="TimesNewRoman" w:hAnsi="TimesNewRoman" w:cs="TimesNewRoman"/>
          <w:color w:val="000000"/>
          <w:sz w:val="24"/>
          <w:szCs w:val="24"/>
        </w:rPr>
        <w:t>)</w:t>
      </w:r>
    </w:p>
    <w:p w:rsidR="000369FD" w:rsidRDefault="000369FD" w:rsidP="000369FD">
      <w:pPr>
        <w:autoSpaceDE w:val="0"/>
        <w:autoSpaceDN w:val="0"/>
        <w:adjustRightInd w:val="0"/>
        <w:spacing w:after="0" w:line="240" w:lineRule="auto"/>
        <w:rPr>
          <w:rFonts w:ascii="TimesNewRoman" w:hAnsi="TimesNewRoman" w:cs="TimesNewRoman"/>
          <w:color w:val="000000"/>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r w:rsidRPr="00715B09">
        <w:rPr>
          <w:rFonts w:ascii="TimesNewRoman" w:hAnsi="TimesNewRoman" w:cs="TimesNewRoman"/>
          <w:color w:val="000000"/>
          <w:sz w:val="24"/>
          <w:szCs w:val="24"/>
        </w:rPr>
        <w:t>En la Unión Europea y en los Estados Unidos, las pequeñas y medianas empresas</w:t>
      </w:r>
      <w:r>
        <w:rPr>
          <w:rFonts w:ascii="TimesNewRoman" w:hAnsi="TimesNewRoman" w:cs="TimesNewRoman"/>
          <w:color w:val="000000"/>
          <w:sz w:val="24"/>
          <w:szCs w:val="24"/>
        </w:rPr>
        <w:t xml:space="preserve"> </w:t>
      </w:r>
      <w:r w:rsidRPr="00715B09">
        <w:rPr>
          <w:rFonts w:ascii="TimesNewRoman" w:hAnsi="TimesNewRoman" w:cs="TimesNewRoman"/>
          <w:color w:val="000000"/>
          <w:sz w:val="24"/>
          <w:szCs w:val="24"/>
        </w:rPr>
        <w:t>(PYME) y las empresas emergentes son motore</w:t>
      </w:r>
      <w:r>
        <w:rPr>
          <w:rFonts w:ascii="TimesNewRoman" w:hAnsi="TimesNewRoman" w:cs="TimesNewRoman"/>
          <w:color w:val="000000"/>
          <w:sz w:val="24"/>
          <w:szCs w:val="24"/>
        </w:rPr>
        <w:t xml:space="preserve">s clave del crecimiento y de la </w:t>
      </w:r>
      <w:r w:rsidRPr="00715B09">
        <w:rPr>
          <w:rFonts w:ascii="TimesNewRoman" w:hAnsi="TimesNewRoman" w:cs="TimesNewRoman"/>
          <w:color w:val="000000"/>
          <w:sz w:val="24"/>
          <w:szCs w:val="24"/>
        </w:rPr>
        <w:t>creación de empleo. El 99 % de las emp</w:t>
      </w:r>
      <w:r>
        <w:rPr>
          <w:rFonts w:ascii="TimesNewRoman" w:hAnsi="TimesNewRoman" w:cs="TimesNewRoman"/>
          <w:color w:val="000000"/>
          <w:sz w:val="24"/>
          <w:szCs w:val="24"/>
        </w:rPr>
        <w:t xml:space="preserve">resas europeas y de los EEUU -es decir, más </w:t>
      </w:r>
      <w:r w:rsidRPr="00715B09">
        <w:rPr>
          <w:rFonts w:ascii="TimesNewRoman" w:hAnsi="TimesNewRoman" w:cs="TimesNewRoman"/>
          <w:color w:val="000000"/>
          <w:sz w:val="24"/>
          <w:szCs w:val="24"/>
        </w:rPr>
        <w:t>de 20 millones de empresas en la Unión Europea y 28</w:t>
      </w:r>
      <w:r>
        <w:rPr>
          <w:rFonts w:ascii="TimesNewRoman" w:hAnsi="TimesNewRoman" w:cs="TimesNewRoman"/>
          <w:color w:val="000000"/>
          <w:sz w:val="24"/>
          <w:szCs w:val="24"/>
        </w:rPr>
        <w:t xml:space="preserve"> millones en los Estados Unidos- </w:t>
      </w:r>
      <w:r w:rsidRPr="00715B09">
        <w:rPr>
          <w:rFonts w:ascii="TimesNewRoman" w:hAnsi="TimesNewRoman" w:cs="TimesNewRoman"/>
          <w:color w:val="000000"/>
          <w:sz w:val="24"/>
          <w:szCs w:val="24"/>
        </w:rPr>
        <w:t>son PYME. En la Unión Europea, las PYME representan d</w:t>
      </w:r>
      <w:r>
        <w:rPr>
          <w:rFonts w:ascii="TimesNewRoman" w:hAnsi="TimesNewRoman" w:cs="TimesNewRoman"/>
          <w:color w:val="000000"/>
          <w:sz w:val="24"/>
          <w:szCs w:val="24"/>
        </w:rPr>
        <w:t xml:space="preserve">os tercios de todos los puestos </w:t>
      </w:r>
      <w:r w:rsidRPr="00715B09">
        <w:rPr>
          <w:rFonts w:ascii="TimesNewRoman" w:hAnsi="TimesNewRoman" w:cs="TimesNewRoman"/>
          <w:color w:val="000000"/>
          <w:sz w:val="24"/>
          <w:szCs w:val="24"/>
        </w:rPr>
        <w:t xml:space="preserve">de trabajo del </w:t>
      </w:r>
      <w:r w:rsidRPr="00715B09">
        <w:rPr>
          <w:rFonts w:ascii="TimesNewRoman" w:hAnsi="TimesNewRoman" w:cs="TimesNewRoman"/>
          <w:color w:val="000000"/>
          <w:sz w:val="24"/>
          <w:szCs w:val="24"/>
        </w:rPr>
        <w:lastRenderedPageBreak/>
        <w:t>sector privado y tienen una enorme cap</w:t>
      </w:r>
      <w:r>
        <w:rPr>
          <w:rFonts w:ascii="TimesNewRoman" w:hAnsi="TimesNewRoman" w:cs="TimesNewRoman"/>
          <w:color w:val="000000"/>
          <w:sz w:val="24"/>
          <w:szCs w:val="24"/>
        </w:rPr>
        <w:t xml:space="preserve">acidad para crear empleo. Entre </w:t>
      </w:r>
      <w:r w:rsidRPr="00715B09">
        <w:rPr>
          <w:rFonts w:ascii="TimesNewRoman" w:hAnsi="TimesNewRoman" w:cs="TimesNewRoman"/>
          <w:color w:val="000000"/>
          <w:sz w:val="24"/>
          <w:szCs w:val="24"/>
        </w:rPr>
        <w:t>2002 y 2010, las PYME crearon el 85 % de los nuevos pue</w:t>
      </w:r>
      <w:r>
        <w:rPr>
          <w:rFonts w:ascii="TimesNewRoman" w:hAnsi="TimesNewRoman" w:cs="TimesNewRoman"/>
          <w:color w:val="000000"/>
          <w:sz w:val="24"/>
          <w:szCs w:val="24"/>
        </w:rPr>
        <w:t xml:space="preserve">stos de trabajo. En los últimos </w:t>
      </w:r>
      <w:r w:rsidRPr="00715B09">
        <w:rPr>
          <w:rFonts w:ascii="TimesNewRoman" w:hAnsi="TimesNewRoman" w:cs="TimesNewRoman"/>
          <w:color w:val="000000"/>
          <w:sz w:val="24"/>
          <w:szCs w:val="24"/>
        </w:rPr>
        <w:t>decenios, las pequeñas empresas de los Estados Un</w:t>
      </w:r>
      <w:r>
        <w:rPr>
          <w:rFonts w:ascii="TimesNewRoman" w:hAnsi="TimesNewRoman" w:cs="TimesNewRoman"/>
          <w:color w:val="000000"/>
          <w:sz w:val="24"/>
          <w:szCs w:val="24"/>
        </w:rPr>
        <w:t xml:space="preserve">idos han creado más de la mitad </w:t>
      </w:r>
      <w:r w:rsidRPr="00715B09">
        <w:rPr>
          <w:rFonts w:ascii="TimesNewRoman" w:hAnsi="TimesNewRoman" w:cs="TimesNewRoman"/>
          <w:color w:val="000000"/>
          <w:sz w:val="24"/>
          <w:szCs w:val="24"/>
        </w:rPr>
        <w:t>del total de puestos de trabajo y dos tercios del total de n</w:t>
      </w:r>
      <w:r>
        <w:rPr>
          <w:rFonts w:ascii="TimesNewRoman" w:hAnsi="TimesNewRoman" w:cs="TimesNewRoman"/>
          <w:color w:val="000000"/>
          <w:sz w:val="24"/>
          <w:szCs w:val="24"/>
        </w:rPr>
        <w:t xml:space="preserve">uevos puestos de trabajo netos. </w:t>
      </w:r>
      <w:r w:rsidRPr="00715B09">
        <w:rPr>
          <w:rFonts w:ascii="TimesNewRoman" w:hAnsi="TimesNewRoman" w:cs="TimesNewRoman"/>
          <w:color w:val="000000"/>
          <w:sz w:val="24"/>
          <w:szCs w:val="24"/>
        </w:rPr>
        <w:t>A ambos lados del Atlántico, las PYME son una impo</w:t>
      </w:r>
      <w:r>
        <w:rPr>
          <w:rFonts w:ascii="TimesNewRoman" w:hAnsi="TimesNewRoman" w:cs="TimesNewRoman"/>
          <w:color w:val="000000"/>
          <w:sz w:val="24"/>
          <w:szCs w:val="24"/>
        </w:rPr>
        <w:t xml:space="preserve">rtante fuente de innovación, de </w:t>
      </w:r>
      <w:r w:rsidRPr="00715B09">
        <w:rPr>
          <w:rFonts w:ascii="TimesNewRoman" w:hAnsi="TimesNewRoman" w:cs="TimesNewRoman"/>
          <w:color w:val="000000"/>
          <w:sz w:val="24"/>
          <w:szCs w:val="24"/>
        </w:rPr>
        <w:t>nuevos productos y de nuevos servicios, y ya se benefician del comercio transatlántico.</w:t>
      </w: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La Asociación Transatlántica de Comercio e Inversión creará nuevas oportunidades tanto en los Es</w:t>
      </w:r>
      <w:r>
        <w:rPr>
          <w:rFonts w:ascii="TimesNewRoman" w:hAnsi="TimesNewRoman" w:cs="TimesNewRoman"/>
          <w:sz w:val="24"/>
          <w:szCs w:val="24"/>
        </w:rPr>
        <w:t xml:space="preserve">tados Unidos </w:t>
      </w:r>
      <w:r w:rsidRPr="00715B09">
        <w:rPr>
          <w:rFonts w:ascii="TimesNewRoman" w:hAnsi="TimesNewRoman" w:cs="TimesNewRoman"/>
          <w:sz w:val="24"/>
          <w:szCs w:val="24"/>
        </w:rPr>
        <w:t>como en la UE. Estas oportunidades serán especialmente valiosas para las PYME, dado</w:t>
      </w:r>
      <w:r>
        <w:rPr>
          <w:rFonts w:ascii="TimesNewRoman" w:hAnsi="TimesNewRoman" w:cs="TimesNewRoman"/>
          <w:sz w:val="24"/>
          <w:szCs w:val="24"/>
        </w:rPr>
        <w:t xml:space="preserve"> que los obstáculos comerciales </w:t>
      </w:r>
      <w:r w:rsidRPr="00715B09">
        <w:rPr>
          <w:rFonts w:ascii="TimesNewRoman" w:hAnsi="TimesNewRoman" w:cs="TimesNewRoman"/>
          <w:sz w:val="24"/>
          <w:szCs w:val="24"/>
        </w:rPr>
        <w:t>tienden a suponer una carga desproporcionada para las empresas más</w:t>
      </w:r>
      <w:r>
        <w:rPr>
          <w:rFonts w:ascii="TimesNewRoman" w:hAnsi="TimesNewRoman" w:cs="TimesNewRoman"/>
          <w:sz w:val="24"/>
          <w:szCs w:val="24"/>
        </w:rPr>
        <w:t xml:space="preserve"> pequeñas, que no tienen tantos </w:t>
      </w:r>
      <w:r w:rsidRPr="00715B09">
        <w:rPr>
          <w:rFonts w:ascii="TimesNewRoman" w:hAnsi="TimesNewRoman" w:cs="TimesNewRoman"/>
          <w:sz w:val="24"/>
          <w:szCs w:val="24"/>
        </w:rPr>
        <w:t>recursos para superarlos como las grandes.</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Entre los beneficios potenciales de la ATCI para las PYME figuran los siguientes:</w:t>
      </w: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xml:space="preserve">• Aranceles. Existen millones de pequeños fabricantes y productores en </w:t>
      </w:r>
      <w:r>
        <w:rPr>
          <w:rFonts w:ascii="TimesNewRoman" w:hAnsi="TimesNewRoman" w:cs="TimesNewRoman"/>
          <w:sz w:val="24"/>
          <w:szCs w:val="24"/>
        </w:rPr>
        <w:t xml:space="preserve">Europa y en los Estados Unidos, </w:t>
      </w:r>
      <w:r w:rsidRPr="00715B09">
        <w:rPr>
          <w:rFonts w:ascii="TimesNewRoman" w:hAnsi="TimesNewRoman" w:cs="TimesNewRoman"/>
          <w:sz w:val="24"/>
          <w:szCs w:val="24"/>
        </w:rPr>
        <w:t>que producen aproximadamente el 30 % de los productos que se exportan de am</w:t>
      </w:r>
      <w:r>
        <w:rPr>
          <w:rFonts w:ascii="TimesNewRoman" w:hAnsi="TimesNewRoman" w:cs="TimesNewRoman"/>
          <w:sz w:val="24"/>
          <w:szCs w:val="24"/>
        </w:rPr>
        <w:t xml:space="preserve">bos mercados. Como consecuencia </w:t>
      </w:r>
      <w:r w:rsidRPr="00715B09">
        <w:rPr>
          <w:rFonts w:ascii="TimesNewRoman" w:hAnsi="TimesNewRoman" w:cs="TimesNewRoman"/>
          <w:sz w:val="24"/>
          <w:szCs w:val="24"/>
        </w:rPr>
        <w:t xml:space="preserve">de ello, las PYME están muy bien situadas para beneficiarse de </w:t>
      </w:r>
      <w:r>
        <w:rPr>
          <w:rFonts w:ascii="TimesNewRoman" w:hAnsi="TimesNewRoman" w:cs="TimesNewRoman"/>
          <w:sz w:val="24"/>
          <w:szCs w:val="24"/>
        </w:rPr>
        <w:t xml:space="preserve">la eliminación de aranceles que </w:t>
      </w:r>
      <w:r w:rsidRPr="00715B09">
        <w:rPr>
          <w:rFonts w:ascii="TimesNewRoman" w:hAnsi="TimesNewRoman" w:cs="TimesNewRoman"/>
          <w:sz w:val="24"/>
          <w:szCs w:val="24"/>
        </w:rPr>
        <w:t>pretende lograr gracias a la ATCI. En aquellos sectores en que los aranceles son todavía relativamente elevados,</w:t>
      </w:r>
      <w:r>
        <w:rPr>
          <w:rFonts w:ascii="TimesNewRoman" w:hAnsi="TimesNewRoman" w:cs="TimesNewRoman"/>
          <w:sz w:val="24"/>
          <w:szCs w:val="24"/>
        </w:rPr>
        <w:t xml:space="preserve"> </w:t>
      </w:r>
      <w:r w:rsidRPr="00715B09">
        <w:rPr>
          <w:rFonts w:ascii="TimesNewRoman" w:hAnsi="TimesNewRoman" w:cs="TimesNewRoman"/>
          <w:sz w:val="24"/>
          <w:szCs w:val="24"/>
        </w:rPr>
        <w:t>los beneficios podrían ser considerables. En el competitivo mercado m</w:t>
      </w:r>
      <w:r>
        <w:rPr>
          <w:rFonts w:ascii="TimesNewRoman" w:hAnsi="TimesNewRoman" w:cs="TimesNewRoman"/>
          <w:sz w:val="24"/>
          <w:szCs w:val="24"/>
        </w:rPr>
        <w:t xml:space="preserve">undial actual, incluso pequeños </w:t>
      </w:r>
      <w:r w:rsidRPr="00715B09">
        <w:rPr>
          <w:rFonts w:ascii="TimesNewRoman" w:hAnsi="TimesNewRoman" w:cs="TimesNewRoman"/>
          <w:sz w:val="24"/>
          <w:szCs w:val="24"/>
        </w:rPr>
        <w:t>aumentos en los costes de un producto debidos a los aranceles pue</w:t>
      </w:r>
      <w:r>
        <w:rPr>
          <w:rFonts w:ascii="TimesNewRoman" w:hAnsi="TimesNewRoman" w:cs="TimesNewRoman"/>
          <w:sz w:val="24"/>
          <w:szCs w:val="24"/>
        </w:rPr>
        <w:t xml:space="preserve">den suponer la diferencia entre </w:t>
      </w:r>
      <w:r w:rsidRPr="00715B09">
        <w:rPr>
          <w:rFonts w:ascii="TimesNewRoman" w:hAnsi="TimesNewRoman" w:cs="TimesNewRoman"/>
          <w:sz w:val="24"/>
          <w:szCs w:val="24"/>
        </w:rPr>
        <w:t xml:space="preserve">vender o no vender para las PYME. En algunos casos, la supresión de los </w:t>
      </w:r>
      <w:r>
        <w:rPr>
          <w:rFonts w:ascii="TimesNewRoman" w:hAnsi="TimesNewRoman" w:cs="TimesNewRoman"/>
          <w:sz w:val="24"/>
          <w:szCs w:val="24"/>
        </w:rPr>
        <w:t xml:space="preserve">aranceles podría permitir a las </w:t>
      </w:r>
      <w:r w:rsidRPr="00715B09">
        <w:rPr>
          <w:rFonts w:ascii="TimesNewRoman" w:hAnsi="TimesNewRoman" w:cs="TimesNewRoman"/>
          <w:sz w:val="24"/>
          <w:szCs w:val="24"/>
        </w:rPr>
        <w:t>PYME vender sus productos al otro lado del Atlántico por primera vez.</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Cuestiones de reglamentación y barreras no arance</w:t>
      </w:r>
      <w:r>
        <w:rPr>
          <w:rFonts w:ascii="TimesNewRoman" w:hAnsi="TimesNewRoman" w:cs="TimesNewRoman"/>
          <w:sz w:val="24"/>
          <w:szCs w:val="24"/>
        </w:rPr>
        <w:t xml:space="preserve">larias. Las pequeñas empresas a </w:t>
      </w:r>
      <w:r w:rsidRPr="00715B09">
        <w:rPr>
          <w:rFonts w:ascii="TimesNewRoman" w:hAnsi="TimesNewRoman" w:cs="TimesNewRoman"/>
          <w:sz w:val="24"/>
          <w:szCs w:val="24"/>
        </w:rPr>
        <w:t>ambos lados del Atlántico pueden verse desproporcionadamente afectadas po</w:t>
      </w:r>
      <w:r>
        <w:rPr>
          <w:rFonts w:ascii="TimesNewRoman" w:hAnsi="TimesNewRoman" w:cs="TimesNewRoman"/>
          <w:sz w:val="24"/>
          <w:szCs w:val="24"/>
        </w:rPr>
        <w:t xml:space="preserve">r las barreras no arancelarias, </w:t>
      </w:r>
      <w:r w:rsidRPr="00715B09">
        <w:rPr>
          <w:rFonts w:ascii="TimesNewRoman" w:hAnsi="TimesNewRoman" w:cs="TimesNewRoman"/>
          <w:sz w:val="24"/>
          <w:szCs w:val="24"/>
        </w:rPr>
        <w:t xml:space="preserve">que pueden adoptar la forma de requisitos exigidos </w:t>
      </w:r>
      <w:r>
        <w:rPr>
          <w:rFonts w:ascii="TimesNewRoman" w:hAnsi="TimesNewRoman" w:cs="TimesNewRoman"/>
          <w:sz w:val="24"/>
          <w:szCs w:val="24"/>
        </w:rPr>
        <w:t xml:space="preserve">en la frontera o de obstáculos “internos”, tales como </w:t>
      </w:r>
      <w:r w:rsidRPr="00715B09">
        <w:rPr>
          <w:rFonts w:ascii="TimesNewRoman" w:hAnsi="TimesNewRoman" w:cs="TimesNewRoman"/>
          <w:sz w:val="24"/>
          <w:szCs w:val="24"/>
        </w:rPr>
        <w:t>reglamentaciones innecesariamente complicadas o costosas que pueden r</w:t>
      </w:r>
      <w:r>
        <w:rPr>
          <w:rFonts w:ascii="TimesNewRoman" w:hAnsi="TimesNewRoman" w:cs="TimesNewRoman"/>
          <w:sz w:val="24"/>
          <w:szCs w:val="24"/>
        </w:rPr>
        <w:t xml:space="preserve">estringir el comercio y limitar </w:t>
      </w:r>
      <w:r w:rsidRPr="00715B09">
        <w:rPr>
          <w:rFonts w:ascii="TimesNewRoman" w:hAnsi="TimesNewRoman" w:cs="TimesNewRoman"/>
          <w:sz w:val="24"/>
          <w:szCs w:val="24"/>
        </w:rPr>
        <w:t>la innovación. El respeto de esos requisitos puede convertirse en todo un r</w:t>
      </w:r>
      <w:r>
        <w:rPr>
          <w:rFonts w:ascii="TimesNewRoman" w:hAnsi="TimesNewRoman" w:cs="TimesNewRoman"/>
          <w:sz w:val="24"/>
          <w:szCs w:val="24"/>
        </w:rPr>
        <w:t xml:space="preserve">eto y exigir la movilización de </w:t>
      </w:r>
      <w:r w:rsidRPr="00715B09">
        <w:rPr>
          <w:rFonts w:ascii="TimesNewRoman" w:hAnsi="TimesNewRoman" w:cs="TimesNewRoman"/>
          <w:sz w:val="24"/>
          <w:szCs w:val="24"/>
        </w:rPr>
        <w:t>numerosos recursos.</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Un objetivo central y compartido de la ATCI consiste en generar una mayor ap</w:t>
      </w:r>
      <w:r>
        <w:rPr>
          <w:rFonts w:ascii="TimesNewRoman" w:hAnsi="TimesNewRoman" w:cs="TimesNewRoman"/>
          <w:sz w:val="24"/>
          <w:szCs w:val="24"/>
        </w:rPr>
        <w:t xml:space="preserve">ertura y transparencia, reducir </w:t>
      </w:r>
      <w:r w:rsidRPr="00715B09">
        <w:rPr>
          <w:rFonts w:ascii="TimesNewRoman" w:hAnsi="TimesNewRoman" w:cs="TimesNewRoman"/>
          <w:sz w:val="24"/>
          <w:szCs w:val="24"/>
        </w:rPr>
        <w:t>los costes innecesarios y los retrasos administrativos y promover una mayor compatibi</w:t>
      </w:r>
      <w:r>
        <w:rPr>
          <w:rFonts w:ascii="TimesNewRoman" w:hAnsi="TimesNewRoman" w:cs="TimesNewRoman"/>
          <w:sz w:val="24"/>
          <w:szCs w:val="24"/>
        </w:rPr>
        <w:t xml:space="preserve">lidad reglamentaria, alcanzando </w:t>
      </w:r>
      <w:r w:rsidRPr="00715B09">
        <w:rPr>
          <w:rFonts w:ascii="TimesNewRoman" w:hAnsi="TimesNewRoman" w:cs="TimesNewRoman"/>
          <w:sz w:val="24"/>
          <w:szCs w:val="24"/>
        </w:rPr>
        <w:t xml:space="preserve">los niveles de salud, seguridad y protección del medio ambiente que </w:t>
      </w:r>
      <w:r>
        <w:rPr>
          <w:rFonts w:ascii="TimesNewRoman" w:hAnsi="TimesNewRoman" w:cs="TimesNewRoman"/>
          <w:sz w:val="24"/>
          <w:szCs w:val="24"/>
        </w:rPr>
        <w:t xml:space="preserve">cada parte considere apropiados </w:t>
      </w:r>
      <w:r w:rsidRPr="00715B09">
        <w:rPr>
          <w:rFonts w:ascii="TimesNewRoman" w:hAnsi="TimesNewRoman" w:cs="TimesNewRoman"/>
          <w:sz w:val="24"/>
          <w:szCs w:val="24"/>
        </w:rPr>
        <w:t xml:space="preserve">y cumpliendo otros objetivos legítimos de la reglamentación. Además, la ATCI </w:t>
      </w:r>
      <w:r>
        <w:rPr>
          <w:rFonts w:ascii="TimesNewRoman" w:hAnsi="TimesNewRoman" w:cs="TimesNewRoman"/>
          <w:sz w:val="24"/>
          <w:szCs w:val="24"/>
        </w:rPr>
        <w:t xml:space="preserve">tiene por objeto garantizar que </w:t>
      </w:r>
      <w:r w:rsidRPr="00715B09">
        <w:rPr>
          <w:rFonts w:ascii="TimesNewRoman" w:hAnsi="TimesNewRoman" w:cs="TimesNewRoman"/>
          <w:sz w:val="24"/>
          <w:szCs w:val="24"/>
        </w:rPr>
        <w:t>las reglamentaciones se elaboran de manera que sean más eficientes, rentab</w:t>
      </w:r>
      <w:r>
        <w:rPr>
          <w:rFonts w:ascii="TimesNewRoman" w:hAnsi="TimesNewRoman" w:cs="TimesNewRoman"/>
          <w:sz w:val="24"/>
          <w:szCs w:val="24"/>
        </w:rPr>
        <w:t xml:space="preserve">les y compatibles mediante, por </w:t>
      </w:r>
      <w:r w:rsidRPr="00715B09">
        <w:rPr>
          <w:rFonts w:ascii="TimesNewRoman" w:hAnsi="TimesNewRoman" w:cs="TimesNewRoman"/>
          <w:sz w:val="24"/>
          <w:szCs w:val="24"/>
        </w:rPr>
        <w:t>ejemplo, la utilización de las evaluaciones de impacto y la aplicación de buenas prácticas reglamenta</w:t>
      </w:r>
      <w:r>
        <w:rPr>
          <w:rFonts w:ascii="TimesNewRoman" w:hAnsi="TimesNewRoman" w:cs="TimesNewRoman"/>
          <w:sz w:val="24"/>
          <w:szCs w:val="24"/>
        </w:rPr>
        <w:t xml:space="preserve">rias. Los </w:t>
      </w:r>
      <w:r w:rsidRPr="00715B09">
        <w:rPr>
          <w:rFonts w:ascii="TimesNewRoman" w:hAnsi="TimesNewRoman" w:cs="TimesNewRoman"/>
          <w:sz w:val="24"/>
          <w:szCs w:val="24"/>
        </w:rPr>
        <w:t xml:space="preserve">avances conseguidos en este ámbito garantizarán que se tenga en cuenta en </w:t>
      </w:r>
      <w:r>
        <w:rPr>
          <w:rFonts w:ascii="TimesNewRoman" w:hAnsi="TimesNewRoman" w:cs="TimesNewRoman"/>
          <w:sz w:val="24"/>
          <w:szCs w:val="24"/>
        </w:rPr>
        <w:t xml:space="preserve">el proceso de reglamentación la </w:t>
      </w:r>
      <w:r w:rsidRPr="00715B09">
        <w:rPr>
          <w:rFonts w:ascii="TimesNewRoman" w:hAnsi="TimesNewRoman" w:cs="TimesNewRoman"/>
          <w:sz w:val="24"/>
          <w:szCs w:val="24"/>
        </w:rPr>
        <w:t>incidencia sobre las PYME, se reduzcan los costes de las empresas, y se abran</w:t>
      </w:r>
      <w:r>
        <w:rPr>
          <w:rFonts w:ascii="TimesNewRoman" w:hAnsi="TimesNewRoman" w:cs="TimesNewRoman"/>
          <w:sz w:val="24"/>
          <w:szCs w:val="24"/>
        </w:rPr>
        <w:t xml:space="preserve"> potencialmente nuevos mercados </w:t>
      </w:r>
      <w:r w:rsidRPr="00715B09">
        <w:rPr>
          <w:rFonts w:ascii="TimesNewRoman" w:hAnsi="TimesNewRoman" w:cs="TimesNewRoman"/>
          <w:sz w:val="24"/>
          <w:szCs w:val="24"/>
        </w:rPr>
        <w:t>para ellas, tanto a ambos lados del Atlántico como en todo el mundo.</w:t>
      </w: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xml:space="preserve">• </w:t>
      </w:r>
      <w:r>
        <w:rPr>
          <w:rFonts w:ascii="TimesNewRoman" w:hAnsi="TimesNewRoman" w:cs="TimesNewRoman"/>
          <w:sz w:val="24"/>
          <w:szCs w:val="24"/>
        </w:rPr>
        <w:t>S</w:t>
      </w:r>
      <w:r w:rsidRPr="00715B09">
        <w:rPr>
          <w:rFonts w:ascii="TimesNewRoman" w:hAnsi="TimesNewRoman" w:cs="TimesNewRoman"/>
          <w:sz w:val="24"/>
          <w:szCs w:val="24"/>
        </w:rPr>
        <w:t>ervicios. La Unión Europea y los Estados Unidos son los mayores expor</w:t>
      </w:r>
      <w:r>
        <w:rPr>
          <w:rFonts w:ascii="TimesNewRoman" w:hAnsi="TimesNewRoman" w:cs="TimesNewRoman"/>
          <w:sz w:val="24"/>
          <w:szCs w:val="24"/>
        </w:rPr>
        <w:t xml:space="preserve">tadores de servicios del mundo, </w:t>
      </w:r>
      <w:r w:rsidRPr="00715B09">
        <w:rPr>
          <w:rFonts w:ascii="TimesNewRoman" w:hAnsi="TimesNewRoman" w:cs="TimesNewRoman"/>
          <w:sz w:val="24"/>
          <w:szCs w:val="24"/>
        </w:rPr>
        <w:t>y m</w:t>
      </w:r>
      <w:r>
        <w:rPr>
          <w:rFonts w:ascii="TimesNewRoman" w:hAnsi="TimesNewRoman" w:cs="TimesNewRoman"/>
          <w:sz w:val="24"/>
          <w:szCs w:val="24"/>
        </w:rPr>
        <w:t>uchos proveedores de servicios -</w:t>
      </w:r>
      <w:r w:rsidRPr="00715B09">
        <w:rPr>
          <w:rFonts w:ascii="TimesNewRoman" w:hAnsi="TimesNewRoman" w:cs="TimesNewRoman"/>
          <w:sz w:val="24"/>
          <w:szCs w:val="24"/>
        </w:rPr>
        <w:t>p. ej., abogados, contables, arquitecto</w:t>
      </w:r>
      <w:r>
        <w:rPr>
          <w:rFonts w:ascii="TimesNewRoman" w:hAnsi="TimesNewRoman" w:cs="TimesNewRoman"/>
          <w:sz w:val="24"/>
          <w:szCs w:val="24"/>
        </w:rPr>
        <w:t xml:space="preserve">s, ingenieros, especialistas en </w:t>
      </w:r>
      <w:r w:rsidRPr="00715B09">
        <w:rPr>
          <w:rFonts w:ascii="TimesNewRoman" w:hAnsi="TimesNewRoman" w:cs="TimesNewRoman"/>
          <w:sz w:val="24"/>
          <w:szCs w:val="24"/>
        </w:rPr>
        <w:t>tecnologías de la información y consultore</w:t>
      </w:r>
      <w:r>
        <w:rPr>
          <w:rFonts w:ascii="TimesNewRoman" w:hAnsi="TimesNewRoman" w:cs="TimesNewRoman"/>
          <w:sz w:val="24"/>
          <w:szCs w:val="24"/>
        </w:rPr>
        <w:t xml:space="preserve">s de servicios medioambientales- trabajan en las empresas </w:t>
      </w:r>
      <w:r w:rsidRPr="00715B09">
        <w:rPr>
          <w:rFonts w:ascii="TimesNewRoman" w:hAnsi="TimesNewRoman" w:cs="TimesNewRoman"/>
          <w:sz w:val="24"/>
          <w:szCs w:val="24"/>
        </w:rPr>
        <w:t xml:space="preserve">más pequeñas, que a menudo </w:t>
      </w:r>
      <w:r w:rsidRPr="00715B09">
        <w:rPr>
          <w:rFonts w:ascii="TimesNewRoman" w:hAnsi="TimesNewRoman" w:cs="TimesNewRoman"/>
          <w:sz w:val="24"/>
          <w:szCs w:val="24"/>
        </w:rPr>
        <w:lastRenderedPageBreak/>
        <w:t>forman parte de la cadena de valor de la</w:t>
      </w:r>
      <w:r>
        <w:rPr>
          <w:rFonts w:ascii="TimesNewRoman" w:hAnsi="TimesNewRoman" w:cs="TimesNewRoman"/>
          <w:sz w:val="24"/>
          <w:szCs w:val="24"/>
        </w:rPr>
        <w:t xml:space="preserve">s grandes. Estos proveedores de </w:t>
      </w:r>
      <w:r w:rsidRPr="00715B09">
        <w:rPr>
          <w:rFonts w:ascii="TimesNewRoman" w:hAnsi="TimesNewRoman" w:cs="TimesNewRoman"/>
          <w:sz w:val="24"/>
          <w:szCs w:val="24"/>
        </w:rPr>
        <w:t>servicios más pequeños podrían beneficiarse de la mayor seguridad jurídi</w:t>
      </w:r>
      <w:r>
        <w:rPr>
          <w:rFonts w:ascii="TimesNewRoman" w:hAnsi="TimesNewRoman" w:cs="TimesNewRoman"/>
          <w:sz w:val="24"/>
          <w:szCs w:val="24"/>
        </w:rPr>
        <w:t xml:space="preserve">ca y el nuevo acceso al mercado </w:t>
      </w:r>
      <w:r w:rsidRPr="00715B09">
        <w:rPr>
          <w:rFonts w:ascii="TimesNewRoman" w:hAnsi="TimesNewRoman" w:cs="TimesNewRoman"/>
          <w:sz w:val="24"/>
          <w:szCs w:val="24"/>
        </w:rPr>
        <w:t>que proporcionaría la ATCI.</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Contratación pública. La mejora de la transparencia de la contrata</w:t>
      </w:r>
      <w:r>
        <w:rPr>
          <w:rFonts w:ascii="TimesNewRoman" w:hAnsi="TimesNewRoman" w:cs="TimesNewRoman"/>
          <w:sz w:val="24"/>
          <w:szCs w:val="24"/>
        </w:rPr>
        <w:t xml:space="preserve">ción pública y el acceso a esta </w:t>
      </w:r>
      <w:r w:rsidRPr="00715B09">
        <w:rPr>
          <w:rFonts w:ascii="TimesNewRoman" w:hAnsi="TimesNewRoman" w:cs="TimesNewRoman"/>
          <w:sz w:val="24"/>
          <w:szCs w:val="24"/>
        </w:rPr>
        <w:t xml:space="preserve">podría redundar también en beneficio de las pequeñas empresas. Un mejor acceso al mercado </w:t>
      </w:r>
      <w:r>
        <w:rPr>
          <w:rFonts w:ascii="TimesNewRoman" w:hAnsi="TimesNewRoman" w:cs="TimesNewRoman"/>
          <w:sz w:val="24"/>
          <w:szCs w:val="24"/>
        </w:rPr>
        <w:t xml:space="preserve">en virtud de </w:t>
      </w:r>
      <w:r w:rsidRPr="00715B09">
        <w:rPr>
          <w:rFonts w:ascii="TimesNewRoman" w:hAnsi="TimesNewRoman" w:cs="TimesNewRoman"/>
          <w:sz w:val="24"/>
          <w:szCs w:val="24"/>
        </w:rPr>
        <w:t>la ATCI en lo relativo a la contratación pública podría significar nuevos co</w:t>
      </w:r>
      <w:r>
        <w:rPr>
          <w:rFonts w:ascii="TimesNewRoman" w:hAnsi="TimesNewRoman" w:cs="TimesNewRoman"/>
          <w:sz w:val="24"/>
          <w:szCs w:val="24"/>
        </w:rPr>
        <w:t xml:space="preserve">ntratos y subcontratos públicos </w:t>
      </w:r>
      <w:r w:rsidRPr="00715B09">
        <w:rPr>
          <w:rFonts w:ascii="TimesNewRoman" w:hAnsi="TimesNewRoman" w:cs="TimesNewRoman"/>
          <w:sz w:val="24"/>
          <w:szCs w:val="24"/>
        </w:rPr>
        <w:t>para las empresas más pequeñas. Ello es importante, ya que los organismo</w:t>
      </w:r>
      <w:r>
        <w:rPr>
          <w:rFonts w:ascii="TimesNewRoman" w:hAnsi="TimesNewRoman" w:cs="TimesNewRoman"/>
          <w:sz w:val="24"/>
          <w:szCs w:val="24"/>
        </w:rPr>
        <w:t xml:space="preserve">s públicos tanto en los Estados </w:t>
      </w:r>
      <w:r w:rsidRPr="00715B09">
        <w:rPr>
          <w:rFonts w:ascii="TimesNewRoman" w:hAnsi="TimesNewRoman" w:cs="TimesNewRoman"/>
          <w:sz w:val="24"/>
          <w:szCs w:val="24"/>
        </w:rPr>
        <w:t xml:space="preserve">Unidos como en la Unión Europea adquieren una amplia gama de bienes </w:t>
      </w:r>
      <w:r>
        <w:rPr>
          <w:rFonts w:ascii="TimesNewRoman" w:hAnsi="TimesNewRoman" w:cs="TimesNewRoman"/>
          <w:sz w:val="24"/>
          <w:szCs w:val="24"/>
        </w:rPr>
        <w:t xml:space="preserve">y servicios de las empresas del </w:t>
      </w:r>
      <w:r w:rsidRPr="00715B09">
        <w:rPr>
          <w:rFonts w:ascii="TimesNewRoman" w:hAnsi="TimesNewRoman" w:cs="TimesNewRoman"/>
          <w:sz w:val="24"/>
          <w:szCs w:val="24"/>
        </w:rPr>
        <w:t>sector privado, lo que conduce a crear oportunidades de empleo para las i</w:t>
      </w:r>
      <w:r>
        <w:rPr>
          <w:rFonts w:ascii="TimesNewRoman" w:hAnsi="TimesNewRoman" w:cs="TimesNewRoman"/>
          <w:sz w:val="24"/>
          <w:szCs w:val="24"/>
        </w:rPr>
        <w:t xml:space="preserve">ndustrias que prestan servicios </w:t>
      </w:r>
      <w:r w:rsidRPr="00715B09">
        <w:rPr>
          <w:rFonts w:ascii="TimesNewRoman" w:hAnsi="TimesNewRoman" w:cs="TimesNewRoman"/>
          <w:sz w:val="24"/>
          <w:szCs w:val="24"/>
        </w:rPr>
        <w:t>de consultoría, infraestructura y otros productos y servicios.</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Aduanas y facilitación comercial</w:t>
      </w:r>
      <w:r>
        <w:rPr>
          <w:rFonts w:ascii="TimesNewRoman" w:hAnsi="TimesNewRoman" w:cs="TimesNewRoman"/>
          <w:sz w:val="24"/>
          <w:szCs w:val="24"/>
        </w:rPr>
        <w:t>.</w:t>
      </w:r>
      <w:r w:rsidRPr="00715B09">
        <w:rPr>
          <w:rFonts w:ascii="TimesNewRoman" w:hAnsi="TimesNewRoman" w:cs="TimesNewRoman"/>
          <w:sz w:val="24"/>
          <w:szCs w:val="24"/>
        </w:rPr>
        <w:t xml:space="preserve"> Aplicar unos costes más reduc</w:t>
      </w:r>
      <w:r>
        <w:rPr>
          <w:rFonts w:ascii="TimesNewRoman" w:hAnsi="TimesNewRoman" w:cs="TimesNewRoman"/>
          <w:sz w:val="24"/>
          <w:szCs w:val="24"/>
        </w:rPr>
        <w:t xml:space="preserve">idos y una mayor transparencia, </w:t>
      </w:r>
      <w:r w:rsidRPr="00715B09">
        <w:rPr>
          <w:rFonts w:ascii="TimesNewRoman" w:hAnsi="TimesNewRoman" w:cs="TimesNewRoman"/>
          <w:sz w:val="24"/>
          <w:szCs w:val="24"/>
        </w:rPr>
        <w:t>y reducir la burocracia en las fronteras, sería incluso más beneficioso</w:t>
      </w:r>
      <w:r>
        <w:rPr>
          <w:rFonts w:ascii="TimesNewRoman" w:hAnsi="TimesNewRoman" w:cs="TimesNewRoman"/>
          <w:sz w:val="24"/>
          <w:szCs w:val="24"/>
        </w:rPr>
        <w:t xml:space="preserve"> para los pequeños exportadores y productores -</w:t>
      </w:r>
      <w:r w:rsidRPr="00715B09">
        <w:rPr>
          <w:rFonts w:ascii="TimesNewRoman" w:hAnsi="TimesNewRoman" w:cs="TimesNewRoman"/>
          <w:sz w:val="24"/>
          <w:szCs w:val="24"/>
        </w:rPr>
        <w:t xml:space="preserve">así como para los pequeños minoristas, mayoristas y empresas </w:t>
      </w:r>
      <w:r>
        <w:rPr>
          <w:rFonts w:ascii="TimesNewRoman" w:hAnsi="TimesNewRoman" w:cs="TimesNewRoman"/>
          <w:sz w:val="24"/>
          <w:szCs w:val="24"/>
        </w:rPr>
        <w:t xml:space="preserve">de logística y transporte- </w:t>
      </w:r>
      <w:r w:rsidRPr="00715B09">
        <w:rPr>
          <w:rFonts w:ascii="TimesNewRoman" w:hAnsi="TimesNewRoman" w:cs="TimesNewRoman"/>
          <w:sz w:val="24"/>
          <w:szCs w:val="24"/>
        </w:rPr>
        <w:t>que para sus competidores de más tamaño. Un objetivo clave de las negoc</w:t>
      </w:r>
      <w:r>
        <w:rPr>
          <w:rFonts w:ascii="TimesNewRoman" w:hAnsi="TimesNewRoman" w:cs="TimesNewRoman"/>
          <w:sz w:val="24"/>
          <w:szCs w:val="24"/>
        </w:rPr>
        <w:t xml:space="preserve">iaciones de la ATCI es impulsar </w:t>
      </w:r>
      <w:r w:rsidRPr="00715B09">
        <w:rPr>
          <w:rFonts w:ascii="TimesNewRoman" w:hAnsi="TimesNewRoman" w:cs="TimesNewRoman"/>
          <w:sz w:val="24"/>
          <w:szCs w:val="24"/>
        </w:rPr>
        <w:t>el comercio reduciendo los costes y los retrasos innecesarios que sufren</w:t>
      </w:r>
      <w:r>
        <w:rPr>
          <w:rFonts w:ascii="TimesNewRoman" w:hAnsi="TimesNewRoman" w:cs="TimesNewRoman"/>
          <w:sz w:val="24"/>
          <w:szCs w:val="24"/>
        </w:rPr>
        <w:t xml:space="preserve"> los operadores en la frontera, </w:t>
      </w:r>
      <w:r w:rsidRPr="00715B09">
        <w:rPr>
          <w:rFonts w:ascii="TimesNewRoman" w:hAnsi="TimesNewRoman" w:cs="TimesNewRoman"/>
          <w:sz w:val="24"/>
          <w:szCs w:val="24"/>
        </w:rPr>
        <w:t>haciendo que los procedimientos correspondientes sean más previsibles, senc</w:t>
      </w:r>
      <w:r>
        <w:rPr>
          <w:rFonts w:ascii="TimesNewRoman" w:hAnsi="TimesNewRoman" w:cs="TimesNewRoman"/>
          <w:sz w:val="24"/>
          <w:szCs w:val="24"/>
        </w:rPr>
        <w:t xml:space="preserve">illos y uniformes. Las reformas </w:t>
      </w:r>
      <w:r w:rsidRPr="00715B09">
        <w:rPr>
          <w:rFonts w:ascii="TimesNewRoman" w:hAnsi="TimesNewRoman" w:cs="TimesNewRoman"/>
          <w:sz w:val="24"/>
          <w:szCs w:val="24"/>
        </w:rPr>
        <w:t xml:space="preserve">en materia de aduanas y facilitación comercial a través de la ATCI </w:t>
      </w:r>
      <w:r>
        <w:rPr>
          <w:rFonts w:ascii="TimesNewRoman" w:hAnsi="TimesNewRoman" w:cs="TimesNewRoman"/>
          <w:sz w:val="24"/>
          <w:szCs w:val="24"/>
        </w:rPr>
        <w:t xml:space="preserve">harían que fuese más fácil para </w:t>
      </w:r>
      <w:r w:rsidRPr="00715B09">
        <w:rPr>
          <w:rFonts w:ascii="TimesNewRoman" w:hAnsi="TimesNewRoman" w:cs="TimesNewRoman"/>
          <w:sz w:val="24"/>
          <w:szCs w:val="24"/>
        </w:rPr>
        <w:t>las PYME participar en el comercio transatlántico y fomentar el empleo a través del mismo.</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Derechos de propiedad intelectual e industrial</w:t>
      </w:r>
      <w:r>
        <w:rPr>
          <w:rFonts w:ascii="TimesNewRoman" w:hAnsi="TimesNewRoman" w:cs="TimesNewRoman"/>
          <w:sz w:val="24"/>
          <w:szCs w:val="24"/>
        </w:rPr>
        <w:t>.</w:t>
      </w:r>
      <w:r w:rsidRPr="00715B09">
        <w:rPr>
          <w:rFonts w:ascii="TimesNewRoman" w:hAnsi="TimesNewRoman" w:cs="TimesNewRoman"/>
          <w:sz w:val="24"/>
          <w:szCs w:val="24"/>
        </w:rPr>
        <w:t xml:space="preserve"> Las PYME so</w:t>
      </w:r>
      <w:r>
        <w:rPr>
          <w:rFonts w:ascii="TimesNewRoman" w:hAnsi="TimesNewRoman" w:cs="TimesNewRoman"/>
          <w:sz w:val="24"/>
          <w:szCs w:val="24"/>
        </w:rPr>
        <w:t xml:space="preserve">n también líderes en innovación </w:t>
      </w:r>
      <w:r w:rsidRPr="00715B09">
        <w:rPr>
          <w:rFonts w:ascii="TimesNewRoman" w:hAnsi="TimesNewRoman" w:cs="TimesNewRoman"/>
          <w:sz w:val="24"/>
          <w:szCs w:val="24"/>
        </w:rPr>
        <w:t>y creatividad que impulsan la creación de empleo y el crecimiento económic</w:t>
      </w:r>
      <w:r>
        <w:rPr>
          <w:rFonts w:ascii="TimesNewRoman" w:hAnsi="TimesNewRoman" w:cs="TimesNewRoman"/>
          <w:sz w:val="24"/>
          <w:szCs w:val="24"/>
        </w:rPr>
        <w:t xml:space="preserve">o en el mercado transatlántico. </w:t>
      </w:r>
      <w:r w:rsidRPr="00715B09">
        <w:rPr>
          <w:rFonts w:ascii="TimesNewRoman" w:hAnsi="TimesNewRoman" w:cs="TimesNewRoman"/>
          <w:sz w:val="24"/>
          <w:szCs w:val="24"/>
        </w:rPr>
        <w:t>Asimismo, precisan de un elevado nivel de protección de sus derechos de pro</w:t>
      </w:r>
      <w:r>
        <w:rPr>
          <w:rFonts w:ascii="TimesNewRoman" w:hAnsi="TimesNewRoman" w:cs="TimesNewRoman"/>
          <w:sz w:val="24"/>
          <w:szCs w:val="24"/>
        </w:rPr>
        <w:t xml:space="preserve">piedad intelectual e industrial </w:t>
      </w:r>
      <w:r w:rsidRPr="00715B09">
        <w:rPr>
          <w:rFonts w:ascii="TimesNewRoman" w:hAnsi="TimesNewRoman" w:cs="TimesNewRoman"/>
          <w:sz w:val="24"/>
          <w:szCs w:val="24"/>
        </w:rPr>
        <w:t>(DPI), porque a menudo son muy vulnerables si se infringen esos derechos.</w:t>
      </w:r>
      <w:r>
        <w:rPr>
          <w:rFonts w:ascii="TimesNewRoman" w:hAnsi="TimesNewRoman" w:cs="TimesNewRoman"/>
          <w:sz w:val="24"/>
          <w:szCs w:val="24"/>
        </w:rPr>
        <w:t xml:space="preserve"> La ATCI servirá para reafirmar </w:t>
      </w:r>
      <w:r w:rsidRPr="00715B09">
        <w:rPr>
          <w:rFonts w:ascii="TimesNewRoman" w:hAnsi="TimesNewRoman" w:cs="TimesNewRoman"/>
          <w:sz w:val="24"/>
          <w:szCs w:val="24"/>
        </w:rPr>
        <w:t>el compromiso transatlántico compartido de velar por la rigurosa protección</w:t>
      </w:r>
      <w:r>
        <w:rPr>
          <w:rFonts w:ascii="TimesNewRoman" w:hAnsi="TimesNewRoman" w:cs="TimesNewRoman"/>
          <w:sz w:val="24"/>
          <w:szCs w:val="24"/>
        </w:rPr>
        <w:t xml:space="preserve"> y aplicación de los DPI de las </w:t>
      </w:r>
      <w:r w:rsidRPr="00715B09">
        <w:rPr>
          <w:rFonts w:ascii="TimesNewRoman" w:hAnsi="TimesNewRoman" w:cs="TimesNewRoman"/>
          <w:sz w:val="24"/>
          <w:szCs w:val="24"/>
        </w:rPr>
        <w:t>PYME, incluso respecto de nuestros demás socios comerciales.</w:t>
      </w: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Comercio electrónico. Internet está permitiendo</w:t>
      </w:r>
      <w:r>
        <w:rPr>
          <w:rFonts w:ascii="TimesNewRoman" w:hAnsi="TimesNewRoman" w:cs="TimesNewRoman"/>
          <w:sz w:val="24"/>
          <w:szCs w:val="24"/>
        </w:rPr>
        <w:t xml:space="preserve"> que millones de PYME de los EEUU</w:t>
      </w:r>
      <w:r w:rsidRPr="00715B09">
        <w:rPr>
          <w:rFonts w:ascii="TimesNewRoman" w:hAnsi="TimesNewRoman" w:cs="TimesNewRoman"/>
          <w:sz w:val="24"/>
          <w:szCs w:val="24"/>
        </w:rPr>
        <w:t xml:space="preserve"> y de la UE</w:t>
      </w:r>
      <w:r>
        <w:rPr>
          <w:rFonts w:ascii="TimesNewRoman" w:hAnsi="TimesNewRoman" w:cs="TimesNewRoman"/>
          <w:sz w:val="24"/>
          <w:szCs w:val="24"/>
        </w:rPr>
        <w:t xml:space="preserve"> </w:t>
      </w:r>
      <w:r w:rsidRPr="00715B09">
        <w:rPr>
          <w:rFonts w:ascii="TimesNewRoman" w:hAnsi="TimesNewRoman" w:cs="TimesNewRoman"/>
          <w:sz w:val="24"/>
          <w:szCs w:val="24"/>
        </w:rPr>
        <w:t>lleguen a los clientes extranjeros, provocando un incremento de sus ingre</w:t>
      </w:r>
      <w:r>
        <w:rPr>
          <w:rFonts w:ascii="TimesNewRoman" w:hAnsi="TimesNewRoman" w:cs="TimesNewRoman"/>
          <w:sz w:val="24"/>
          <w:szCs w:val="24"/>
        </w:rPr>
        <w:t xml:space="preserve">sos y el apoyo a la creación de </w:t>
      </w:r>
      <w:r w:rsidRPr="00715B09">
        <w:rPr>
          <w:rFonts w:ascii="TimesNewRoman" w:hAnsi="TimesNewRoman" w:cs="TimesNewRoman"/>
          <w:sz w:val="24"/>
          <w:szCs w:val="24"/>
        </w:rPr>
        <w:t>empleo en las comunidades locales. Es mucho más probable que las PY</w:t>
      </w:r>
      <w:r>
        <w:rPr>
          <w:rFonts w:ascii="TimesNewRoman" w:hAnsi="TimesNewRoman" w:cs="TimesNewRoman"/>
          <w:sz w:val="24"/>
          <w:szCs w:val="24"/>
        </w:rPr>
        <w:t xml:space="preserve">ME que operan en línea exporten </w:t>
      </w:r>
      <w:r w:rsidRPr="00715B09">
        <w:rPr>
          <w:rFonts w:ascii="TimesNewRoman" w:hAnsi="TimesNewRoman" w:cs="TimesNewRoman"/>
          <w:sz w:val="24"/>
          <w:szCs w:val="24"/>
        </w:rPr>
        <w:t>más a clientes en numerosos países frente a sus homólogos que no ope</w:t>
      </w:r>
      <w:r>
        <w:rPr>
          <w:rFonts w:ascii="TimesNewRoman" w:hAnsi="TimesNewRoman" w:cs="TimesNewRoman"/>
          <w:sz w:val="24"/>
          <w:szCs w:val="24"/>
        </w:rPr>
        <w:t xml:space="preserve">ran en línea. Las disposiciones </w:t>
      </w:r>
      <w:r w:rsidRPr="00715B09">
        <w:rPr>
          <w:rFonts w:ascii="TimesNewRoman" w:hAnsi="TimesNewRoman" w:cs="TimesNewRoman"/>
          <w:sz w:val="24"/>
          <w:szCs w:val="24"/>
        </w:rPr>
        <w:t>de la ATCI que promueven el trato de los productos digitales sin derecho</w:t>
      </w:r>
      <w:r>
        <w:rPr>
          <w:rFonts w:ascii="TimesNewRoman" w:hAnsi="TimesNewRoman" w:cs="TimesNewRoman"/>
          <w:sz w:val="24"/>
          <w:szCs w:val="24"/>
        </w:rPr>
        <w:t xml:space="preserve">s de aduana, y el acceso de los </w:t>
      </w:r>
      <w:r w:rsidRPr="00715B09">
        <w:rPr>
          <w:rFonts w:ascii="TimesNewRoman" w:hAnsi="TimesNewRoman" w:cs="TimesNewRoman"/>
          <w:sz w:val="24"/>
          <w:szCs w:val="24"/>
        </w:rPr>
        <w:t xml:space="preserve">consumidores a los servicios y aplicaciones de su elección a través de </w:t>
      </w:r>
      <w:r w:rsidR="00F440B1">
        <w:rPr>
          <w:rFonts w:ascii="TimesNewRoman" w:hAnsi="TimesNewRoman" w:cs="TimesNewRoman"/>
          <w:sz w:val="24"/>
          <w:szCs w:val="24"/>
        </w:rPr>
        <w:t xml:space="preserve">internet puede ayudar a que las </w:t>
      </w:r>
      <w:r w:rsidRPr="00715B09">
        <w:rPr>
          <w:rFonts w:ascii="TimesNewRoman" w:hAnsi="TimesNewRoman" w:cs="TimesNewRoman"/>
          <w:sz w:val="24"/>
          <w:szCs w:val="24"/>
        </w:rPr>
        <w:t>PYME estadounidenses y europeas minoristas y proveedoras de servicios florezcan en el mercado en línea.</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Beneficios a través de las cadenas de valor. Muchas pe</w:t>
      </w:r>
      <w:r>
        <w:rPr>
          <w:rFonts w:ascii="TimesNewRoman" w:hAnsi="TimesNewRoman" w:cs="TimesNewRoman"/>
          <w:sz w:val="24"/>
          <w:szCs w:val="24"/>
        </w:rPr>
        <w:t xml:space="preserve">queñas empresas que no exportan </w:t>
      </w:r>
      <w:r w:rsidRPr="00715B09">
        <w:rPr>
          <w:rFonts w:ascii="TimesNewRoman" w:hAnsi="TimesNewRoman" w:cs="TimesNewRoman"/>
          <w:sz w:val="24"/>
          <w:szCs w:val="24"/>
        </w:rPr>
        <w:t>directamente a la UE o a los Estados Unidos se beneficiarán pese a todo de</w:t>
      </w:r>
      <w:r>
        <w:rPr>
          <w:rFonts w:ascii="TimesNewRoman" w:hAnsi="TimesNewRoman" w:cs="TimesNewRoman"/>
          <w:sz w:val="24"/>
          <w:szCs w:val="24"/>
        </w:rPr>
        <w:t xml:space="preserve">l ATCI mediante la venta de los </w:t>
      </w:r>
      <w:r w:rsidRPr="00715B09">
        <w:rPr>
          <w:rFonts w:ascii="TimesNewRoman" w:hAnsi="TimesNewRoman" w:cs="TimesNewRoman"/>
          <w:sz w:val="24"/>
          <w:szCs w:val="24"/>
        </w:rPr>
        <w:t>bienes y servicios intermedios a empresas que sí comercian con el otro la</w:t>
      </w:r>
      <w:r>
        <w:rPr>
          <w:rFonts w:ascii="TimesNewRoman" w:hAnsi="TimesNewRoman" w:cs="TimesNewRoman"/>
          <w:sz w:val="24"/>
          <w:szCs w:val="24"/>
        </w:rPr>
        <w:t xml:space="preserve">do del Atlántico. De este modo, </w:t>
      </w:r>
      <w:r w:rsidRPr="00715B09">
        <w:rPr>
          <w:rFonts w:ascii="TimesNewRoman" w:hAnsi="TimesNewRoman" w:cs="TimesNewRoman"/>
          <w:sz w:val="24"/>
          <w:szCs w:val="24"/>
        </w:rPr>
        <w:t>las PYME pueden beneficiarse del acuerdo, aun cuando no estén aun</w:t>
      </w:r>
      <w:r>
        <w:rPr>
          <w:rFonts w:ascii="TimesNewRoman" w:hAnsi="TimesNewRoman" w:cs="TimesNewRoman"/>
          <w:sz w:val="24"/>
          <w:szCs w:val="24"/>
        </w:rPr>
        <w:t xml:space="preserve"> exportando fuera de su mercado </w:t>
      </w:r>
      <w:r w:rsidRPr="00715B09">
        <w:rPr>
          <w:rFonts w:ascii="TimesNewRoman" w:hAnsi="TimesNewRoman" w:cs="TimesNewRoman"/>
          <w:sz w:val="24"/>
          <w:szCs w:val="24"/>
        </w:rPr>
        <w:t>nacional directamente.</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lastRenderedPageBreak/>
        <w:t>Las PYME y la ATCI</w:t>
      </w: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Pr>
          <w:rFonts w:ascii="TimesNewRoman" w:hAnsi="TimesNewRoman" w:cs="TimesNewRoman"/>
          <w:sz w:val="24"/>
          <w:szCs w:val="24"/>
        </w:rPr>
        <w:t>Los negociadores de los EEUU</w:t>
      </w:r>
      <w:r w:rsidRPr="00715B09">
        <w:rPr>
          <w:rFonts w:ascii="TimesNewRoman" w:hAnsi="TimesNewRoman" w:cs="TimesNewRoman"/>
          <w:sz w:val="24"/>
          <w:szCs w:val="24"/>
        </w:rPr>
        <w:t xml:space="preserve"> y de la UE están trabajando para garantizar qu</w:t>
      </w:r>
      <w:r>
        <w:rPr>
          <w:rFonts w:ascii="TimesNewRoman" w:hAnsi="TimesNewRoman" w:cs="TimesNewRoman"/>
          <w:sz w:val="24"/>
          <w:szCs w:val="24"/>
        </w:rPr>
        <w:t xml:space="preserve">e las PYME estén en condiciones </w:t>
      </w:r>
      <w:r w:rsidRPr="00715B09">
        <w:rPr>
          <w:rFonts w:ascii="TimesNewRoman" w:hAnsi="TimesNewRoman" w:cs="TimesNewRoman"/>
          <w:sz w:val="24"/>
          <w:szCs w:val="24"/>
        </w:rPr>
        <w:t>de aprovechar plenamente las oportunidades que ofrecería un acuerdo.</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xml:space="preserve">Como parte de este esfuerzo, los negociadores están debatiendo la inclusión de un capítulo dedicado a </w:t>
      </w:r>
      <w:r>
        <w:rPr>
          <w:rFonts w:ascii="TimesNewRoman" w:hAnsi="TimesNewRoman" w:cs="TimesNewRoman"/>
          <w:sz w:val="24"/>
          <w:szCs w:val="24"/>
        </w:rPr>
        <w:t xml:space="preserve">las </w:t>
      </w:r>
      <w:r w:rsidRPr="00715B09">
        <w:rPr>
          <w:rFonts w:ascii="TimesNewRoman" w:hAnsi="TimesNewRoman" w:cs="TimesNewRoman"/>
          <w:sz w:val="24"/>
          <w:szCs w:val="24"/>
        </w:rPr>
        <w:t>cuestiones relacionadas con las PYME. Este capítulo podría establecer m</w:t>
      </w:r>
      <w:r>
        <w:rPr>
          <w:rFonts w:ascii="TimesNewRoman" w:hAnsi="TimesNewRoman" w:cs="TimesNewRoman"/>
          <w:sz w:val="24"/>
          <w:szCs w:val="24"/>
        </w:rPr>
        <w:t xml:space="preserve">ecanismos para que ambas partes </w:t>
      </w:r>
      <w:r w:rsidRPr="00715B09">
        <w:rPr>
          <w:rFonts w:ascii="TimesNewRoman" w:hAnsi="TimesNewRoman" w:cs="TimesNewRoman"/>
          <w:sz w:val="24"/>
          <w:szCs w:val="24"/>
        </w:rPr>
        <w:t>trabajen juntas al objeto de facilitar la participación de las PYME en el comerci</w:t>
      </w:r>
      <w:r>
        <w:rPr>
          <w:rFonts w:ascii="TimesNewRoman" w:hAnsi="TimesNewRoman" w:cs="TimesNewRoman"/>
          <w:sz w:val="24"/>
          <w:szCs w:val="24"/>
        </w:rPr>
        <w:t xml:space="preserve">o transatlántico una vez que la </w:t>
      </w:r>
      <w:r w:rsidRPr="00715B09">
        <w:rPr>
          <w:rFonts w:ascii="TimesNewRoman" w:hAnsi="TimesNewRoman" w:cs="TimesNewRoman"/>
          <w:sz w:val="24"/>
          <w:szCs w:val="24"/>
        </w:rPr>
        <w:t>ATCI entre en vigor. Las disposiciones podrían incluir también un comité de la</w:t>
      </w:r>
      <w:r>
        <w:rPr>
          <w:rFonts w:ascii="TimesNewRoman" w:hAnsi="TimesNewRoman" w:cs="TimesNewRoman"/>
          <w:sz w:val="24"/>
          <w:szCs w:val="24"/>
        </w:rPr>
        <w:t xml:space="preserve">s PYME que se comprometería con </w:t>
      </w:r>
      <w:r w:rsidRPr="00715B09">
        <w:rPr>
          <w:rFonts w:ascii="TimesNewRoman" w:hAnsi="TimesNewRoman" w:cs="TimesNewRoman"/>
          <w:sz w:val="24"/>
          <w:szCs w:val="24"/>
        </w:rPr>
        <w:t>la iniciativa en favor de las pequeñas empresas y el desarrollo de información</w:t>
      </w:r>
      <w:r>
        <w:rPr>
          <w:rFonts w:ascii="TimesNewRoman" w:hAnsi="TimesNewRoman" w:cs="TimesNewRoman"/>
          <w:sz w:val="24"/>
          <w:szCs w:val="24"/>
        </w:rPr>
        <w:t xml:space="preserve"> en línea y otros recursos para </w:t>
      </w:r>
      <w:r w:rsidRPr="00715B09">
        <w:rPr>
          <w:rFonts w:ascii="TimesNewRoman" w:hAnsi="TimesNewRoman" w:cs="TimesNewRoman"/>
          <w:sz w:val="24"/>
          <w:szCs w:val="24"/>
        </w:rPr>
        <w:t>ayudar a las PYME a entender las disposiciones del acuerdo y cómo beneficiarse de este.</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715B09" w:rsidRDefault="000369FD" w:rsidP="000369FD">
      <w:pPr>
        <w:autoSpaceDE w:val="0"/>
        <w:autoSpaceDN w:val="0"/>
        <w:adjustRightInd w:val="0"/>
        <w:spacing w:after="0" w:line="240" w:lineRule="auto"/>
        <w:jc w:val="both"/>
        <w:rPr>
          <w:rFonts w:ascii="TimesNewRoman" w:hAnsi="TimesNewRoman" w:cs="TimesNewRoman"/>
          <w:sz w:val="24"/>
          <w:szCs w:val="24"/>
        </w:rPr>
      </w:pPr>
      <w:r w:rsidRPr="00715B09">
        <w:rPr>
          <w:rFonts w:ascii="TimesNewRoman" w:hAnsi="TimesNewRoman" w:cs="TimesNewRoman"/>
          <w:sz w:val="24"/>
          <w:szCs w:val="24"/>
        </w:rPr>
        <w:t xml:space="preserve">Un capítulo sobre las PYME también podría servir para reforzar la cooperación </w:t>
      </w:r>
      <w:r>
        <w:rPr>
          <w:rFonts w:ascii="TimesNewRoman" w:hAnsi="TimesNewRoman" w:cs="TimesNewRoman"/>
          <w:sz w:val="24"/>
          <w:szCs w:val="24"/>
        </w:rPr>
        <w:t>existente entre el Departamento de Comercio de los EEUU</w:t>
      </w:r>
      <w:r w:rsidRPr="00715B09">
        <w:rPr>
          <w:rFonts w:ascii="TimesNewRoman" w:hAnsi="TimesNewRoman" w:cs="TimesNewRoman"/>
          <w:sz w:val="24"/>
          <w:szCs w:val="24"/>
        </w:rPr>
        <w:t xml:space="preserve"> y la Comisión Europea. Ese trabajo tiene por objeto ayudar a las PYM</w:t>
      </w:r>
      <w:r>
        <w:rPr>
          <w:rFonts w:ascii="TimesNewRoman" w:hAnsi="TimesNewRoman" w:cs="TimesNewRoman"/>
          <w:sz w:val="24"/>
          <w:szCs w:val="24"/>
        </w:rPr>
        <w:t xml:space="preserve">E a beneficiarse </w:t>
      </w:r>
      <w:r w:rsidRPr="00715B09">
        <w:rPr>
          <w:rFonts w:ascii="TimesNewRoman" w:hAnsi="TimesNewRoman" w:cs="TimesNewRoman"/>
          <w:sz w:val="24"/>
          <w:szCs w:val="24"/>
        </w:rPr>
        <w:t>de las inversiones y el comercio transatlánticos a través de talleres y otros p</w:t>
      </w:r>
      <w:r>
        <w:rPr>
          <w:rFonts w:ascii="TimesNewRoman" w:hAnsi="TimesNewRoman" w:cs="TimesNewRoman"/>
          <w:sz w:val="24"/>
          <w:szCs w:val="24"/>
        </w:rPr>
        <w:t xml:space="preserve">rogramas. La futura cooperación </w:t>
      </w:r>
      <w:r w:rsidRPr="00715B09">
        <w:rPr>
          <w:rFonts w:ascii="TimesNewRoman" w:hAnsi="TimesNewRoman" w:cs="TimesNewRoman"/>
          <w:sz w:val="24"/>
          <w:szCs w:val="24"/>
        </w:rPr>
        <w:t>en un capítulo ATCI PYME podría ayudar a las PYME a aprovechar mejor lo</w:t>
      </w:r>
      <w:r>
        <w:rPr>
          <w:rFonts w:ascii="TimesNewRoman" w:hAnsi="TimesNewRoman" w:cs="TimesNewRoman"/>
          <w:sz w:val="24"/>
          <w:szCs w:val="24"/>
        </w:rPr>
        <w:t xml:space="preserve">s compromisos existentes en las </w:t>
      </w:r>
      <w:r w:rsidRPr="00715B09">
        <w:rPr>
          <w:rFonts w:ascii="TimesNewRoman" w:hAnsi="TimesNewRoman" w:cs="TimesNewRoman"/>
          <w:sz w:val="24"/>
          <w:szCs w:val="24"/>
        </w:rPr>
        <w:t>demás partes de la ATCI y que pueden ser de especial importancia para ellas.</w:t>
      </w:r>
    </w:p>
    <w:p w:rsidR="000369FD" w:rsidRDefault="000369FD" w:rsidP="000369FD">
      <w:pPr>
        <w:spacing w:line="240" w:lineRule="auto"/>
        <w:jc w:val="both"/>
        <w:rPr>
          <w:rFonts w:ascii="Times New Roman" w:hAnsi="Times New Roman" w:cs="Times New Roman"/>
          <w:sz w:val="24"/>
          <w:szCs w:val="24"/>
        </w:rPr>
      </w:pPr>
    </w:p>
    <w:p w:rsidR="000369FD" w:rsidRPr="002B199A" w:rsidRDefault="000369FD" w:rsidP="000369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B199A">
        <w:rPr>
          <w:rFonts w:ascii="Times New Roman" w:hAnsi="Times New Roman" w:cs="Times New Roman"/>
          <w:sz w:val="24"/>
          <w:szCs w:val="24"/>
          <w:u w:val="single"/>
        </w:rPr>
        <w:t>Cinco cosas que debería saber la Asociación Transatlántica de Comercio e Inversión (ATCI)</w:t>
      </w:r>
      <w:r>
        <w:rPr>
          <w:rFonts w:ascii="Times New Roman" w:hAnsi="Times New Roman" w:cs="Times New Roman"/>
          <w:sz w:val="24"/>
          <w:szCs w:val="24"/>
        </w:rPr>
        <w:t xml:space="preserve"> </w:t>
      </w:r>
      <w:r w:rsidRPr="00F440B1">
        <w:rPr>
          <w:rFonts w:ascii="Times New Roman" w:hAnsi="Times New Roman" w:cs="Times New Roman"/>
          <w:sz w:val="24"/>
          <w:szCs w:val="24"/>
        </w:rPr>
        <w:t>(</w:t>
      </w:r>
      <w:hyperlink r:id="rId7" w:history="1">
        <w:r w:rsidRPr="00F440B1">
          <w:rPr>
            <w:rStyle w:val="Hipervnculo"/>
            <w:rFonts w:ascii="Times New Roman" w:hAnsi="Times New Roman" w:cs="Times New Roman"/>
            <w:color w:val="auto"/>
            <w:sz w:val="24"/>
            <w:szCs w:val="24"/>
            <w:u w:val="none"/>
          </w:rPr>
          <w:t>http://ec.europa.eu/spain/pdf/ttip/usa-cinco-cosas.pdf</w:t>
        </w:r>
      </w:hyperlink>
      <w:r>
        <w:rPr>
          <w:rFonts w:ascii="Times New Roman" w:hAnsi="Times New Roman" w:cs="Times New Roman"/>
          <w:sz w:val="24"/>
          <w:szCs w:val="24"/>
        </w:rPr>
        <w:t xml:space="preserve"> - </w:t>
      </w:r>
      <w:r w:rsidRPr="002B199A">
        <w:rPr>
          <w:rFonts w:ascii="Times New Roman" w:hAnsi="Times New Roman" w:cs="Times New Roman"/>
          <w:b/>
          <w:sz w:val="24"/>
          <w:szCs w:val="24"/>
        </w:rPr>
        <w:t>15/11/13</w:t>
      </w:r>
      <w:r>
        <w:rPr>
          <w:rFonts w:ascii="Times New Roman" w:hAnsi="Times New Roman" w:cs="Times New Roman"/>
          <w:sz w:val="24"/>
          <w:szCs w:val="24"/>
        </w:rPr>
        <w:t xml:space="preserve">) </w:t>
      </w:r>
    </w:p>
    <w:p w:rsidR="000369FD" w:rsidRPr="002B199A" w:rsidRDefault="000369FD" w:rsidP="000369FD">
      <w:pPr>
        <w:autoSpaceDE w:val="0"/>
        <w:autoSpaceDN w:val="0"/>
        <w:adjustRightInd w:val="0"/>
        <w:spacing w:after="0" w:line="240" w:lineRule="auto"/>
        <w:jc w:val="both"/>
        <w:rPr>
          <w:rFonts w:ascii="TimesNewRoman,Bold" w:hAnsi="TimesNewRoman,Bold" w:cs="TimesNewRoman,Bold"/>
          <w:b/>
          <w:bCs/>
          <w:sz w:val="24"/>
          <w:szCs w:val="24"/>
        </w:rPr>
      </w:pPr>
      <w:r>
        <w:rPr>
          <w:rFonts w:ascii="TimesNewRoman" w:hAnsi="TimesNewRoman" w:cs="TimesNewRoman"/>
          <w:sz w:val="24"/>
          <w:szCs w:val="24"/>
        </w:rPr>
        <w:t xml:space="preserve">Esta semana se celebra en Bruselas la segunda ronda de negociaciones sobre la </w:t>
      </w:r>
      <w:r>
        <w:rPr>
          <w:rFonts w:ascii="TimesNewRoman,Bold" w:hAnsi="TimesNewRoman,Bold" w:cs="TimesNewRoman,Bold"/>
          <w:b/>
          <w:bCs/>
          <w:sz w:val="24"/>
          <w:szCs w:val="24"/>
        </w:rPr>
        <w:t>Asociación Transatlántica de Comercio e Inversión (ATCI)</w:t>
      </w:r>
      <w:r>
        <w:rPr>
          <w:rFonts w:ascii="TimesNewRoman" w:hAnsi="TimesNewRoman" w:cs="TimesNewRoman"/>
          <w:sz w:val="24"/>
          <w:szCs w:val="24"/>
        </w:rPr>
        <w:t>. Gracias a este acuerdo, vender bienes y</w:t>
      </w:r>
      <w:r>
        <w:rPr>
          <w:rFonts w:ascii="TimesNewRoman,Bold" w:hAnsi="TimesNewRoman,Bold" w:cs="TimesNewRoman,Bold"/>
          <w:b/>
          <w:bCs/>
          <w:sz w:val="24"/>
          <w:szCs w:val="24"/>
        </w:rPr>
        <w:t xml:space="preserve"> </w:t>
      </w:r>
      <w:r>
        <w:rPr>
          <w:rFonts w:ascii="TimesNewRoman" w:hAnsi="TimesNewRoman" w:cs="TimesNewRoman"/>
          <w:sz w:val="24"/>
          <w:szCs w:val="24"/>
        </w:rPr>
        <w:t>servicios a consumidores en la Unión Europea (UE) sería mucho más fácil para los</w:t>
      </w:r>
      <w:r>
        <w:rPr>
          <w:rFonts w:ascii="TimesNewRoman,Bold" w:hAnsi="TimesNewRoman,Bold" w:cs="TimesNewRoman,Bold"/>
          <w:b/>
          <w:bCs/>
          <w:sz w:val="24"/>
          <w:szCs w:val="24"/>
        </w:rPr>
        <w:t xml:space="preserve"> </w:t>
      </w:r>
      <w:r>
        <w:rPr>
          <w:rFonts w:ascii="TimesNewRoman" w:hAnsi="TimesNewRoman" w:cs="TimesNewRoman"/>
          <w:sz w:val="24"/>
          <w:szCs w:val="24"/>
        </w:rPr>
        <w:t>americanos.</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r>
        <w:rPr>
          <w:rFonts w:ascii="TimesNewRoman" w:hAnsi="TimesNewRoman" w:cs="TimesNewRoman"/>
          <w:sz w:val="24"/>
          <w:szCs w:val="24"/>
        </w:rPr>
        <w:t>La ATCI abrirá las puertas al comercio y la inversión transatlánticos, desde Wall Street a Main Street. Esto ofrece una oportunidad extraordinaria para los Estados Unidos de asociarse con la UE en una iniciativa que generará empleos y fomentará el crecimiento económico, manteniendo al mismo tiempo elevados estándares de protección de la salud, la seguridad y protección medioambiental para los ciudadanos de ambos lados del Atlántico.</w:t>
      </w:r>
    </w:p>
    <w:p w:rsidR="000369FD" w:rsidRDefault="000369FD" w:rsidP="000369FD">
      <w:pPr>
        <w:autoSpaceDE w:val="0"/>
        <w:autoSpaceDN w:val="0"/>
        <w:adjustRightInd w:val="0"/>
        <w:spacing w:after="0" w:line="240" w:lineRule="auto"/>
        <w:jc w:val="both"/>
        <w:rPr>
          <w:rFonts w:ascii="TimesNewRoman" w:hAnsi="TimesNewRoman" w:cs="TimesNewRoman"/>
          <w:sz w:val="24"/>
          <w:szCs w:val="24"/>
        </w:rPr>
      </w:pPr>
    </w:p>
    <w:p w:rsidR="000369FD" w:rsidRPr="002B199A" w:rsidRDefault="000369FD" w:rsidP="000369FD">
      <w:pPr>
        <w:spacing w:line="240" w:lineRule="auto"/>
        <w:jc w:val="both"/>
        <w:rPr>
          <w:rFonts w:ascii="Times New Roman" w:hAnsi="Times New Roman" w:cs="Times New Roman"/>
          <w:sz w:val="24"/>
          <w:szCs w:val="24"/>
        </w:rPr>
      </w:pPr>
      <w:r>
        <w:rPr>
          <w:rFonts w:ascii="TimesNewRoman,Bold" w:hAnsi="TimesNewRoman,Bold" w:cs="TimesNewRoman,Bold"/>
          <w:b/>
          <w:bCs/>
          <w:sz w:val="24"/>
          <w:szCs w:val="24"/>
        </w:rPr>
        <w:t>Estas son las 5 cosas más importantes que debe saber sobre la ATCI:</w:t>
      </w: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r>
        <w:rPr>
          <w:rFonts w:ascii="TimesNewRoman,Bold" w:hAnsi="TimesNewRoman,Bold" w:cs="TimesNewRoman,Bold"/>
          <w:b/>
          <w:bCs/>
          <w:color w:val="000000"/>
          <w:sz w:val="24"/>
          <w:szCs w:val="24"/>
        </w:rPr>
        <w:t xml:space="preserve">1. La ATCI fomentará el empleo y el crecimiento. </w:t>
      </w:r>
      <w:r>
        <w:rPr>
          <w:rFonts w:ascii="TimesNewRoman" w:hAnsi="TimesNewRoman" w:cs="TimesNewRoman"/>
          <w:color w:val="000000"/>
          <w:sz w:val="24"/>
          <w:szCs w:val="24"/>
        </w:rPr>
        <w:t>La UE ya es nuestro mayor socio comercial, con un flujo de comercio de bienes y servicios por un valor de 2 700 millones de dólares entre nosotros cada día y cerca de unos 4 billones de dólares invertidos entre una y otra de nuestras economías. Bajar las barreras al comercio no es sólo una solución práctica para las empresas, es una solución práctica para todos. Más de 13 millones de empleos en los Estados Unidos y la UE ya dependen de la asociación económica entre los EEUU y la UE y la ATCI originará más comercio, más empleos y más oportunidades, también para las pequeñas empresas a lo largo del país.</w:t>
      </w:r>
    </w:p>
    <w:p w:rsidR="000369FD"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r>
        <w:rPr>
          <w:rFonts w:ascii="TimesNewRoman,Bold" w:hAnsi="TimesNewRoman,Bold" w:cs="TimesNewRoman,Bold"/>
          <w:b/>
          <w:bCs/>
          <w:color w:val="000000"/>
          <w:sz w:val="24"/>
          <w:szCs w:val="24"/>
        </w:rPr>
        <w:t>2. La ATCI no es simplemente otro tratado de libre comercio</w:t>
      </w:r>
      <w:r>
        <w:rPr>
          <w:rFonts w:ascii="TimesNewRoman" w:hAnsi="TimesNewRoman" w:cs="TimesNewRoman"/>
          <w:color w:val="000000"/>
          <w:sz w:val="24"/>
          <w:szCs w:val="24"/>
        </w:rPr>
        <w:t xml:space="preserve">. Se trata de fortalecer toda la relación transatlántica, una asociación histórica y estratégica critica. Al fortalecer </w:t>
      </w:r>
      <w:r>
        <w:rPr>
          <w:rFonts w:ascii="TimesNewRoman" w:hAnsi="TimesNewRoman" w:cs="TimesNewRoman"/>
          <w:color w:val="000000"/>
          <w:sz w:val="24"/>
          <w:szCs w:val="24"/>
        </w:rPr>
        <w:lastRenderedPageBreak/>
        <w:t>juntos nuestras economías a través de la ATCI, los Estados Unidos y la UE podrán abordarán mejor los retos globales más urgentes de hoy en día.</w:t>
      </w:r>
    </w:p>
    <w:p w:rsidR="000369FD"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p>
    <w:p w:rsidR="000369FD" w:rsidRPr="002B199A"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r>
        <w:rPr>
          <w:rFonts w:ascii="TimesNewRoman,Bold" w:hAnsi="TimesNewRoman,Bold" w:cs="TimesNewRoman,Bold"/>
          <w:b/>
          <w:bCs/>
          <w:color w:val="000000"/>
          <w:sz w:val="24"/>
          <w:szCs w:val="24"/>
        </w:rPr>
        <w:t xml:space="preserve">3. La ATCI puede establecer estándares elevados e instigar nuevas normas para el sistema de comercio global. </w:t>
      </w:r>
      <w:r>
        <w:rPr>
          <w:rFonts w:ascii="TimesNewRoman" w:hAnsi="TimesNewRoman" w:cs="TimesNewRoman"/>
          <w:color w:val="000000"/>
          <w:sz w:val="24"/>
          <w:szCs w:val="24"/>
        </w:rPr>
        <w:t>Los Estados Unidos y la UE tienen algunos de los sistemas</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regulatorios más avanzados del mundo y la ATCI se basará en nuestro compromiso</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compartido de fuertes regulaciones en el interés público. La ATCI busca superar las</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divergencias entre nuestros sistemas regulatorios de manera que nos ayude trabajar con más</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eficacia, manteniendo al mismo tiempo altos niveles de protección para el consumidor.</w:t>
      </w:r>
    </w:p>
    <w:p w:rsidR="000369FD"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p>
    <w:p w:rsidR="000369FD" w:rsidRPr="002B199A"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r>
        <w:rPr>
          <w:rFonts w:ascii="TimesNewRoman,Bold" w:hAnsi="TimesNewRoman,Bold" w:cs="TimesNewRoman,Bold"/>
          <w:b/>
          <w:bCs/>
          <w:color w:val="000000"/>
          <w:sz w:val="24"/>
          <w:szCs w:val="24"/>
        </w:rPr>
        <w:t xml:space="preserve">4. Ya estamos trabajando estrechamente con la UE sobre muchos de estos temas -y consiguiendo resultados. </w:t>
      </w:r>
      <w:r>
        <w:rPr>
          <w:rFonts w:ascii="TimesNewRoman" w:hAnsi="TimesNewRoman" w:cs="TimesNewRoman"/>
          <w:color w:val="000000"/>
          <w:sz w:val="24"/>
          <w:szCs w:val="24"/>
        </w:rPr>
        <w:t>Los Estados Unidos y la UE tienen una larga historia de</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cooperación económica desde los comienzos de la UE como Comunidad Económica del</w:t>
      </w: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r>
        <w:rPr>
          <w:rFonts w:ascii="TimesNewRoman" w:hAnsi="TimesNewRoman" w:cs="TimesNewRoman"/>
          <w:color w:val="000000"/>
          <w:sz w:val="24"/>
          <w:szCs w:val="24"/>
        </w:rPr>
        <w:t>Carbón y del Acero en 1957. Hemos recorrido un largo camino y hemos trabajado juntos efectivamente en una amplia variedad de retos. Por ejemplo, hemos concluido recientemente un acuerdo que permite a los productores de alimentos orgánicos de los EEUU y la UE vender sus productos más fácilmente a través del Atlántico.</w:t>
      </w:r>
    </w:p>
    <w:p w:rsidR="000369FD" w:rsidRDefault="000369FD" w:rsidP="000369FD">
      <w:pPr>
        <w:autoSpaceDE w:val="0"/>
        <w:autoSpaceDN w:val="0"/>
        <w:adjustRightInd w:val="0"/>
        <w:spacing w:after="0" w:line="240" w:lineRule="auto"/>
        <w:jc w:val="both"/>
        <w:rPr>
          <w:rFonts w:ascii="TimesNewRoman,Bold" w:hAnsi="TimesNewRoman,Bold" w:cs="TimesNewRoman,Bold"/>
          <w:b/>
          <w:bCs/>
          <w:color w:val="000000"/>
          <w:sz w:val="24"/>
          <w:szCs w:val="24"/>
        </w:rPr>
      </w:pP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r>
        <w:rPr>
          <w:rFonts w:ascii="TimesNewRoman,Bold" w:hAnsi="TimesNewRoman,Bold" w:cs="TimesNewRoman,Bold"/>
          <w:b/>
          <w:bCs/>
          <w:color w:val="000000"/>
          <w:sz w:val="24"/>
          <w:szCs w:val="24"/>
        </w:rPr>
        <w:t xml:space="preserve">5. La segunda ronda de las negociaciones de la ATCI se celebra en Bruselas esta semana. </w:t>
      </w:r>
      <w:r>
        <w:rPr>
          <w:rFonts w:ascii="TimesNewRoman" w:hAnsi="TimesNewRoman" w:cs="TimesNewRoman"/>
          <w:color w:val="000000"/>
          <w:sz w:val="24"/>
          <w:szCs w:val="24"/>
        </w:rPr>
        <w:t>Celebramos la primera ronda de las negociaciones de la ATCI en julio y, esta</w:t>
      </w:r>
      <w:r>
        <w:rPr>
          <w:rFonts w:ascii="TimesNewRoman,Bold" w:hAnsi="TimesNewRoman,Bold" w:cs="TimesNewRoman,Bold"/>
          <w:b/>
          <w:bCs/>
          <w:color w:val="000000"/>
          <w:sz w:val="24"/>
          <w:szCs w:val="24"/>
        </w:rPr>
        <w:t xml:space="preserve"> </w:t>
      </w:r>
      <w:r>
        <w:rPr>
          <w:rFonts w:ascii="TimesNewRoman" w:hAnsi="TimesNewRoman" w:cs="TimesNewRoman"/>
          <w:color w:val="000000"/>
          <w:sz w:val="24"/>
          <w:szCs w:val="24"/>
        </w:rPr>
        <w:t xml:space="preserve">semana, se celebra la segunda ronda en Bruselas. </w:t>
      </w:r>
    </w:p>
    <w:p w:rsidR="000369FD" w:rsidRDefault="000369FD" w:rsidP="000369FD">
      <w:pPr>
        <w:autoSpaceDE w:val="0"/>
        <w:autoSpaceDN w:val="0"/>
        <w:adjustRightInd w:val="0"/>
        <w:spacing w:after="0" w:line="240" w:lineRule="auto"/>
        <w:jc w:val="both"/>
        <w:rPr>
          <w:rFonts w:ascii="TimesNewRoman" w:hAnsi="TimesNewRoman" w:cs="TimesNewRoman"/>
          <w:color w:val="000000"/>
          <w:sz w:val="24"/>
          <w:szCs w:val="24"/>
        </w:rPr>
      </w:pP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r>
        <w:rPr>
          <w:rFonts w:ascii="TimesNewRoman" w:hAnsi="TimesNewRoman" w:cs="TimesNewRoman"/>
          <w:color w:val="000000"/>
          <w:sz w:val="24"/>
          <w:szCs w:val="24"/>
        </w:rPr>
        <w:t xml:space="preserve">Para saber más sobre la segunda ronda de negociaciones de la ATCI, por favor visite el sitio Web de </w:t>
      </w:r>
      <w:r>
        <w:rPr>
          <w:rFonts w:ascii="TimesNewRoman" w:hAnsi="TimesNewRoman" w:cs="TimesNewRoman"/>
          <w:color w:val="0000FF"/>
          <w:sz w:val="24"/>
          <w:szCs w:val="24"/>
        </w:rPr>
        <w:t>USTR T-TIP</w:t>
      </w:r>
      <w:r>
        <w:rPr>
          <w:rFonts w:ascii="TimesNewRoman" w:hAnsi="TimesNewRoman" w:cs="TimesNewRoman"/>
          <w:color w:val="000000"/>
          <w:sz w:val="24"/>
          <w:szCs w:val="24"/>
        </w:rPr>
        <w:t xml:space="preserve">, la página </w:t>
      </w:r>
      <w:r>
        <w:rPr>
          <w:rFonts w:ascii="TimesNewRoman" w:hAnsi="TimesNewRoman" w:cs="TimesNewRoman"/>
          <w:color w:val="0000FF"/>
          <w:sz w:val="24"/>
          <w:szCs w:val="24"/>
        </w:rPr>
        <w:t>USTR</w:t>
      </w:r>
      <w:r>
        <w:rPr>
          <w:rFonts w:ascii="TimesNewRoman" w:hAnsi="TimesNewRoman" w:cs="TimesNewRoman"/>
          <w:color w:val="000000"/>
          <w:sz w:val="24"/>
          <w:szCs w:val="24"/>
        </w:rPr>
        <w:t xml:space="preserve"> </w:t>
      </w:r>
      <w:r>
        <w:rPr>
          <w:rFonts w:ascii="TimesNewRoman" w:hAnsi="TimesNewRoman" w:cs="TimesNewRoman"/>
          <w:color w:val="0000FF"/>
          <w:sz w:val="24"/>
          <w:szCs w:val="24"/>
        </w:rPr>
        <w:t xml:space="preserve">twitter </w:t>
      </w:r>
      <w:r>
        <w:rPr>
          <w:rFonts w:ascii="TimesNewRoman" w:hAnsi="TimesNewRoman" w:cs="TimesNewRoman"/>
          <w:color w:val="000000"/>
          <w:sz w:val="24"/>
          <w:szCs w:val="24"/>
        </w:rPr>
        <w:t xml:space="preserve">page o visite </w:t>
      </w:r>
      <w:r>
        <w:rPr>
          <w:rFonts w:ascii="TimesNewRoman" w:hAnsi="TimesNewRoman" w:cs="TimesNewRoman"/>
          <w:color w:val="0000FF"/>
          <w:sz w:val="24"/>
          <w:szCs w:val="24"/>
        </w:rPr>
        <w:t>Sitio Web ATCI de la Misión de EEUU ante la EU</w:t>
      </w:r>
    </w:p>
    <w:p w:rsidR="000369FD" w:rsidRPr="002B199A" w:rsidRDefault="000369FD" w:rsidP="000369FD">
      <w:pPr>
        <w:autoSpaceDE w:val="0"/>
        <w:autoSpaceDN w:val="0"/>
        <w:adjustRightInd w:val="0"/>
        <w:spacing w:after="0" w:line="240" w:lineRule="auto"/>
        <w:rPr>
          <w:rFonts w:ascii="TimesNewRoman" w:hAnsi="TimesNewRoman" w:cs="TimesNewRoman"/>
          <w:color w:val="000000"/>
          <w:sz w:val="24"/>
          <w:szCs w:val="24"/>
        </w:rPr>
      </w:pPr>
    </w:p>
    <w:p w:rsidR="000369FD" w:rsidRDefault="000369FD" w:rsidP="000369FD">
      <w:pPr>
        <w:autoSpaceDE w:val="0"/>
        <w:autoSpaceDN w:val="0"/>
        <w:adjustRightInd w:val="0"/>
        <w:spacing w:after="0" w:line="240" w:lineRule="auto"/>
        <w:rPr>
          <w:rFonts w:ascii="TimesNewRoman" w:hAnsi="TimesNewRoman" w:cs="TimesNewRoman"/>
          <w:color w:val="000000"/>
          <w:sz w:val="24"/>
          <w:szCs w:val="24"/>
        </w:rPr>
      </w:pPr>
      <w:r>
        <w:rPr>
          <w:rFonts w:ascii="TimesNewRoman" w:hAnsi="TimesNewRoman" w:cs="TimesNewRoman"/>
          <w:color w:val="000000"/>
          <w:sz w:val="24"/>
          <w:szCs w:val="24"/>
        </w:rPr>
        <w:t>Más información en:</w:t>
      </w:r>
    </w:p>
    <w:p w:rsidR="000369FD" w:rsidRDefault="000369FD" w:rsidP="000369FD">
      <w:pPr>
        <w:autoSpaceDE w:val="0"/>
        <w:autoSpaceDN w:val="0"/>
        <w:adjustRightInd w:val="0"/>
        <w:spacing w:after="0" w:line="240" w:lineRule="auto"/>
        <w:rPr>
          <w:rFonts w:ascii="TimesNewRoman" w:hAnsi="TimesNewRoman" w:cs="TimesNewRoman"/>
          <w:color w:val="000000"/>
          <w:sz w:val="24"/>
          <w:szCs w:val="24"/>
        </w:rPr>
      </w:pP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r>
        <w:rPr>
          <w:rFonts w:ascii="TimesNewRoman" w:hAnsi="TimesNewRoman" w:cs="TimesNewRoman"/>
          <w:color w:val="0000FF"/>
          <w:sz w:val="24"/>
          <w:szCs w:val="24"/>
        </w:rPr>
        <w:t>Oficina del Representante de los EEUU para el Comercio, Sitio Web ATCI</w:t>
      </w: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r>
        <w:rPr>
          <w:rFonts w:ascii="TimesNewRoman" w:hAnsi="TimesNewRoman" w:cs="TimesNewRoman"/>
          <w:color w:val="0000FF"/>
          <w:sz w:val="24"/>
          <w:szCs w:val="24"/>
        </w:rPr>
        <w:t>Sitio Web ATCI de la Misión de EEUU ante la EU</w:t>
      </w: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r>
        <w:rPr>
          <w:rFonts w:ascii="TimesNewRoman" w:hAnsi="TimesNewRoman" w:cs="TimesNewRoman"/>
          <w:color w:val="0000FF"/>
          <w:sz w:val="24"/>
          <w:szCs w:val="24"/>
        </w:rPr>
        <w:t>Discurso de Michael Froman, Representante de Comercio de los EEUU ante el German Marshall Fund, 30 sept. 2013</w:t>
      </w:r>
    </w:p>
    <w:p w:rsidR="000369FD" w:rsidRDefault="000369FD" w:rsidP="000369FD">
      <w:pPr>
        <w:autoSpaceDE w:val="0"/>
        <w:autoSpaceDN w:val="0"/>
        <w:adjustRightInd w:val="0"/>
        <w:spacing w:after="0" w:line="240" w:lineRule="auto"/>
        <w:rPr>
          <w:rFonts w:ascii="TimesNewRoman" w:hAnsi="TimesNewRoman" w:cs="TimesNewRoman"/>
          <w:color w:val="0000FF"/>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 </w:t>
      </w:r>
      <w:r w:rsidRPr="00CA1010">
        <w:rPr>
          <w:rFonts w:ascii="Times New Roman" w:hAnsi="Times New Roman" w:cs="Times New Roman"/>
          <w:bCs/>
          <w:color w:val="000000"/>
          <w:sz w:val="24"/>
          <w:szCs w:val="24"/>
          <w:u w:val="single"/>
        </w:rPr>
        <w:t>Un estudio independiente presenta las ventajas del acuerdo comercial entre la Unión Europea y los Estados Unidos</w:t>
      </w:r>
      <w:r>
        <w:rPr>
          <w:rFonts w:ascii="Times New Roman" w:hAnsi="Times New Roman" w:cs="Times New Roman"/>
          <w:b/>
          <w:bCs/>
          <w:color w:val="000000"/>
          <w:sz w:val="24"/>
          <w:szCs w:val="24"/>
        </w:rPr>
        <w:t xml:space="preserve"> </w:t>
      </w:r>
      <w:r w:rsidRPr="005D1B4D">
        <w:rPr>
          <w:rFonts w:ascii="Times New Roman" w:hAnsi="Times New Roman" w:cs="Times New Roman"/>
          <w:bCs/>
          <w:color w:val="000000"/>
          <w:sz w:val="24"/>
          <w:szCs w:val="24"/>
        </w:rPr>
        <w:t xml:space="preserve">(Comisión Europea </w:t>
      </w:r>
      <w:r>
        <w:rPr>
          <w:rFonts w:ascii="Times New Roman" w:hAnsi="Times New Roman" w:cs="Times New Roman"/>
          <w:bCs/>
          <w:color w:val="000000"/>
          <w:sz w:val="24"/>
          <w:szCs w:val="24"/>
        </w:rPr>
        <w:t>-</w:t>
      </w:r>
      <w:r w:rsidRPr="005D1B4D">
        <w:rPr>
          <w:rFonts w:ascii="Times New Roman" w:hAnsi="Times New Roman" w:cs="Times New Roman"/>
          <w:bCs/>
          <w:color w:val="000000"/>
          <w:sz w:val="24"/>
          <w:szCs w:val="24"/>
        </w:rPr>
        <w:t xml:space="preserve"> </w:t>
      </w:r>
      <w:r w:rsidRPr="005D1B4D">
        <w:rPr>
          <w:rFonts w:ascii="Times New Roman" w:hAnsi="Times New Roman" w:cs="Times New Roman"/>
          <w:b/>
          <w:bCs/>
          <w:color w:val="000000"/>
          <w:sz w:val="24"/>
          <w:szCs w:val="24"/>
        </w:rPr>
        <w:t>12/3/13</w:t>
      </w:r>
      <w:r w:rsidRPr="005D1B4D">
        <w:rPr>
          <w:rFonts w:ascii="Times New Roman" w:hAnsi="Times New Roman" w:cs="Times New Roman"/>
          <w:bCs/>
          <w:color w:val="000000"/>
          <w:sz w:val="24"/>
          <w:szCs w:val="24"/>
        </w:rPr>
        <w:t>)</w:t>
      </w:r>
    </w:p>
    <w:p w:rsidR="000369FD" w:rsidRPr="005D1B4D" w:rsidRDefault="000369FD" w:rsidP="000369FD">
      <w:pPr>
        <w:autoSpaceDE w:val="0"/>
        <w:autoSpaceDN w:val="0"/>
        <w:adjustRightInd w:val="0"/>
        <w:spacing w:after="0" w:line="240" w:lineRule="auto"/>
        <w:jc w:val="both"/>
        <w:rPr>
          <w:rFonts w:ascii="Times New Roman" w:hAnsi="Times New Roman" w:cs="Times New Roman"/>
          <w:bCs/>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r w:rsidRPr="003333CC">
        <w:rPr>
          <w:rFonts w:ascii="Times New Roman" w:hAnsi="Times New Roman" w:cs="Times New Roman"/>
          <w:color w:val="FF0000"/>
          <w:sz w:val="24"/>
          <w:szCs w:val="24"/>
        </w:rPr>
        <w:t xml:space="preserve">Hoy se ha dado a conocer un estudio en profundidad, realizado por el </w:t>
      </w:r>
      <w:r w:rsidRPr="00A24C29">
        <w:rPr>
          <w:rFonts w:ascii="Times New Roman" w:hAnsi="Times New Roman" w:cs="Times New Roman"/>
          <w:b/>
          <w:i/>
          <w:iCs/>
          <w:color w:val="FF0000"/>
          <w:sz w:val="24"/>
          <w:szCs w:val="24"/>
        </w:rPr>
        <w:t>Centre for Economic Policy Research</w:t>
      </w:r>
      <w:r w:rsidRPr="003333CC">
        <w:rPr>
          <w:rFonts w:ascii="Times New Roman" w:hAnsi="Times New Roman" w:cs="Times New Roman"/>
          <w:i/>
          <w:iCs/>
          <w:color w:val="FF0000"/>
          <w:sz w:val="24"/>
          <w:szCs w:val="24"/>
        </w:rPr>
        <w:t xml:space="preserve"> </w:t>
      </w:r>
      <w:r w:rsidRPr="003333CC">
        <w:rPr>
          <w:rFonts w:ascii="Times New Roman" w:hAnsi="Times New Roman" w:cs="Times New Roman"/>
          <w:color w:val="FF0000"/>
          <w:sz w:val="24"/>
          <w:szCs w:val="24"/>
        </w:rPr>
        <w:t>de Londres, sobre los efectos potenciales de la Asociación Transatlántica</w:t>
      </w:r>
      <w:r w:rsidRPr="003333CC">
        <w:rPr>
          <w:rFonts w:ascii="Times New Roman" w:hAnsi="Times New Roman" w:cs="Times New Roman"/>
          <w:i/>
          <w:iCs/>
          <w:color w:val="FF0000"/>
          <w:sz w:val="24"/>
          <w:szCs w:val="24"/>
        </w:rPr>
        <w:t xml:space="preserve"> </w:t>
      </w:r>
      <w:r w:rsidRPr="003333CC">
        <w:rPr>
          <w:rFonts w:ascii="Times New Roman" w:hAnsi="Times New Roman" w:cs="Times New Roman"/>
          <w:color w:val="FF0000"/>
          <w:sz w:val="24"/>
          <w:szCs w:val="24"/>
        </w:rPr>
        <w:t>de Comercio e Inversión entre la UE y los Estados Unidos</w:t>
      </w:r>
      <w:r w:rsidRPr="005D1B4D">
        <w:rPr>
          <w:rFonts w:ascii="Times New Roman" w:hAnsi="Times New Roman" w:cs="Times New Roman"/>
          <w:color w:val="000000"/>
          <w:sz w:val="24"/>
          <w:szCs w:val="24"/>
        </w:rPr>
        <w:t>. En él se examinan en detalle los</w:t>
      </w:r>
      <w:r>
        <w:rPr>
          <w:rFonts w:ascii="Times New Roman" w:hAnsi="Times New Roman" w:cs="Times New Roman"/>
          <w:i/>
          <w:iCs/>
          <w:color w:val="000000"/>
          <w:sz w:val="24"/>
          <w:szCs w:val="24"/>
        </w:rPr>
        <w:t xml:space="preserve"> </w:t>
      </w:r>
      <w:r w:rsidRPr="005D1B4D">
        <w:rPr>
          <w:rFonts w:ascii="Times New Roman" w:hAnsi="Times New Roman" w:cs="Times New Roman"/>
          <w:color w:val="000000"/>
          <w:sz w:val="24"/>
          <w:szCs w:val="24"/>
        </w:rPr>
        <w:t>actuales flujos comerciales y de inversión transatlánticos y los obstáculos a los mismos</w:t>
      </w:r>
      <w:r>
        <w:rPr>
          <w:rFonts w:ascii="Times New Roman" w:hAnsi="Times New Roman" w:cs="Times New Roman"/>
          <w:i/>
          <w:iCs/>
          <w:color w:val="000000"/>
          <w:sz w:val="24"/>
          <w:szCs w:val="24"/>
        </w:rPr>
        <w:t xml:space="preserve"> </w:t>
      </w:r>
      <w:r w:rsidRPr="005D1B4D">
        <w:rPr>
          <w:rFonts w:ascii="Times New Roman" w:hAnsi="Times New Roman" w:cs="Times New Roman"/>
          <w:color w:val="000000"/>
          <w:sz w:val="24"/>
          <w:szCs w:val="24"/>
        </w:rPr>
        <w:t>para, a continuación, utilizar modelos económicos para calcular el impacto potencial de</w:t>
      </w:r>
      <w:r>
        <w:rPr>
          <w:rFonts w:ascii="Times New Roman" w:hAnsi="Times New Roman" w:cs="Times New Roman"/>
          <w:i/>
          <w:iCs/>
          <w:color w:val="000000"/>
          <w:sz w:val="24"/>
          <w:szCs w:val="24"/>
        </w:rPr>
        <w:t xml:space="preserve"> </w:t>
      </w:r>
      <w:r w:rsidRPr="005D1B4D">
        <w:rPr>
          <w:rFonts w:ascii="Times New Roman" w:hAnsi="Times New Roman" w:cs="Times New Roman"/>
          <w:color w:val="000000"/>
          <w:sz w:val="24"/>
          <w:szCs w:val="24"/>
        </w:rPr>
        <w:t xml:space="preserve">diferentes escenarios </w:t>
      </w:r>
      <w:r>
        <w:rPr>
          <w:rFonts w:ascii="Times New Roman" w:hAnsi="Times New Roman" w:cs="Times New Roman"/>
          <w:color w:val="000000"/>
          <w:sz w:val="24"/>
          <w:szCs w:val="24"/>
        </w:rPr>
        <w:t xml:space="preserve">políticos. </w:t>
      </w:r>
      <w:r w:rsidRPr="003333CC">
        <w:rPr>
          <w:rFonts w:ascii="Times New Roman" w:hAnsi="Times New Roman" w:cs="Times New Roman"/>
          <w:color w:val="FF0000"/>
          <w:sz w:val="24"/>
          <w:szCs w:val="24"/>
        </w:rPr>
        <w:t>El estudio resalta los enormes beneficios de la liberalización</w:t>
      </w:r>
      <w:r w:rsidRPr="003333CC">
        <w:rPr>
          <w:rFonts w:ascii="Times New Roman" w:hAnsi="Times New Roman" w:cs="Times New Roman"/>
          <w:i/>
          <w:iCs/>
          <w:color w:val="FF0000"/>
          <w:sz w:val="24"/>
          <w:szCs w:val="24"/>
        </w:rPr>
        <w:t xml:space="preserve"> </w:t>
      </w:r>
      <w:r w:rsidRPr="003333CC">
        <w:rPr>
          <w:rFonts w:ascii="Times New Roman" w:hAnsi="Times New Roman" w:cs="Times New Roman"/>
          <w:color w:val="FF0000"/>
          <w:sz w:val="24"/>
          <w:szCs w:val="24"/>
        </w:rPr>
        <w:t>del comercio entre la UE y los Estados Unidos, no solo para los dos bloques comerciales,</w:t>
      </w:r>
      <w:r w:rsidRPr="003333CC">
        <w:rPr>
          <w:rFonts w:ascii="Times New Roman" w:hAnsi="Times New Roman" w:cs="Times New Roman"/>
          <w:i/>
          <w:iCs/>
          <w:color w:val="FF0000"/>
          <w:sz w:val="24"/>
          <w:szCs w:val="24"/>
        </w:rPr>
        <w:t xml:space="preserve"> </w:t>
      </w:r>
      <w:r w:rsidRPr="003333CC">
        <w:rPr>
          <w:rFonts w:ascii="Times New Roman" w:hAnsi="Times New Roman" w:cs="Times New Roman"/>
          <w:color w:val="FF0000"/>
          <w:sz w:val="24"/>
          <w:szCs w:val="24"/>
        </w:rPr>
        <w:t>sino también para la economía mundial. El estudio fue encargado por la Dirección General</w:t>
      </w:r>
      <w:r w:rsidRPr="003333CC">
        <w:rPr>
          <w:rFonts w:ascii="Times New Roman" w:hAnsi="Times New Roman" w:cs="Times New Roman"/>
          <w:i/>
          <w:iCs/>
          <w:color w:val="FF0000"/>
          <w:sz w:val="24"/>
          <w:szCs w:val="24"/>
        </w:rPr>
        <w:t xml:space="preserve"> </w:t>
      </w:r>
      <w:r w:rsidRPr="003333CC">
        <w:rPr>
          <w:rFonts w:ascii="Times New Roman" w:hAnsi="Times New Roman" w:cs="Times New Roman"/>
          <w:color w:val="FF0000"/>
          <w:sz w:val="24"/>
          <w:szCs w:val="24"/>
        </w:rPr>
        <w:t>de Comercio de la Comisión Europea</w:t>
      </w:r>
      <w:r w:rsidRPr="005D1B4D">
        <w:rPr>
          <w:rFonts w:ascii="Times New Roman" w:hAnsi="Times New Roman" w:cs="Times New Roman"/>
          <w:color w:val="000000"/>
          <w:sz w:val="24"/>
          <w:szCs w:val="24"/>
        </w:rPr>
        <w:t>. En esta nota se resumen las conclusiones</w:t>
      </w:r>
      <w:r>
        <w:rPr>
          <w:rFonts w:ascii="Times New Roman" w:hAnsi="Times New Roman" w:cs="Times New Roman"/>
          <w:i/>
          <w:iCs/>
          <w:color w:val="000000"/>
          <w:sz w:val="24"/>
          <w:szCs w:val="24"/>
        </w:rPr>
        <w:t xml:space="preserve"> </w:t>
      </w:r>
      <w:r w:rsidRPr="005D1B4D">
        <w:rPr>
          <w:rFonts w:ascii="Times New Roman" w:hAnsi="Times New Roman" w:cs="Times New Roman"/>
          <w:color w:val="000000"/>
          <w:sz w:val="24"/>
          <w:szCs w:val="24"/>
        </w:rPr>
        <w:t>fundamentales del estudio.</w:t>
      </w:r>
    </w:p>
    <w:p w:rsidR="000369FD" w:rsidRPr="00CA1010" w:rsidRDefault="000369FD" w:rsidP="000369FD">
      <w:pPr>
        <w:autoSpaceDE w:val="0"/>
        <w:autoSpaceDN w:val="0"/>
        <w:adjustRightInd w:val="0"/>
        <w:spacing w:after="0" w:line="240" w:lineRule="auto"/>
        <w:jc w:val="both"/>
        <w:rPr>
          <w:rFonts w:ascii="Times New Roman" w:hAnsi="Times New Roman" w:cs="Times New Roman"/>
          <w:i/>
          <w:iCs/>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lastRenderedPageBreak/>
        <w:t>Beneficios económicos generales</w:t>
      </w: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 xml:space="preserve">Una Asociación Transatlántica de Comercio e Inversión ambiciosa y general podría aportar </w:t>
      </w:r>
      <w:r w:rsidRPr="003333CC">
        <w:rPr>
          <w:rFonts w:ascii="Times New Roman" w:hAnsi="Times New Roman" w:cs="Times New Roman"/>
          <w:b/>
          <w:bCs/>
          <w:color w:val="FF0000"/>
          <w:sz w:val="24"/>
          <w:szCs w:val="24"/>
        </w:rPr>
        <w:t>beneficios económico</w:t>
      </w:r>
      <w:r>
        <w:rPr>
          <w:rFonts w:ascii="Times New Roman" w:hAnsi="Times New Roman" w:cs="Times New Roman"/>
          <w:b/>
          <w:bCs/>
          <w:color w:val="FF0000"/>
          <w:sz w:val="24"/>
          <w:szCs w:val="24"/>
        </w:rPr>
        <w:t>s considerables para la UE (119.</w:t>
      </w:r>
      <w:r w:rsidRPr="003333CC">
        <w:rPr>
          <w:rFonts w:ascii="Times New Roman" w:hAnsi="Times New Roman" w:cs="Times New Roman"/>
          <w:b/>
          <w:bCs/>
          <w:color w:val="FF0000"/>
          <w:sz w:val="24"/>
          <w:szCs w:val="24"/>
        </w:rPr>
        <w:t>000 millones</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 xml:space="preserve">de euros anuales) </w:t>
      </w:r>
      <w:r>
        <w:rPr>
          <w:rFonts w:ascii="Times New Roman" w:hAnsi="Times New Roman" w:cs="Times New Roman"/>
          <w:color w:val="FF0000"/>
          <w:sz w:val="24"/>
          <w:szCs w:val="24"/>
        </w:rPr>
        <w:t>y los Estados Unidos (95.</w:t>
      </w:r>
      <w:r w:rsidRPr="003333CC">
        <w:rPr>
          <w:rFonts w:ascii="Times New Roman" w:hAnsi="Times New Roman" w:cs="Times New Roman"/>
          <w:color w:val="FF0000"/>
          <w:sz w:val="24"/>
          <w:szCs w:val="24"/>
        </w:rPr>
        <w:t xml:space="preserve">000 millones de euros anuales), una vez aplicada plenamente, lo que supondría </w:t>
      </w:r>
      <w:r w:rsidRPr="003333CC">
        <w:rPr>
          <w:rFonts w:ascii="Times New Roman" w:hAnsi="Times New Roman" w:cs="Times New Roman"/>
          <w:b/>
          <w:bCs/>
          <w:color w:val="FF0000"/>
          <w:sz w:val="24"/>
          <w:szCs w:val="24"/>
        </w:rPr>
        <w:t>un incremento de la renta</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disponible de 545 euros al año para una familia de cuatro miembros en la</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UE</w:t>
      </w:r>
      <w:r w:rsidRPr="003333CC">
        <w:rPr>
          <w:rFonts w:ascii="Times New Roman" w:hAnsi="Times New Roman" w:cs="Times New Roman"/>
          <w:color w:val="FF0000"/>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 xml:space="preserve">Los beneficios para la UE y los Estados Unidos no se obtendrían a costa del resto del mundo. Al contrario, la liberalización del comercio entre la UE y los Estados Unidos tendría un impacto positivo en el comercio y los ingresos mundiales, </w:t>
      </w:r>
      <w:r w:rsidRPr="003333CC">
        <w:rPr>
          <w:rFonts w:ascii="Times New Roman" w:hAnsi="Times New Roman" w:cs="Times New Roman"/>
          <w:b/>
          <w:bCs/>
          <w:color w:val="FF0000"/>
          <w:sz w:val="24"/>
          <w:szCs w:val="24"/>
        </w:rPr>
        <w:t>con un</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aumento del PIB en el resto del mundo</w:t>
      </w:r>
      <w:r>
        <w:rPr>
          <w:rFonts w:ascii="Times New Roman" w:hAnsi="Times New Roman" w:cs="Times New Roman"/>
          <w:b/>
          <w:bCs/>
          <w:color w:val="FF0000"/>
          <w:sz w:val="24"/>
          <w:szCs w:val="24"/>
        </w:rPr>
        <w:t xml:space="preserve"> de casi 100.</w:t>
      </w:r>
      <w:r w:rsidRPr="003333CC">
        <w:rPr>
          <w:rFonts w:ascii="Times New Roman" w:hAnsi="Times New Roman" w:cs="Times New Roman"/>
          <w:b/>
          <w:bCs/>
          <w:color w:val="FF0000"/>
          <w:sz w:val="24"/>
          <w:szCs w:val="24"/>
        </w:rPr>
        <w:t>000 millones de euros</w:t>
      </w:r>
      <w:r>
        <w:rPr>
          <w:rFonts w:ascii="Times New Roman" w:hAnsi="Times New Roman" w:cs="Times New Roman"/>
          <w:color w:val="000000"/>
          <w:sz w:val="24"/>
          <w:szCs w:val="24"/>
        </w:rPr>
        <w:t xml:space="preserve">. </w:t>
      </w:r>
      <w:r w:rsidRPr="005D1B4D">
        <w:rPr>
          <w:rFonts w:ascii="Times New Roman" w:hAnsi="Times New Roman" w:cs="Times New Roman"/>
          <w:color w:val="000000"/>
          <w:sz w:val="24"/>
          <w:szCs w:val="24"/>
        </w:rPr>
        <w:t>En la medida en que la UE y los Estados Unidos pue</w:t>
      </w:r>
      <w:r>
        <w:rPr>
          <w:rFonts w:ascii="Times New Roman" w:hAnsi="Times New Roman" w:cs="Times New Roman"/>
          <w:color w:val="000000"/>
          <w:sz w:val="24"/>
          <w:szCs w:val="24"/>
        </w:rPr>
        <w:t xml:space="preserve">dan colaborar en el futuro para </w:t>
      </w:r>
      <w:r w:rsidRPr="005D1B4D">
        <w:rPr>
          <w:rFonts w:ascii="Times New Roman" w:hAnsi="Times New Roman" w:cs="Times New Roman"/>
          <w:color w:val="000000"/>
          <w:sz w:val="24"/>
          <w:szCs w:val="24"/>
        </w:rPr>
        <w:t>establecer mejores normas sobre comercio y re</w:t>
      </w:r>
      <w:r>
        <w:rPr>
          <w:rFonts w:ascii="Times New Roman" w:hAnsi="Times New Roman" w:cs="Times New Roman"/>
          <w:color w:val="000000"/>
          <w:sz w:val="24"/>
          <w:szCs w:val="24"/>
        </w:rPr>
        <w:t xml:space="preserve">ducir las diferencias entre sus </w:t>
      </w:r>
      <w:r w:rsidRPr="005D1B4D">
        <w:rPr>
          <w:rFonts w:ascii="Times New Roman" w:hAnsi="Times New Roman" w:cs="Times New Roman"/>
          <w:color w:val="000000"/>
          <w:sz w:val="24"/>
          <w:szCs w:val="24"/>
        </w:rPr>
        <w:t>normativas, algunas de las reducciones consegui</w:t>
      </w:r>
      <w:r>
        <w:rPr>
          <w:rFonts w:ascii="Times New Roman" w:hAnsi="Times New Roman" w:cs="Times New Roman"/>
          <w:color w:val="000000"/>
          <w:sz w:val="24"/>
          <w:szCs w:val="24"/>
        </w:rPr>
        <w:t xml:space="preserve">das en el coste de la actividad </w:t>
      </w:r>
      <w:r w:rsidRPr="005D1B4D">
        <w:rPr>
          <w:rFonts w:ascii="Times New Roman" w:hAnsi="Times New Roman" w:cs="Times New Roman"/>
          <w:color w:val="000000"/>
          <w:sz w:val="24"/>
          <w:szCs w:val="24"/>
        </w:rPr>
        <w:t>comercial beneficiarían también a otros socios. La</w:t>
      </w:r>
      <w:r>
        <w:rPr>
          <w:rFonts w:ascii="Times New Roman" w:hAnsi="Times New Roman" w:cs="Times New Roman"/>
          <w:color w:val="000000"/>
          <w:sz w:val="24"/>
          <w:szCs w:val="24"/>
        </w:rPr>
        <w:t xml:space="preserve"> importancia económica de la UE </w:t>
      </w:r>
      <w:r w:rsidRPr="005D1B4D">
        <w:rPr>
          <w:rFonts w:ascii="Times New Roman" w:hAnsi="Times New Roman" w:cs="Times New Roman"/>
          <w:color w:val="000000"/>
          <w:sz w:val="24"/>
          <w:szCs w:val="24"/>
        </w:rPr>
        <w:t xml:space="preserve">y de los Estados Unidos animará también a sus </w:t>
      </w:r>
      <w:r>
        <w:rPr>
          <w:rFonts w:ascii="Times New Roman" w:hAnsi="Times New Roman" w:cs="Times New Roman"/>
          <w:color w:val="000000"/>
          <w:sz w:val="24"/>
          <w:szCs w:val="24"/>
        </w:rPr>
        <w:t xml:space="preserve">socios a adaptarse a las nuevas </w:t>
      </w:r>
      <w:r w:rsidRPr="005D1B4D">
        <w:rPr>
          <w:rFonts w:ascii="Times New Roman" w:hAnsi="Times New Roman" w:cs="Times New Roman"/>
          <w:color w:val="000000"/>
          <w:sz w:val="24"/>
          <w:szCs w:val="24"/>
        </w:rPr>
        <w:t>normas transatlánticas, situación que puede be</w:t>
      </w:r>
      <w:r>
        <w:rPr>
          <w:rFonts w:ascii="Times New Roman" w:hAnsi="Times New Roman" w:cs="Times New Roman"/>
          <w:color w:val="000000"/>
          <w:sz w:val="24"/>
          <w:szCs w:val="24"/>
        </w:rPr>
        <w:t xml:space="preserve">neficiar a una economía mundial </w:t>
      </w:r>
      <w:r w:rsidRPr="005D1B4D">
        <w:rPr>
          <w:rFonts w:ascii="Times New Roman" w:hAnsi="Times New Roman" w:cs="Times New Roman"/>
          <w:color w:val="000000"/>
          <w:sz w:val="24"/>
          <w:szCs w:val="24"/>
        </w:rPr>
        <w:t>cada vez más interdependiente, teniendo en</w:t>
      </w:r>
      <w:r>
        <w:rPr>
          <w:rFonts w:ascii="Times New Roman" w:hAnsi="Times New Roman" w:cs="Times New Roman"/>
          <w:color w:val="000000"/>
          <w:sz w:val="24"/>
          <w:szCs w:val="24"/>
        </w:rPr>
        <w:t xml:space="preserve"> cuenta sobre todo la creciente </w:t>
      </w:r>
      <w:r w:rsidRPr="005D1B4D">
        <w:rPr>
          <w:rFonts w:ascii="Times New Roman" w:hAnsi="Times New Roman" w:cs="Times New Roman"/>
          <w:color w:val="000000"/>
          <w:sz w:val="24"/>
          <w:szCs w:val="24"/>
        </w:rPr>
        <w:t>complejidad de las cadenas de valor mundiales.</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 xml:space="preserve">El incremento de la renta es el resultado de un aumento de los intercambios comerciales. </w:t>
      </w:r>
      <w:r w:rsidRPr="003333CC">
        <w:rPr>
          <w:rFonts w:ascii="Times New Roman" w:hAnsi="Times New Roman" w:cs="Times New Roman"/>
          <w:b/>
          <w:bCs/>
          <w:color w:val="FF0000"/>
          <w:sz w:val="24"/>
          <w:szCs w:val="24"/>
        </w:rPr>
        <w:t>Las exportaciones de la UE a los Estados Unidos aumentarían</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en un 28 %, lo que equival</w:t>
      </w:r>
      <w:r>
        <w:rPr>
          <w:rFonts w:ascii="Times New Roman" w:hAnsi="Times New Roman" w:cs="Times New Roman"/>
          <w:b/>
          <w:bCs/>
          <w:color w:val="FF0000"/>
          <w:sz w:val="24"/>
          <w:szCs w:val="24"/>
        </w:rPr>
        <w:t>e a un importe adicional de 187.</w:t>
      </w:r>
      <w:r w:rsidRPr="003333CC">
        <w:rPr>
          <w:rFonts w:ascii="Times New Roman" w:hAnsi="Times New Roman" w:cs="Times New Roman"/>
          <w:b/>
          <w:bCs/>
          <w:color w:val="FF0000"/>
          <w:sz w:val="24"/>
          <w:szCs w:val="24"/>
        </w:rPr>
        <w:t>000 millones en</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 xml:space="preserve">las exportaciones de productos y servicios de la UE. </w:t>
      </w:r>
      <w:r w:rsidRPr="003333CC">
        <w:rPr>
          <w:rFonts w:ascii="Times New Roman" w:hAnsi="Times New Roman" w:cs="Times New Roman"/>
          <w:color w:val="FF0000"/>
          <w:sz w:val="24"/>
          <w:szCs w:val="24"/>
        </w:rPr>
        <w:t>El comercio de la UE y los Estados Unidos con el resto del mundo tamb</w:t>
      </w:r>
      <w:r>
        <w:rPr>
          <w:rFonts w:ascii="Times New Roman" w:hAnsi="Times New Roman" w:cs="Times New Roman"/>
          <w:color w:val="FF0000"/>
          <w:sz w:val="24"/>
          <w:szCs w:val="24"/>
        </w:rPr>
        <w:t>ién aumentaría en más de 33.</w:t>
      </w:r>
      <w:r w:rsidRPr="003333CC">
        <w:rPr>
          <w:rFonts w:ascii="Times New Roman" w:hAnsi="Times New Roman" w:cs="Times New Roman"/>
          <w:color w:val="FF0000"/>
          <w:sz w:val="24"/>
          <w:szCs w:val="24"/>
        </w:rPr>
        <w:t xml:space="preserve">000 millones de euros. En conjunto, el aumento de los intercambios comerciales bilaterales entre los dos bloques, junto con el aumento de sus intercambios comerciales con otros socios, representaría </w:t>
      </w:r>
      <w:r w:rsidRPr="003333CC">
        <w:rPr>
          <w:rFonts w:ascii="Times New Roman" w:hAnsi="Times New Roman" w:cs="Times New Roman"/>
          <w:b/>
          <w:bCs/>
          <w:color w:val="FF0000"/>
          <w:sz w:val="24"/>
          <w:szCs w:val="24"/>
        </w:rPr>
        <w:t>un aumento de las exportaciones</w:t>
      </w:r>
      <w:r w:rsidRPr="003333CC">
        <w:rPr>
          <w:rFonts w:ascii="Times New Roman" w:hAnsi="Times New Roman" w:cs="Times New Roman"/>
          <w:color w:val="FF0000"/>
          <w:sz w:val="24"/>
          <w:szCs w:val="24"/>
        </w:rPr>
        <w:t xml:space="preserve"> </w:t>
      </w:r>
      <w:r w:rsidRPr="003333CC">
        <w:rPr>
          <w:rFonts w:ascii="Times New Roman" w:hAnsi="Times New Roman" w:cs="Times New Roman"/>
          <w:b/>
          <w:bCs/>
          <w:color w:val="FF0000"/>
          <w:sz w:val="24"/>
          <w:szCs w:val="24"/>
        </w:rPr>
        <w:t>totales de la UE del 6 % y del 8 % de las exportaciones estadounidenses</w:t>
      </w:r>
      <w:r w:rsidRPr="003333CC">
        <w:rPr>
          <w:rFonts w:ascii="Times New Roman" w:hAnsi="Times New Roman" w:cs="Times New Roman"/>
          <w:color w:val="FF0000"/>
          <w:sz w:val="24"/>
          <w:szCs w:val="24"/>
        </w:rPr>
        <w:t xml:space="preserve">. Esto supone la venta de bienes y servicios adicionales de productores de la UE y de los </w:t>
      </w:r>
      <w:r>
        <w:rPr>
          <w:rFonts w:ascii="Times New Roman" w:hAnsi="Times New Roman" w:cs="Times New Roman"/>
          <w:color w:val="FF0000"/>
          <w:sz w:val="24"/>
          <w:szCs w:val="24"/>
        </w:rPr>
        <w:t>Estados Unidos por valor de 220.</w:t>
      </w:r>
      <w:r w:rsidRPr="003333CC">
        <w:rPr>
          <w:rFonts w:ascii="Times New Roman" w:hAnsi="Times New Roman" w:cs="Times New Roman"/>
          <w:color w:val="FF0000"/>
          <w:sz w:val="24"/>
          <w:szCs w:val="24"/>
        </w:rPr>
        <w:t>000 millones</w:t>
      </w:r>
      <w:r>
        <w:rPr>
          <w:rFonts w:ascii="Times New Roman" w:hAnsi="Times New Roman" w:cs="Times New Roman"/>
          <w:color w:val="FF0000"/>
          <w:sz w:val="24"/>
          <w:szCs w:val="24"/>
        </w:rPr>
        <w:t xml:space="preserve"> de euros y 240.</w:t>
      </w:r>
      <w:r w:rsidRPr="003333CC">
        <w:rPr>
          <w:rFonts w:ascii="Times New Roman" w:hAnsi="Times New Roman" w:cs="Times New Roman"/>
          <w:color w:val="FF0000"/>
          <w:sz w:val="24"/>
          <w:szCs w:val="24"/>
        </w:rPr>
        <w:t>000 millones de euros, respectivamente.</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t>Beneficios sectoriales</w:t>
      </w: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Las exportaciones de la UE aumentarían en casi todos los sectores, no obstante, este incremento en las ventas al resto del mundo serían particularmente importantes en productos metálicos (+ 12 %), alimentos procesados (+9%), productos químicos (+9%), otros productos manufacturados (+6%) y otros equipos de transporte (+6%).</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b/>
          <w:color w:val="FF0000"/>
          <w:sz w:val="24"/>
          <w:szCs w:val="24"/>
        </w:rPr>
        <w:t>Pero, con mucho, el mayor incremento relativo del comercio tendrá lugar en el sector de los vehículos de motor. En este sector, las exportaciones de la UE al resto del mundo se prevé crezcan en casi un 42 % y las importaciones se incrementará en un 43 %. El crecimiento de los intercambios comerciales bilaterales es aún más espectacular: las exportaciones de vehículos de motor de la UE a los Estados Unidos se espera que aumenten en un 149 %. Esto es en parte reflejo de la importancia del comercio bidireccional de piezas y componentes y de la mayor integración entre las dos industrias trasatlánticas. Este aumento del comercio de vehículos de motor también va acompañado de una expansión de la producción del sector (+1,5%) en la UE.</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lastRenderedPageBreak/>
        <w:t>• El aumento de las exportaciones y la prod</w:t>
      </w:r>
      <w:r>
        <w:rPr>
          <w:rFonts w:ascii="Times New Roman" w:hAnsi="Times New Roman" w:cs="Times New Roman"/>
          <w:color w:val="000000"/>
          <w:sz w:val="24"/>
          <w:szCs w:val="24"/>
        </w:rPr>
        <w:t xml:space="preserve">ucción que puede observarse (en </w:t>
      </w:r>
      <w:r w:rsidRPr="005D1B4D">
        <w:rPr>
          <w:rFonts w:ascii="Times New Roman" w:hAnsi="Times New Roman" w:cs="Times New Roman"/>
          <w:color w:val="000000"/>
          <w:sz w:val="24"/>
          <w:szCs w:val="24"/>
        </w:rPr>
        <w:t>diferentes grados) en casi todos los sectores r</w:t>
      </w:r>
      <w:r>
        <w:rPr>
          <w:rFonts w:ascii="Times New Roman" w:hAnsi="Times New Roman" w:cs="Times New Roman"/>
          <w:color w:val="000000"/>
          <w:sz w:val="24"/>
          <w:szCs w:val="24"/>
        </w:rPr>
        <w:t xml:space="preserve">efleja los grandes esfuerzos de </w:t>
      </w:r>
      <w:r w:rsidRPr="005D1B4D">
        <w:rPr>
          <w:rFonts w:ascii="Times New Roman" w:hAnsi="Times New Roman" w:cs="Times New Roman"/>
          <w:color w:val="000000"/>
          <w:sz w:val="24"/>
          <w:szCs w:val="24"/>
        </w:rPr>
        <w:t xml:space="preserve">liberalización que el acuerdo supondría. </w:t>
      </w:r>
      <w:r w:rsidRPr="003333CC">
        <w:rPr>
          <w:rFonts w:ascii="Times New Roman" w:hAnsi="Times New Roman" w:cs="Times New Roman"/>
          <w:color w:val="FF0000"/>
          <w:sz w:val="24"/>
          <w:szCs w:val="24"/>
        </w:rPr>
        <w:t>Lógicamente, el sector del automóvil, que se caracteriza por una combinación inicial de elevados aranceles y elevadas barreras no arancelarias, como diferentes normas de seguridad, es uno de los que más se beneficiarían.</w:t>
      </w:r>
    </w:p>
    <w:p w:rsidR="000369FD" w:rsidRPr="003333CC" w:rsidRDefault="000369FD" w:rsidP="000369FD">
      <w:pPr>
        <w:autoSpaceDE w:val="0"/>
        <w:autoSpaceDN w:val="0"/>
        <w:adjustRightInd w:val="0"/>
        <w:spacing w:after="0" w:line="240" w:lineRule="auto"/>
        <w:jc w:val="both"/>
        <w:rPr>
          <w:rFonts w:ascii="Times New Roman" w:hAnsi="Times New Roman" w:cs="Times New Roman"/>
          <w:b/>
          <w:bCs/>
          <w:color w:val="FF0000"/>
          <w:sz w:val="24"/>
          <w:szCs w:val="24"/>
        </w:rPr>
      </w:pP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t>Reducción de las barreras no arancelarias</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 xml:space="preserve">La reducción de las barreras no arancelarias, las denominadas “barreras detrás de las fronteras”, tendrá que ser el elemento clave de la liberalización del comercio transatlántico. </w:t>
      </w:r>
      <w:r w:rsidRPr="003333CC">
        <w:rPr>
          <w:rFonts w:ascii="Times New Roman" w:hAnsi="Times New Roman" w:cs="Times New Roman"/>
          <w:b/>
          <w:color w:val="FF0000"/>
          <w:sz w:val="24"/>
          <w:szCs w:val="24"/>
        </w:rPr>
        <w:t>Hasta el 80 % del total de los beneficios potenciales proceden de reducir los costes impuestos por la burocracia y las reglamentaciones, así como de la liberalización del comercio en los servicios y la contratación pública.</w:t>
      </w: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t>Mercado de trabajo</w:t>
      </w: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La intensificación de la actividad económica y el aumento de productividad originados por el acuerdo beneficiarán a los mercados de trabajo de la UE y de los Estados Unidos., tanto en términos de salarios globales</w:t>
      </w:r>
      <w:r>
        <w:rPr>
          <w:rFonts w:ascii="Times New Roman" w:hAnsi="Times New Roman" w:cs="Times New Roman"/>
          <w:color w:val="000000"/>
          <w:sz w:val="24"/>
          <w:szCs w:val="24"/>
        </w:rPr>
        <w:t xml:space="preserve">, como en nuevas </w:t>
      </w:r>
      <w:r w:rsidRPr="005D1B4D">
        <w:rPr>
          <w:rFonts w:ascii="Times New Roman" w:hAnsi="Times New Roman" w:cs="Times New Roman"/>
          <w:color w:val="000000"/>
          <w:sz w:val="24"/>
          <w:szCs w:val="24"/>
        </w:rPr>
        <w:t>oportunidades de trabajo para trabajadores muy cualificados y poco cualificados.</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t>Desarrollo sostenible</w:t>
      </w: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p>
    <w:p w:rsidR="000369FD" w:rsidRPr="003333CC"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33CC">
        <w:rPr>
          <w:rFonts w:ascii="Times New Roman" w:hAnsi="Times New Roman" w:cs="Times New Roman"/>
          <w:color w:val="FF0000"/>
          <w:sz w:val="24"/>
          <w:szCs w:val="24"/>
        </w:rPr>
        <w:t>El acuerdo tendría efectos insignificantes en las emisiones de CO2 y la utilización sostenible de los recursos naturales.</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r w:rsidRPr="005D1B4D">
        <w:rPr>
          <w:rFonts w:ascii="Times New Roman" w:hAnsi="Times New Roman" w:cs="Times New Roman"/>
          <w:b/>
          <w:bCs/>
          <w:color w:val="000000"/>
          <w:sz w:val="24"/>
          <w:szCs w:val="24"/>
        </w:rPr>
        <w:t>La actual relación comercial entr</w:t>
      </w:r>
      <w:r>
        <w:rPr>
          <w:rFonts w:ascii="Times New Roman" w:hAnsi="Times New Roman" w:cs="Times New Roman"/>
          <w:b/>
          <w:bCs/>
          <w:color w:val="000000"/>
          <w:sz w:val="24"/>
          <w:szCs w:val="24"/>
        </w:rPr>
        <w:t xml:space="preserve">e la UE y los Estados Unidos en </w:t>
      </w:r>
      <w:r w:rsidRPr="005D1B4D">
        <w:rPr>
          <w:rFonts w:ascii="Times New Roman" w:hAnsi="Times New Roman" w:cs="Times New Roman"/>
          <w:b/>
          <w:bCs/>
          <w:color w:val="000000"/>
          <w:sz w:val="24"/>
          <w:szCs w:val="24"/>
        </w:rPr>
        <w:t>pocas palabras</w:t>
      </w:r>
    </w:p>
    <w:p w:rsidR="000369FD" w:rsidRPr="005D1B4D"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xml:space="preserve">• </w:t>
      </w:r>
      <w:r w:rsidRPr="00331BC7">
        <w:rPr>
          <w:rFonts w:ascii="Times New Roman" w:hAnsi="Times New Roman" w:cs="Times New Roman"/>
          <w:b/>
          <w:color w:val="FF0000"/>
          <w:sz w:val="24"/>
          <w:szCs w:val="24"/>
        </w:rPr>
        <w:t xml:space="preserve">El total de los intercambios bilaterales de mercancías entre la UE y los Estados </w:t>
      </w:r>
      <w:r>
        <w:rPr>
          <w:rFonts w:ascii="Times New Roman" w:hAnsi="Times New Roman" w:cs="Times New Roman"/>
          <w:b/>
          <w:color w:val="FF0000"/>
          <w:sz w:val="24"/>
          <w:szCs w:val="24"/>
        </w:rPr>
        <w:t>Unidos en 2011 ascendió a 455.</w:t>
      </w:r>
      <w:r w:rsidRPr="00331BC7">
        <w:rPr>
          <w:rFonts w:ascii="Times New Roman" w:hAnsi="Times New Roman" w:cs="Times New Roman"/>
          <w:b/>
          <w:color w:val="FF0000"/>
          <w:sz w:val="24"/>
          <w:szCs w:val="24"/>
        </w:rPr>
        <w:t>000 millones de euros, con un saldo positi</w:t>
      </w:r>
      <w:r w:rsidR="000A5C64">
        <w:rPr>
          <w:rFonts w:ascii="Times New Roman" w:hAnsi="Times New Roman" w:cs="Times New Roman"/>
          <w:b/>
          <w:color w:val="FF0000"/>
          <w:sz w:val="24"/>
          <w:szCs w:val="24"/>
        </w:rPr>
        <w:t>vo para la UE de algo más de 72.</w:t>
      </w:r>
      <w:r w:rsidRPr="00331BC7">
        <w:rPr>
          <w:rFonts w:ascii="Times New Roman" w:hAnsi="Times New Roman" w:cs="Times New Roman"/>
          <w:b/>
          <w:color w:val="FF0000"/>
          <w:sz w:val="24"/>
          <w:szCs w:val="24"/>
        </w:rPr>
        <w:t>000 millones de euros. Los Estados Unidos fueron el tercer mayor prov</w:t>
      </w:r>
      <w:r>
        <w:rPr>
          <w:rFonts w:ascii="Times New Roman" w:hAnsi="Times New Roman" w:cs="Times New Roman"/>
          <w:b/>
          <w:color w:val="FF0000"/>
          <w:sz w:val="24"/>
          <w:szCs w:val="24"/>
        </w:rPr>
        <w:t>eedor de la UE, al venderle 192.</w:t>
      </w:r>
      <w:r w:rsidRPr="00331BC7">
        <w:rPr>
          <w:rFonts w:ascii="Times New Roman" w:hAnsi="Times New Roman" w:cs="Times New Roman"/>
          <w:b/>
          <w:color w:val="FF0000"/>
          <w:sz w:val="24"/>
          <w:szCs w:val="24"/>
        </w:rPr>
        <w:t>000 millones de euros de mercancías (lo que representa en torno al 11% de las importaciones totales de la UE) y el principal mercado de exportación de la UE, al co</w:t>
      </w:r>
      <w:r>
        <w:rPr>
          <w:rFonts w:ascii="Times New Roman" w:hAnsi="Times New Roman" w:cs="Times New Roman"/>
          <w:b/>
          <w:color w:val="FF0000"/>
          <w:sz w:val="24"/>
          <w:szCs w:val="24"/>
        </w:rPr>
        <w:t>mprar 264.</w:t>
      </w:r>
      <w:r w:rsidRPr="00331BC7">
        <w:rPr>
          <w:rFonts w:ascii="Times New Roman" w:hAnsi="Times New Roman" w:cs="Times New Roman"/>
          <w:b/>
          <w:color w:val="FF0000"/>
          <w:sz w:val="24"/>
          <w:szCs w:val="24"/>
        </w:rPr>
        <w:t>000 millones de euros de mercancías de la UE (lo que representa en torno al 17% de las exportaciones totales de la UE).</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r w:rsidRPr="005D1B4D">
        <w:rPr>
          <w:rFonts w:ascii="Times New Roman" w:hAnsi="Times New Roman" w:cs="Times New Roman"/>
          <w:color w:val="000000"/>
          <w:sz w:val="24"/>
          <w:szCs w:val="24"/>
        </w:rPr>
        <w:t>• El valor medio mensual de los intercambios de merc</w:t>
      </w:r>
      <w:r>
        <w:rPr>
          <w:rFonts w:ascii="Times New Roman" w:hAnsi="Times New Roman" w:cs="Times New Roman"/>
          <w:color w:val="000000"/>
          <w:sz w:val="24"/>
          <w:szCs w:val="24"/>
        </w:rPr>
        <w:t>ancías de la UE con los Estados Unidos es de unos 38.</w:t>
      </w:r>
      <w:r w:rsidRPr="005D1B4D">
        <w:rPr>
          <w:rFonts w:ascii="Times New Roman" w:hAnsi="Times New Roman" w:cs="Times New Roman"/>
          <w:color w:val="000000"/>
          <w:sz w:val="24"/>
          <w:szCs w:val="24"/>
        </w:rPr>
        <w:t>000 millones de euros, cifra</w:t>
      </w:r>
      <w:r>
        <w:rPr>
          <w:rFonts w:ascii="Times New Roman" w:hAnsi="Times New Roman" w:cs="Times New Roman"/>
          <w:color w:val="000000"/>
          <w:sz w:val="24"/>
          <w:szCs w:val="24"/>
        </w:rPr>
        <w:t xml:space="preserve"> solo ligeramente inferior a su </w:t>
      </w:r>
      <w:r w:rsidRPr="005D1B4D">
        <w:rPr>
          <w:rFonts w:ascii="Times New Roman" w:hAnsi="Times New Roman" w:cs="Times New Roman"/>
          <w:color w:val="000000"/>
          <w:sz w:val="24"/>
          <w:szCs w:val="24"/>
        </w:rPr>
        <w:t>comercio total anual de mercancías con Taiw</w:t>
      </w:r>
      <w:r>
        <w:rPr>
          <w:rFonts w:ascii="Times New Roman" w:hAnsi="Times New Roman" w:cs="Times New Roman"/>
          <w:color w:val="000000"/>
          <w:sz w:val="24"/>
          <w:szCs w:val="24"/>
        </w:rPr>
        <w:t xml:space="preserve">án (40.000 millones de euros en </w:t>
      </w:r>
      <w:r w:rsidRPr="005D1B4D">
        <w:rPr>
          <w:rFonts w:ascii="Times New Roman" w:hAnsi="Times New Roman" w:cs="Times New Roman"/>
          <w:color w:val="000000"/>
          <w:sz w:val="24"/>
          <w:szCs w:val="24"/>
        </w:rPr>
        <w:t>2011), el 20º mayor socio comercial de la UE.</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1BC7">
        <w:rPr>
          <w:rFonts w:ascii="Times New Roman" w:hAnsi="Times New Roman" w:cs="Times New Roman"/>
          <w:color w:val="FF0000"/>
          <w:sz w:val="24"/>
          <w:szCs w:val="24"/>
        </w:rPr>
        <w:t>Los principales sectores del comercio de mercancías para la UE fueron los de maquinaria y equipos de transporte (alrededor</w:t>
      </w:r>
      <w:r>
        <w:rPr>
          <w:rFonts w:ascii="Times New Roman" w:hAnsi="Times New Roman" w:cs="Times New Roman"/>
          <w:color w:val="FF0000"/>
          <w:sz w:val="24"/>
          <w:szCs w:val="24"/>
        </w:rPr>
        <w:t xml:space="preserve"> de 71.</w:t>
      </w:r>
      <w:r w:rsidRPr="00331BC7">
        <w:rPr>
          <w:rFonts w:ascii="Times New Roman" w:hAnsi="Times New Roman" w:cs="Times New Roman"/>
          <w:color w:val="FF0000"/>
          <w:sz w:val="24"/>
          <w:szCs w:val="24"/>
        </w:rPr>
        <w:t xml:space="preserve">000 millones de euros de </w:t>
      </w:r>
      <w:r>
        <w:rPr>
          <w:rFonts w:ascii="Times New Roman" w:hAnsi="Times New Roman" w:cs="Times New Roman"/>
          <w:color w:val="FF0000"/>
          <w:sz w:val="24"/>
          <w:szCs w:val="24"/>
        </w:rPr>
        <w:t>importaciones y 104.</w:t>
      </w:r>
      <w:r w:rsidRPr="00331BC7">
        <w:rPr>
          <w:rFonts w:ascii="Times New Roman" w:hAnsi="Times New Roman" w:cs="Times New Roman"/>
          <w:color w:val="FF0000"/>
          <w:sz w:val="24"/>
          <w:szCs w:val="24"/>
        </w:rPr>
        <w:t>000 millones de euros de exportaciones), seguidos de los product</w:t>
      </w:r>
      <w:r>
        <w:rPr>
          <w:rFonts w:ascii="Times New Roman" w:hAnsi="Times New Roman" w:cs="Times New Roman"/>
          <w:color w:val="FF0000"/>
          <w:sz w:val="24"/>
          <w:szCs w:val="24"/>
        </w:rPr>
        <w:t>os químicos (aproximadamente 41.</w:t>
      </w:r>
      <w:r w:rsidRPr="00331BC7">
        <w:rPr>
          <w:rFonts w:ascii="Times New Roman" w:hAnsi="Times New Roman" w:cs="Times New Roman"/>
          <w:color w:val="FF0000"/>
          <w:sz w:val="24"/>
          <w:szCs w:val="24"/>
        </w:rPr>
        <w:t xml:space="preserve">000 millones de euros de importaciones </w:t>
      </w:r>
      <w:r>
        <w:rPr>
          <w:rFonts w:ascii="Times New Roman" w:hAnsi="Times New Roman" w:cs="Times New Roman"/>
          <w:color w:val="FF0000"/>
          <w:sz w:val="24"/>
          <w:szCs w:val="24"/>
        </w:rPr>
        <w:t>y 62.</w:t>
      </w:r>
      <w:r w:rsidRPr="00331BC7">
        <w:rPr>
          <w:rFonts w:ascii="Times New Roman" w:hAnsi="Times New Roman" w:cs="Times New Roman"/>
          <w:color w:val="FF0000"/>
          <w:sz w:val="24"/>
          <w:szCs w:val="24"/>
        </w:rPr>
        <w:t>000 millones de euros de exportaciones).</w:t>
      </w:r>
    </w:p>
    <w:p w:rsidR="000369FD" w:rsidRPr="00331BC7"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xml:space="preserve">• </w:t>
      </w:r>
      <w:r w:rsidRPr="00331BC7">
        <w:rPr>
          <w:rFonts w:ascii="Times New Roman" w:hAnsi="Times New Roman" w:cs="Times New Roman"/>
          <w:b/>
          <w:color w:val="FF0000"/>
          <w:sz w:val="24"/>
          <w:szCs w:val="24"/>
        </w:rPr>
        <w:t>En 2011 el comer</w:t>
      </w:r>
      <w:r>
        <w:rPr>
          <w:rFonts w:ascii="Times New Roman" w:hAnsi="Times New Roman" w:cs="Times New Roman"/>
          <w:b/>
          <w:color w:val="FF0000"/>
          <w:sz w:val="24"/>
          <w:szCs w:val="24"/>
        </w:rPr>
        <w:t>cio de servicios se elevó a 282.</w:t>
      </w:r>
      <w:r w:rsidRPr="00331BC7">
        <w:rPr>
          <w:rFonts w:ascii="Times New Roman" w:hAnsi="Times New Roman" w:cs="Times New Roman"/>
          <w:b/>
          <w:color w:val="FF0000"/>
          <w:sz w:val="24"/>
          <w:szCs w:val="24"/>
        </w:rPr>
        <w:t>300 millones de euros (según las últimas cifras disponibles de Eurostat), con un</w:t>
      </w:r>
      <w:r w:rsidR="00F440B1">
        <w:rPr>
          <w:rFonts w:ascii="Times New Roman" w:hAnsi="Times New Roman" w:cs="Times New Roman"/>
          <w:b/>
          <w:color w:val="FF0000"/>
          <w:sz w:val="24"/>
          <w:szCs w:val="24"/>
        </w:rPr>
        <w:t xml:space="preserve"> saldo positivo para la UE de 5.</w:t>
      </w:r>
      <w:r w:rsidRPr="00331BC7">
        <w:rPr>
          <w:rFonts w:ascii="Times New Roman" w:hAnsi="Times New Roman" w:cs="Times New Roman"/>
          <w:b/>
          <w:color w:val="FF0000"/>
          <w:sz w:val="24"/>
          <w:szCs w:val="24"/>
        </w:rPr>
        <w:t xml:space="preserve">500 </w:t>
      </w:r>
      <w:r w:rsidRPr="00331BC7">
        <w:rPr>
          <w:rFonts w:ascii="Times New Roman" w:hAnsi="Times New Roman" w:cs="Times New Roman"/>
          <w:b/>
          <w:color w:val="FF0000"/>
          <w:sz w:val="24"/>
          <w:szCs w:val="24"/>
        </w:rPr>
        <w:lastRenderedPageBreak/>
        <w:t>millones de euros. Los Estados Unidos es el principal socio de la UE para el comercio de servicios, al representar sus importac</w:t>
      </w:r>
      <w:r>
        <w:rPr>
          <w:rFonts w:ascii="Times New Roman" w:hAnsi="Times New Roman" w:cs="Times New Roman"/>
          <w:b/>
          <w:color w:val="FF0000"/>
          <w:sz w:val="24"/>
          <w:szCs w:val="24"/>
        </w:rPr>
        <w:t>iones 138.</w:t>
      </w:r>
      <w:r w:rsidRPr="00331BC7">
        <w:rPr>
          <w:rFonts w:ascii="Times New Roman" w:hAnsi="Times New Roman" w:cs="Times New Roman"/>
          <w:b/>
          <w:color w:val="FF0000"/>
          <w:sz w:val="24"/>
          <w:szCs w:val="24"/>
        </w:rPr>
        <w:t>400 millones de euros (alrededor del 29% de las importaciones totales de</w:t>
      </w:r>
      <w:r w:rsidR="000A5C64">
        <w:rPr>
          <w:rFonts w:ascii="Times New Roman" w:hAnsi="Times New Roman" w:cs="Times New Roman"/>
          <w:b/>
          <w:color w:val="FF0000"/>
          <w:sz w:val="24"/>
          <w:szCs w:val="24"/>
        </w:rPr>
        <w:t xml:space="preserve"> la UE) y sus exportaciones 143.</w:t>
      </w:r>
      <w:r w:rsidRPr="00331BC7">
        <w:rPr>
          <w:rFonts w:ascii="Times New Roman" w:hAnsi="Times New Roman" w:cs="Times New Roman"/>
          <w:b/>
          <w:color w:val="FF0000"/>
          <w:sz w:val="24"/>
          <w:szCs w:val="24"/>
        </w:rPr>
        <w:t>900 millones de euros (alrededor del 24 % del total de las exportaciones de la UE).</w:t>
      </w: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xml:space="preserve">• </w:t>
      </w:r>
      <w:r w:rsidRPr="00331BC7">
        <w:rPr>
          <w:rFonts w:ascii="Times New Roman" w:hAnsi="Times New Roman" w:cs="Times New Roman"/>
          <w:b/>
          <w:color w:val="FF0000"/>
          <w:sz w:val="24"/>
          <w:szCs w:val="24"/>
        </w:rPr>
        <w:t>En total, los intercambios comerciales de bienes y servicios entre ambos lados del Atlántico</w:t>
      </w:r>
      <w:r w:rsidR="000A5C64">
        <w:rPr>
          <w:rFonts w:ascii="Times New Roman" w:hAnsi="Times New Roman" w:cs="Times New Roman"/>
          <w:b/>
          <w:color w:val="FF0000"/>
          <w:sz w:val="24"/>
          <w:szCs w:val="24"/>
        </w:rPr>
        <w:t xml:space="preserve"> representan un media de casi 2.</w:t>
      </w:r>
      <w:r w:rsidRPr="00331BC7">
        <w:rPr>
          <w:rFonts w:ascii="Times New Roman" w:hAnsi="Times New Roman" w:cs="Times New Roman"/>
          <w:b/>
          <w:color w:val="FF0000"/>
          <w:sz w:val="24"/>
          <w:szCs w:val="24"/>
        </w:rPr>
        <w:t>000 millones de euros al día.</w:t>
      </w: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5D1B4D">
        <w:rPr>
          <w:rFonts w:ascii="Times New Roman" w:hAnsi="Times New Roman" w:cs="Times New Roman"/>
          <w:color w:val="000000"/>
          <w:sz w:val="24"/>
          <w:szCs w:val="24"/>
        </w:rPr>
        <w:t xml:space="preserve">• </w:t>
      </w:r>
      <w:r w:rsidRPr="00331BC7">
        <w:rPr>
          <w:rFonts w:ascii="Times New Roman" w:hAnsi="Times New Roman" w:cs="Times New Roman"/>
          <w:color w:val="FF0000"/>
          <w:sz w:val="24"/>
          <w:szCs w:val="24"/>
        </w:rPr>
        <w:t>En 2008 alrededor de 5 millones de puestos de trabajo en toda UE fueron respaldados por las exportaciones de bienes y servicios al mercado estadounidense.</w:t>
      </w: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r w:rsidRPr="005D1B4D">
        <w:rPr>
          <w:rFonts w:ascii="Times New Roman" w:hAnsi="Times New Roman" w:cs="Times New Roman"/>
          <w:color w:val="000000"/>
          <w:sz w:val="24"/>
          <w:szCs w:val="24"/>
        </w:rPr>
        <w:t>• Estos flujos comerciales se completan y re</w:t>
      </w:r>
      <w:r>
        <w:rPr>
          <w:rFonts w:ascii="Times New Roman" w:hAnsi="Times New Roman" w:cs="Times New Roman"/>
          <w:color w:val="000000"/>
          <w:sz w:val="24"/>
          <w:szCs w:val="24"/>
        </w:rPr>
        <w:t xml:space="preserve">fuerzan mediante un clima y una </w:t>
      </w:r>
      <w:r w:rsidRPr="005D1B4D">
        <w:rPr>
          <w:rFonts w:ascii="Times New Roman" w:hAnsi="Times New Roman" w:cs="Times New Roman"/>
          <w:color w:val="000000"/>
          <w:sz w:val="24"/>
          <w:szCs w:val="24"/>
        </w:rPr>
        <w:t xml:space="preserve">actividad inversora muy dinámica. </w:t>
      </w:r>
      <w:r w:rsidRPr="00331BC7">
        <w:rPr>
          <w:rFonts w:ascii="Times New Roman" w:hAnsi="Times New Roman" w:cs="Times New Roman"/>
          <w:b/>
          <w:color w:val="FF0000"/>
          <w:sz w:val="24"/>
          <w:szCs w:val="24"/>
        </w:rPr>
        <w:t xml:space="preserve">En 2011, las empresas estadounidenses </w:t>
      </w:r>
      <w:r>
        <w:rPr>
          <w:rFonts w:ascii="Times New Roman" w:hAnsi="Times New Roman" w:cs="Times New Roman"/>
          <w:b/>
          <w:color w:val="FF0000"/>
          <w:sz w:val="24"/>
          <w:szCs w:val="24"/>
        </w:rPr>
        <w:t>invirtieron en torno a 150.</w:t>
      </w:r>
      <w:r w:rsidRPr="00331BC7">
        <w:rPr>
          <w:rFonts w:ascii="Times New Roman" w:hAnsi="Times New Roman" w:cs="Times New Roman"/>
          <w:b/>
          <w:color w:val="FF0000"/>
          <w:sz w:val="24"/>
          <w:szCs w:val="24"/>
        </w:rPr>
        <w:t xml:space="preserve">000 millones de euros en la UE y las empresas de la UE </w:t>
      </w:r>
      <w:r>
        <w:rPr>
          <w:rFonts w:ascii="Times New Roman" w:hAnsi="Times New Roman" w:cs="Times New Roman"/>
          <w:b/>
          <w:color w:val="FF0000"/>
          <w:sz w:val="24"/>
          <w:szCs w:val="24"/>
        </w:rPr>
        <w:t>unos 123.</w:t>
      </w:r>
      <w:r w:rsidRPr="00331BC7">
        <w:rPr>
          <w:rFonts w:ascii="Times New Roman" w:hAnsi="Times New Roman" w:cs="Times New Roman"/>
          <w:b/>
          <w:color w:val="FF0000"/>
          <w:sz w:val="24"/>
          <w:szCs w:val="24"/>
        </w:rPr>
        <w:t>000 millones de euros en los Estados Unidos. En el mismo año, el volumen de inversión de los Estados Unidos en la UE alcanzó más del 1,3 billón de euros y el total del volumen de inversión de la UE en Estados Unidos más del 1,4 billón de euros.</w:t>
      </w:r>
    </w:p>
    <w:p w:rsidR="000369FD" w:rsidRPr="00331BC7" w:rsidRDefault="000369FD" w:rsidP="000369FD">
      <w:pPr>
        <w:autoSpaceDE w:val="0"/>
        <w:autoSpaceDN w:val="0"/>
        <w:adjustRightInd w:val="0"/>
        <w:spacing w:after="0" w:line="240" w:lineRule="auto"/>
        <w:jc w:val="both"/>
        <w:rPr>
          <w:rFonts w:ascii="Times New Roman" w:hAnsi="Times New Roman" w:cs="Times New Roman"/>
          <w:b/>
          <w:color w:val="FF0000"/>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lang w:val="en-US"/>
        </w:rPr>
      </w:pPr>
      <w:r w:rsidRPr="008A00C6">
        <w:rPr>
          <w:rFonts w:ascii="Times New Roman" w:hAnsi="Times New Roman" w:cs="Times New Roman"/>
          <w:b/>
          <w:bCs/>
          <w:color w:val="000000"/>
          <w:sz w:val="24"/>
          <w:szCs w:val="24"/>
          <w:lang w:val="en-US"/>
        </w:rPr>
        <w:t>Más información en:</w:t>
      </w:r>
    </w:p>
    <w:p w:rsidR="000369FD" w:rsidRPr="008A00C6" w:rsidRDefault="000369FD" w:rsidP="000369FD">
      <w:pPr>
        <w:autoSpaceDE w:val="0"/>
        <w:autoSpaceDN w:val="0"/>
        <w:adjustRightInd w:val="0"/>
        <w:spacing w:after="0" w:line="240" w:lineRule="auto"/>
        <w:jc w:val="both"/>
        <w:rPr>
          <w:rFonts w:ascii="Times New Roman" w:hAnsi="Times New Roman" w:cs="Times New Roman"/>
          <w:b/>
          <w:bCs/>
          <w:color w:val="000000"/>
          <w:sz w:val="24"/>
          <w:szCs w:val="24"/>
          <w:lang w:val="en-US"/>
        </w:rPr>
      </w:pPr>
    </w:p>
    <w:p w:rsidR="000369FD" w:rsidRPr="005D1B4D" w:rsidRDefault="000369FD" w:rsidP="000369FD">
      <w:pPr>
        <w:autoSpaceDE w:val="0"/>
        <w:autoSpaceDN w:val="0"/>
        <w:adjustRightInd w:val="0"/>
        <w:spacing w:after="0" w:line="240" w:lineRule="auto"/>
        <w:jc w:val="both"/>
        <w:rPr>
          <w:rFonts w:ascii="Times New Roman" w:hAnsi="Times New Roman" w:cs="Times New Roman"/>
          <w:i/>
          <w:iCs/>
          <w:color w:val="000000"/>
          <w:sz w:val="24"/>
          <w:szCs w:val="24"/>
          <w:lang w:val="en-US"/>
        </w:rPr>
      </w:pPr>
      <w:r w:rsidRPr="005D1B4D">
        <w:rPr>
          <w:rFonts w:ascii="Times New Roman" w:hAnsi="Times New Roman" w:cs="Times New Roman"/>
          <w:i/>
          <w:iCs/>
          <w:color w:val="000000"/>
          <w:sz w:val="24"/>
          <w:szCs w:val="24"/>
          <w:lang w:val="en-US"/>
        </w:rPr>
        <w:t>Reducing Transatlantic Barriers to Trade and Investment: An Economic Assessment,</w:t>
      </w:r>
    </w:p>
    <w:p w:rsidR="000369FD" w:rsidRDefault="000369FD" w:rsidP="000369FD">
      <w:pPr>
        <w:autoSpaceDE w:val="0"/>
        <w:autoSpaceDN w:val="0"/>
        <w:adjustRightInd w:val="0"/>
        <w:spacing w:after="0" w:line="240" w:lineRule="auto"/>
        <w:jc w:val="both"/>
        <w:rPr>
          <w:rFonts w:ascii="Times New Roman" w:hAnsi="Times New Roman" w:cs="Times New Roman"/>
          <w:i/>
          <w:iCs/>
          <w:color w:val="000000"/>
          <w:sz w:val="24"/>
          <w:szCs w:val="24"/>
          <w:lang w:val="en-US"/>
        </w:rPr>
      </w:pPr>
      <w:r w:rsidRPr="005D1B4D">
        <w:rPr>
          <w:rFonts w:ascii="Times New Roman" w:hAnsi="Times New Roman" w:cs="Times New Roman"/>
          <w:i/>
          <w:iCs/>
          <w:color w:val="000000"/>
          <w:sz w:val="24"/>
          <w:szCs w:val="24"/>
          <w:lang w:val="en-US"/>
        </w:rPr>
        <w:t>Centre for Economic Policy Research, Londres</w:t>
      </w:r>
    </w:p>
    <w:p w:rsidR="000369FD" w:rsidRPr="005D1B4D" w:rsidRDefault="000369FD" w:rsidP="000369FD">
      <w:pPr>
        <w:autoSpaceDE w:val="0"/>
        <w:autoSpaceDN w:val="0"/>
        <w:adjustRightInd w:val="0"/>
        <w:spacing w:after="0" w:line="240" w:lineRule="auto"/>
        <w:jc w:val="both"/>
        <w:rPr>
          <w:rFonts w:ascii="Times New Roman" w:hAnsi="Times New Roman" w:cs="Times New Roman"/>
          <w:i/>
          <w:iCs/>
          <w:color w:val="000000"/>
          <w:sz w:val="24"/>
          <w:szCs w:val="24"/>
          <w:lang w:val="en-US"/>
        </w:rPr>
      </w:pPr>
    </w:p>
    <w:p w:rsidR="000369FD" w:rsidRDefault="000369FD" w:rsidP="000369FD">
      <w:pPr>
        <w:autoSpaceDE w:val="0"/>
        <w:autoSpaceDN w:val="0"/>
        <w:adjustRightInd w:val="0"/>
        <w:spacing w:after="0" w:line="240" w:lineRule="auto"/>
        <w:jc w:val="both"/>
        <w:rPr>
          <w:rFonts w:ascii="Times New Roman" w:hAnsi="Times New Roman" w:cs="Times New Roman"/>
          <w:color w:val="0000FF"/>
          <w:sz w:val="24"/>
          <w:szCs w:val="24"/>
        </w:rPr>
      </w:pPr>
      <w:r w:rsidRPr="005D1B4D">
        <w:rPr>
          <w:rFonts w:ascii="Times New Roman" w:hAnsi="Times New Roman" w:cs="Times New Roman"/>
          <w:color w:val="0000FF"/>
          <w:sz w:val="24"/>
          <w:szCs w:val="24"/>
        </w:rPr>
        <w:t>Http:// trade.ec.europa.eu/doclib/html/150737.htm (estudio completo)</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FF"/>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FF"/>
          <w:sz w:val="24"/>
          <w:szCs w:val="24"/>
        </w:rPr>
      </w:pPr>
      <w:r w:rsidRPr="005D1B4D">
        <w:rPr>
          <w:rFonts w:ascii="Times New Roman" w:hAnsi="Times New Roman" w:cs="Times New Roman"/>
          <w:color w:val="0000FF"/>
          <w:sz w:val="24"/>
          <w:szCs w:val="24"/>
        </w:rPr>
        <w:t>Http:// trade.ec.europa.eu/doclib/html/150738.htm (anexo)</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FF"/>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r w:rsidRPr="005D1B4D">
        <w:rPr>
          <w:rFonts w:ascii="Times New Roman" w:hAnsi="Times New Roman" w:cs="Times New Roman"/>
          <w:color w:val="000000"/>
          <w:sz w:val="24"/>
          <w:szCs w:val="24"/>
        </w:rPr>
        <w:t>Relaciones comerciales entre la UE y los Estados Unidos.</w:t>
      </w:r>
    </w:p>
    <w:p w:rsidR="000369FD" w:rsidRPr="005D1B4D" w:rsidRDefault="000369FD" w:rsidP="000369FD">
      <w:pPr>
        <w:autoSpaceDE w:val="0"/>
        <w:autoSpaceDN w:val="0"/>
        <w:adjustRightInd w:val="0"/>
        <w:spacing w:after="0" w:line="240" w:lineRule="auto"/>
        <w:jc w:val="both"/>
        <w:rPr>
          <w:rFonts w:ascii="Times New Roman" w:hAnsi="Times New Roman" w:cs="Times New Roman"/>
          <w:color w:val="00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0000FF"/>
          <w:sz w:val="24"/>
          <w:szCs w:val="24"/>
          <w:lang w:val="en-US"/>
        </w:rPr>
      </w:pPr>
      <w:r w:rsidRPr="005D1B4D">
        <w:rPr>
          <w:rFonts w:ascii="Times New Roman" w:hAnsi="Times New Roman" w:cs="Times New Roman"/>
          <w:color w:val="0000FF"/>
          <w:sz w:val="24"/>
          <w:szCs w:val="24"/>
          <w:lang w:val="en-US"/>
        </w:rPr>
        <w:t>Http:// ec.europa.eu/trade/creating-opportunities/bilateral-relations/countries/united-states/</w:t>
      </w:r>
    </w:p>
    <w:p w:rsidR="000369FD" w:rsidRDefault="000369FD" w:rsidP="000369FD">
      <w:pPr>
        <w:autoSpaceDE w:val="0"/>
        <w:autoSpaceDN w:val="0"/>
        <w:adjustRightInd w:val="0"/>
        <w:spacing w:after="0" w:line="240" w:lineRule="auto"/>
        <w:jc w:val="both"/>
        <w:rPr>
          <w:rFonts w:ascii="Times New Roman" w:hAnsi="Times New Roman" w:cs="Times New Roman"/>
          <w:color w:val="0000FF"/>
          <w:sz w:val="24"/>
          <w:szCs w:val="24"/>
          <w:lang w:val="en-US"/>
        </w:rPr>
      </w:pPr>
    </w:p>
    <w:p w:rsidR="000369FD" w:rsidRDefault="000A5C64"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Aquellos interesados en</w:t>
      </w:r>
      <w:r w:rsidR="000369FD">
        <w:rPr>
          <w:rFonts w:ascii="Times New Roman" w:hAnsi="Times New Roman" w:cs="Times New Roman"/>
          <w:sz w:val="24"/>
          <w:szCs w:val="24"/>
        </w:rPr>
        <w:t xml:space="preserve"> continuar la búsqueda</w:t>
      </w:r>
      <w:r>
        <w:rPr>
          <w:rFonts w:ascii="Times New Roman" w:hAnsi="Times New Roman" w:cs="Times New Roman"/>
          <w:sz w:val="24"/>
          <w:szCs w:val="24"/>
        </w:rPr>
        <w:t>, pueden hacerlo en</w:t>
      </w:r>
      <w:r w:rsidR="000369FD">
        <w:rPr>
          <w:rFonts w:ascii="Times New Roman" w:hAnsi="Times New Roman" w:cs="Times New Roman"/>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FE1124"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FE1124">
        <w:rPr>
          <w:rFonts w:ascii="Times New Roman" w:hAnsi="Times New Roman" w:cs="Times New Roman"/>
          <w:color w:val="FF0000"/>
          <w:sz w:val="24"/>
          <w:szCs w:val="24"/>
        </w:rPr>
        <w:t>Página: Sobre la UE Tratado de Libre Comercio entre la UE y USA</w:t>
      </w:r>
    </w:p>
    <w:p w:rsidR="000369FD" w:rsidRPr="00FE1124"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FE1124">
        <w:rPr>
          <w:rFonts w:ascii="Times New Roman" w:hAnsi="Times New Roman" w:cs="Times New Roman"/>
          <w:color w:val="FF0000"/>
          <w:sz w:val="24"/>
          <w:szCs w:val="24"/>
        </w:rPr>
        <w:t>http://ec.europa.eu/spain/sobre-la-ue/ttip/espana_es.htm#febrero</w:t>
      </w:r>
    </w:p>
    <w:p w:rsidR="000369FD" w:rsidRPr="003A511C" w:rsidRDefault="000369FD" w:rsidP="000369FD">
      <w:pPr>
        <w:autoSpaceDE w:val="0"/>
        <w:autoSpaceDN w:val="0"/>
        <w:adjustRightInd w:val="0"/>
        <w:spacing w:after="0" w:line="240" w:lineRule="auto"/>
        <w:jc w:val="both"/>
        <w:rPr>
          <w:rFonts w:ascii="Times New Roman" w:hAnsi="Times New Roman" w:cs="Times New Roman"/>
          <w:color w:val="0000FF"/>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w:t>
      </w:r>
      <w:r w:rsidRPr="00E32ACB">
        <w:rPr>
          <w:rFonts w:ascii="Times New Roman" w:hAnsi="Times New Roman" w:cs="Times New Roman"/>
          <w:sz w:val="24"/>
          <w:szCs w:val="24"/>
          <w:u w:val="single"/>
        </w:rPr>
        <w:t>Un gran acuerdo para crecer y crear empleo</w:t>
      </w:r>
      <w:r w:rsidRPr="00E32ACB">
        <w:rPr>
          <w:rFonts w:ascii="Times New Roman" w:hAnsi="Times New Roman" w:cs="Times New Roman"/>
          <w:sz w:val="24"/>
          <w:szCs w:val="24"/>
        </w:rPr>
        <w:t xml:space="preserve"> (Actualidad Económicas </w:t>
      </w:r>
      <w:r>
        <w:rPr>
          <w:rFonts w:ascii="Times New Roman" w:hAnsi="Times New Roman" w:cs="Times New Roman"/>
          <w:sz w:val="24"/>
          <w:szCs w:val="24"/>
        </w:rPr>
        <w:t>-</w:t>
      </w:r>
      <w:r w:rsidRPr="00E32ACB">
        <w:rPr>
          <w:rFonts w:ascii="Times New Roman" w:hAnsi="Times New Roman" w:cs="Times New Roman"/>
          <w:sz w:val="24"/>
          <w:szCs w:val="24"/>
        </w:rPr>
        <w:t xml:space="preserve"> </w:t>
      </w:r>
      <w:r w:rsidRPr="00363D32">
        <w:rPr>
          <w:rFonts w:ascii="Times New Roman" w:hAnsi="Times New Roman" w:cs="Times New Roman"/>
          <w:b/>
          <w:sz w:val="24"/>
          <w:szCs w:val="24"/>
        </w:rPr>
        <w:t>Octubre 2013</w:t>
      </w:r>
      <w:r w:rsidRPr="00E32ACB">
        <w:rPr>
          <w:rFonts w:ascii="Times New Roman" w:hAnsi="Times New Roman" w:cs="Times New Roman"/>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(Por Jaime García Legaz - </w:t>
      </w:r>
      <w:r w:rsidRPr="00E32ACB">
        <w:rPr>
          <w:rFonts w:ascii="Times New Roman" w:hAnsi="Times New Roman" w:cs="Times New Roman"/>
          <w:sz w:val="24"/>
          <w:szCs w:val="24"/>
        </w:rPr>
        <w:t>S</w:t>
      </w:r>
      <w:r>
        <w:rPr>
          <w:rFonts w:ascii="Times New Roman" w:hAnsi="Times New Roman" w:cs="Times New Roman"/>
          <w:sz w:val="24"/>
          <w:szCs w:val="24"/>
        </w:rPr>
        <w:t xml:space="preserve">ecretario de Estado de Comercio de España) </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El TTIP es</w:t>
      </w:r>
      <w:r>
        <w:rPr>
          <w:rFonts w:ascii="Times New Roman" w:hAnsi="Times New Roman" w:cs="Times New Roman"/>
          <w:sz w:val="24"/>
          <w:szCs w:val="24"/>
        </w:rPr>
        <w:t xml:space="preserve"> el acuerdo comercial bilateral más amplio negociado hasta </w:t>
      </w:r>
      <w:r w:rsidRPr="00285F5E">
        <w:rPr>
          <w:rFonts w:ascii="Times New Roman" w:hAnsi="Times New Roman" w:cs="Times New Roman"/>
          <w:sz w:val="24"/>
          <w:szCs w:val="24"/>
        </w:rPr>
        <w:t>la fech</w:t>
      </w:r>
      <w:r>
        <w:rPr>
          <w:rFonts w:ascii="Times New Roman" w:hAnsi="Times New Roman" w:cs="Times New Roman"/>
          <w:sz w:val="24"/>
          <w:szCs w:val="24"/>
        </w:rPr>
        <w:t xml:space="preserve">a, ya que integrará a dos zonas </w:t>
      </w:r>
      <w:r w:rsidRPr="00285F5E">
        <w:rPr>
          <w:rFonts w:ascii="Times New Roman" w:hAnsi="Times New Roman" w:cs="Times New Roman"/>
          <w:sz w:val="24"/>
          <w:szCs w:val="24"/>
        </w:rPr>
        <w:t>que juntas suponen más de</w:t>
      </w:r>
      <w:r>
        <w:rPr>
          <w:rFonts w:ascii="Times New Roman" w:hAnsi="Times New Roman" w:cs="Times New Roman"/>
          <w:sz w:val="24"/>
          <w:szCs w:val="24"/>
        </w:rPr>
        <w:t xml:space="preserve"> 800 millones </w:t>
      </w:r>
      <w:r w:rsidRPr="00285F5E">
        <w:rPr>
          <w:rFonts w:ascii="Times New Roman" w:hAnsi="Times New Roman" w:cs="Times New Roman"/>
          <w:sz w:val="24"/>
          <w:szCs w:val="24"/>
        </w:rPr>
        <w:t xml:space="preserve">de </w:t>
      </w:r>
      <w:r>
        <w:rPr>
          <w:rFonts w:ascii="Times New Roman" w:hAnsi="Times New Roman" w:cs="Times New Roman"/>
          <w:sz w:val="24"/>
          <w:szCs w:val="24"/>
        </w:rPr>
        <w:t xml:space="preserve">habitantes, casi la mitad de la </w:t>
      </w:r>
      <w:r w:rsidRPr="00285F5E">
        <w:rPr>
          <w:rFonts w:ascii="Times New Roman" w:hAnsi="Times New Roman" w:cs="Times New Roman"/>
          <w:sz w:val="24"/>
          <w:szCs w:val="24"/>
        </w:rPr>
        <w:t>produc</w:t>
      </w:r>
      <w:r>
        <w:rPr>
          <w:rFonts w:ascii="Times New Roman" w:hAnsi="Times New Roman" w:cs="Times New Roman"/>
          <w:sz w:val="24"/>
          <w:szCs w:val="24"/>
        </w:rPr>
        <w:t xml:space="preserve">ción mundial y casi una tercera parte del comercio mundial de </w:t>
      </w:r>
      <w:r w:rsidRPr="00285F5E">
        <w:rPr>
          <w:rFonts w:ascii="Times New Roman" w:hAnsi="Times New Roman" w:cs="Times New Roman"/>
          <w:sz w:val="24"/>
          <w:szCs w:val="24"/>
        </w:rPr>
        <w:t>biene</w:t>
      </w:r>
      <w:r>
        <w:rPr>
          <w:rFonts w:ascii="Times New Roman" w:hAnsi="Times New Roman" w:cs="Times New Roman"/>
          <w:sz w:val="24"/>
          <w:szCs w:val="24"/>
        </w:rPr>
        <w:t xml:space="preserve">s y servicios. Además, se trata </w:t>
      </w:r>
      <w:r w:rsidRPr="00285F5E">
        <w:rPr>
          <w:rFonts w:ascii="Times New Roman" w:hAnsi="Times New Roman" w:cs="Times New Roman"/>
          <w:sz w:val="24"/>
          <w:szCs w:val="24"/>
        </w:rPr>
        <w:t xml:space="preserve">de </w:t>
      </w:r>
      <w:r>
        <w:rPr>
          <w:rFonts w:ascii="Times New Roman" w:hAnsi="Times New Roman" w:cs="Times New Roman"/>
          <w:sz w:val="24"/>
          <w:szCs w:val="24"/>
        </w:rPr>
        <w:t xml:space="preserve">un acuerdo que, según todos los </w:t>
      </w:r>
      <w:r w:rsidRPr="00285F5E">
        <w:rPr>
          <w:rFonts w:ascii="Times New Roman" w:hAnsi="Times New Roman" w:cs="Times New Roman"/>
          <w:sz w:val="24"/>
          <w:szCs w:val="24"/>
        </w:rPr>
        <w:t>anál</w:t>
      </w:r>
      <w:r>
        <w:rPr>
          <w:rFonts w:ascii="Times New Roman" w:hAnsi="Times New Roman" w:cs="Times New Roman"/>
          <w:sz w:val="24"/>
          <w:szCs w:val="24"/>
        </w:rPr>
        <w:t xml:space="preserve">isis realizados hasta la fecha, </w:t>
      </w:r>
      <w:r w:rsidRPr="00285F5E">
        <w:rPr>
          <w:rFonts w:ascii="Times New Roman" w:hAnsi="Times New Roman" w:cs="Times New Roman"/>
          <w:sz w:val="24"/>
          <w:szCs w:val="24"/>
        </w:rPr>
        <w:t>tendrá efectos muy positivos en</w:t>
      </w:r>
      <w:r>
        <w:rPr>
          <w:rFonts w:ascii="Times New Roman" w:hAnsi="Times New Roman" w:cs="Times New Roman"/>
          <w:sz w:val="24"/>
          <w:szCs w:val="24"/>
        </w:rPr>
        <w:t xml:space="preserve"> las </w:t>
      </w:r>
      <w:r w:rsidRPr="00285F5E">
        <w:rPr>
          <w:rFonts w:ascii="Times New Roman" w:hAnsi="Times New Roman" w:cs="Times New Roman"/>
          <w:sz w:val="24"/>
          <w:szCs w:val="24"/>
        </w:rPr>
        <w:t>dos re</w:t>
      </w:r>
      <w:r>
        <w:rPr>
          <w:rFonts w:ascii="Times New Roman" w:hAnsi="Times New Roman" w:cs="Times New Roman"/>
          <w:sz w:val="24"/>
          <w:szCs w:val="24"/>
        </w:rPr>
        <w:t xml:space="preserve">giones. Por ejemplo, el informe </w:t>
      </w:r>
      <w:r w:rsidRPr="00285F5E">
        <w:rPr>
          <w:rFonts w:ascii="Times New Roman" w:hAnsi="Times New Roman" w:cs="Times New Roman"/>
          <w:sz w:val="24"/>
          <w:szCs w:val="24"/>
        </w:rPr>
        <w:t>de im</w:t>
      </w:r>
      <w:r>
        <w:rPr>
          <w:rFonts w:ascii="Times New Roman" w:hAnsi="Times New Roman" w:cs="Times New Roman"/>
          <w:sz w:val="24"/>
          <w:szCs w:val="24"/>
        </w:rPr>
        <w:t xml:space="preserve">pacto elaborado por la Comisión Europea estima que un acuerdo </w:t>
      </w:r>
      <w:r w:rsidRPr="00285F5E">
        <w:rPr>
          <w:rFonts w:ascii="Times New Roman" w:hAnsi="Times New Roman" w:cs="Times New Roman"/>
          <w:sz w:val="24"/>
          <w:szCs w:val="24"/>
        </w:rPr>
        <w:t>am</w:t>
      </w:r>
      <w:r>
        <w:rPr>
          <w:rFonts w:ascii="Times New Roman" w:hAnsi="Times New Roman" w:cs="Times New Roman"/>
          <w:sz w:val="24"/>
          <w:szCs w:val="24"/>
        </w:rPr>
        <w:t xml:space="preserve">plio y ambicioso podría suponer </w:t>
      </w:r>
      <w:r w:rsidRPr="00285F5E">
        <w:rPr>
          <w:rFonts w:ascii="Times New Roman" w:hAnsi="Times New Roman" w:cs="Times New Roman"/>
          <w:sz w:val="24"/>
          <w:szCs w:val="24"/>
        </w:rPr>
        <w:t>un a</w:t>
      </w:r>
      <w:r>
        <w:rPr>
          <w:rFonts w:ascii="Times New Roman" w:hAnsi="Times New Roman" w:cs="Times New Roman"/>
          <w:sz w:val="24"/>
          <w:szCs w:val="24"/>
        </w:rPr>
        <w:t xml:space="preserve">umento anual del PIB del 0,48 % </w:t>
      </w:r>
      <w:r w:rsidRPr="00285F5E">
        <w:rPr>
          <w:rFonts w:ascii="Times New Roman" w:hAnsi="Times New Roman" w:cs="Times New Roman"/>
          <w:sz w:val="24"/>
          <w:szCs w:val="24"/>
        </w:rPr>
        <w:t>en la UE</w:t>
      </w:r>
      <w:r>
        <w:rPr>
          <w:rFonts w:ascii="Times New Roman" w:hAnsi="Times New Roman" w:cs="Times New Roman"/>
          <w:sz w:val="24"/>
          <w:szCs w:val="24"/>
        </w:rPr>
        <w:t xml:space="preserve"> y del 0,38 % en Estados Unidos de aquí a 2027. Por </w:t>
      </w:r>
      <w:r w:rsidRPr="00285F5E">
        <w:rPr>
          <w:rFonts w:ascii="Times New Roman" w:hAnsi="Times New Roman" w:cs="Times New Roman"/>
          <w:sz w:val="24"/>
          <w:szCs w:val="24"/>
        </w:rPr>
        <w:t>otra parte, segú</w:t>
      </w:r>
      <w:r>
        <w:rPr>
          <w:rFonts w:ascii="Times New Roman" w:hAnsi="Times New Roman" w:cs="Times New Roman"/>
          <w:sz w:val="24"/>
          <w:szCs w:val="24"/>
        </w:rPr>
        <w:t xml:space="preserve">n el Informe de la Fundación Bertelsmann, España sería el </w:t>
      </w:r>
      <w:r w:rsidRPr="00285F5E">
        <w:rPr>
          <w:rFonts w:ascii="Times New Roman" w:hAnsi="Times New Roman" w:cs="Times New Roman"/>
          <w:sz w:val="24"/>
          <w:szCs w:val="24"/>
        </w:rPr>
        <w:t xml:space="preserve">cuarto </w:t>
      </w:r>
      <w:r>
        <w:rPr>
          <w:rFonts w:ascii="Times New Roman" w:hAnsi="Times New Roman" w:cs="Times New Roman"/>
          <w:sz w:val="24"/>
          <w:szCs w:val="24"/>
        </w:rPr>
        <w:t xml:space="preserve">país que más puestos de trabajo </w:t>
      </w:r>
      <w:r w:rsidRPr="00285F5E">
        <w:rPr>
          <w:rFonts w:ascii="Times New Roman" w:hAnsi="Times New Roman" w:cs="Times New Roman"/>
          <w:sz w:val="24"/>
          <w:szCs w:val="24"/>
        </w:rPr>
        <w:t>c</w:t>
      </w:r>
      <w:r>
        <w:rPr>
          <w:rFonts w:ascii="Times New Roman" w:hAnsi="Times New Roman" w:cs="Times New Roman"/>
          <w:sz w:val="24"/>
          <w:szCs w:val="24"/>
        </w:rPr>
        <w:t xml:space="preserve">rearía (140.000 nuevos empleos, </w:t>
      </w:r>
      <w:r w:rsidRPr="00285F5E">
        <w:rPr>
          <w:rFonts w:ascii="Times New Roman" w:hAnsi="Times New Roman" w:cs="Times New Roman"/>
          <w:sz w:val="24"/>
          <w:szCs w:val="24"/>
        </w:rPr>
        <w:lastRenderedPageBreak/>
        <w:t>s</w:t>
      </w:r>
      <w:r>
        <w:rPr>
          <w:rFonts w:ascii="Times New Roman" w:hAnsi="Times New Roman" w:cs="Times New Roman"/>
          <w:sz w:val="24"/>
          <w:szCs w:val="24"/>
        </w:rPr>
        <w:t xml:space="preserve">i se alcanza un acuerdo amplio) y también el cuarto en el que </w:t>
      </w:r>
      <w:r w:rsidRPr="00285F5E">
        <w:rPr>
          <w:rFonts w:ascii="Times New Roman" w:hAnsi="Times New Roman" w:cs="Times New Roman"/>
          <w:sz w:val="24"/>
          <w:szCs w:val="24"/>
        </w:rPr>
        <w:t>má</w:t>
      </w:r>
      <w:r>
        <w:rPr>
          <w:rFonts w:ascii="Times New Roman" w:hAnsi="Times New Roman" w:cs="Times New Roman"/>
          <w:sz w:val="24"/>
          <w:szCs w:val="24"/>
        </w:rPr>
        <w:t xml:space="preserve">s se incrementaría la renta per </w:t>
      </w:r>
      <w:r w:rsidRPr="00285F5E">
        <w:rPr>
          <w:rFonts w:ascii="Times New Roman" w:hAnsi="Times New Roman" w:cs="Times New Roman"/>
          <w:sz w:val="24"/>
          <w:szCs w:val="24"/>
        </w:rPr>
        <w:t>cápi</w:t>
      </w:r>
      <w:r>
        <w:rPr>
          <w:rFonts w:ascii="Times New Roman" w:hAnsi="Times New Roman" w:cs="Times New Roman"/>
          <w:sz w:val="24"/>
          <w:szCs w:val="24"/>
        </w:rPr>
        <w:t xml:space="preserve">ta a largo plazo, un 6,6% si el </w:t>
      </w:r>
      <w:r w:rsidRPr="00285F5E">
        <w:rPr>
          <w:rFonts w:ascii="Times New Roman" w:hAnsi="Times New Roman" w:cs="Times New Roman"/>
          <w:sz w:val="24"/>
          <w:szCs w:val="24"/>
        </w:rPr>
        <w:t>acue</w:t>
      </w:r>
      <w:r>
        <w:rPr>
          <w:rFonts w:ascii="Times New Roman" w:hAnsi="Times New Roman" w:cs="Times New Roman"/>
          <w:sz w:val="24"/>
          <w:szCs w:val="24"/>
        </w:rPr>
        <w:t xml:space="preserve">rdo es amplio, por encima de la </w:t>
      </w:r>
      <w:r w:rsidRPr="00285F5E">
        <w:rPr>
          <w:rFonts w:ascii="Times New Roman" w:hAnsi="Times New Roman" w:cs="Times New Roman"/>
          <w:sz w:val="24"/>
          <w:szCs w:val="24"/>
        </w:rPr>
        <w:t>media de la UE, que es de un 5,0%.</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 xml:space="preserve">MANDATO. </w:t>
      </w:r>
      <w:r>
        <w:rPr>
          <w:rFonts w:ascii="Times New Roman" w:hAnsi="Times New Roman" w:cs="Times New Roman"/>
          <w:sz w:val="24"/>
          <w:szCs w:val="24"/>
        </w:rPr>
        <w:t xml:space="preserve">España trabaja para que la Comisión Europea alcance un </w:t>
      </w:r>
      <w:r w:rsidRPr="00285F5E">
        <w:rPr>
          <w:rFonts w:ascii="Times New Roman" w:hAnsi="Times New Roman" w:cs="Times New Roman"/>
          <w:sz w:val="24"/>
          <w:szCs w:val="24"/>
        </w:rPr>
        <w:t>acuerdo amplio con Estados Unidos,</w:t>
      </w:r>
      <w:r>
        <w:rPr>
          <w:rFonts w:ascii="Times New Roman" w:hAnsi="Times New Roman" w:cs="Times New Roman"/>
          <w:sz w:val="24"/>
          <w:szCs w:val="24"/>
        </w:rPr>
        <w:t xml:space="preserve"> </w:t>
      </w:r>
      <w:r w:rsidRPr="00285F5E">
        <w:rPr>
          <w:rFonts w:ascii="Times New Roman" w:hAnsi="Times New Roman" w:cs="Times New Roman"/>
          <w:sz w:val="24"/>
          <w:szCs w:val="24"/>
        </w:rPr>
        <w:t>de conformidad con las competencias</w:t>
      </w:r>
      <w:r>
        <w:rPr>
          <w:rFonts w:ascii="Times New Roman" w:hAnsi="Times New Roman" w:cs="Times New Roman"/>
          <w:sz w:val="24"/>
          <w:szCs w:val="24"/>
        </w:rPr>
        <w:t xml:space="preserve"> </w:t>
      </w:r>
      <w:r w:rsidRPr="00285F5E">
        <w:rPr>
          <w:rFonts w:ascii="Times New Roman" w:hAnsi="Times New Roman" w:cs="Times New Roman"/>
          <w:sz w:val="24"/>
          <w:szCs w:val="24"/>
        </w:rPr>
        <w:t>de negociación</w:t>
      </w:r>
      <w:r>
        <w:rPr>
          <w:rFonts w:ascii="Times New Roman" w:hAnsi="Times New Roman" w:cs="Times New Roman"/>
          <w:sz w:val="24"/>
          <w:szCs w:val="24"/>
        </w:rPr>
        <w:t xml:space="preserve"> de pactos comerciales que la segunda tiene atribuidas </w:t>
      </w:r>
      <w:r w:rsidRPr="00285F5E">
        <w:rPr>
          <w:rFonts w:ascii="Times New Roman" w:hAnsi="Times New Roman" w:cs="Times New Roman"/>
          <w:sz w:val="24"/>
          <w:szCs w:val="24"/>
        </w:rPr>
        <w:t>en el Tr</w:t>
      </w:r>
      <w:r>
        <w:rPr>
          <w:rFonts w:ascii="Times New Roman" w:hAnsi="Times New Roman" w:cs="Times New Roman"/>
          <w:sz w:val="24"/>
          <w:szCs w:val="24"/>
        </w:rPr>
        <w:t xml:space="preserve">atado de la Unión. El pasado 14 </w:t>
      </w:r>
      <w:r w:rsidRPr="00285F5E">
        <w:rPr>
          <w:rFonts w:ascii="Times New Roman" w:hAnsi="Times New Roman" w:cs="Times New Roman"/>
          <w:sz w:val="24"/>
          <w:szCs w:val="24"/>
        </w:rPr>
        <w:t>de juni</w:t>
      </w:r>
      <w:r>
        <w:rPr>
          <w:rFonts w:ascii="Times New Roman" w:hAnsi="Times New Roman" w:cs="Times New Roman"/>
          <w:sz w:val="24"/>
          <w:szCs w:val="24"/>
        </w:rPr>
        <w:t xml:space="preserve">o de 2013 el Consejo de Asuntos </w:t>
      </w:r>
      <w:r w:rsidRPr="00285F5E">
        <w:rPr>
          <w:rFonts w:ascii="Times New Roman" w:hAnsi="Times New Roman" w:cs="Times New Roman"/>
          <w:sz w:val="24"/>
          <w:szCs w:val="24"/>
        </w:rPr>
        <w:t>Exterior</w:t>
      </w:r>
      <w:r>
        <w:rPr>
          <w:rFonts w:ascii="Times New Roman" w:hAnsi="Times New Roman" w:cs="Times New Roman"/>
          <w:sz w:val="24"/>
          <w:szCs w:val="24"/>
        </w:rPr>
        <w:t xml:space="preserve">es-Comercio de la Unión Europea aprobó el mandato a la Comisión </w:t>
      </w:r>
      <w:r w:rsidRPr="00285F5E">
        <w:rPr>
          <w:rFonts w:ascii="Times New Roman" w:hAnsi="Times New Roman" w:cs="Times New Roman"/>
          <w:sz w:val="24"/>
          <w:szCs w:val="24"/>
        </w:rPr>
        <w:t>para negociar</w:t>
      </w:r>
      <w:r>
        <w:rPr>
          <w:rFonts w:ascii="Times New Roman" w:hAnsi="Times New Roman" w:cs="Times New Roman"/>
          <w:sz w:val="24"/>
          <w:szCs w:val="24"/>
        </w:rPr>
        <w:t xml:space="preserve"> este acuerdo, con la exclusión </w:t>
      </w:r>
      <w:r w:rsidRPr="00285F5E">
        <w:rPr>
          <w:rFonts w:ascii="Times New Roman" w:hAnsi="Times New Roman" w:cs="Times New Roman"/>
          <w:sz w:val="24"/>
          <w:szCs w:val="24"/>
        </w:rPr>
        <w:t>del s</w:t>
      </w:r>
      <w:r>
        <w:rPr>
          <w:rFonts w:ascii="Times New Roman" w:hAnsi="Times New Roman" w:cs="Times New Roman"/>
          <w:sz w:val="24"/>
          <w:szCs w:val="24"/>
        </w:rPr>
        <w:t xml:space="preserve">ector audiovisual (sin la </w:t>
      </w:r>
      <w:r w:rsidRPr="00285F5E">
        <w:rPr>
          <w:rFonts w:ascii="Times New Roman" w:hAnsi="Times New Roman" w:cs="Times New Roman"/>
          <w:sz w:val="24"/>
          <w:szCs w:val="24"/>
        </w:rPr>
        <w:t xml:space="preserve">extensión </w:t>
      </w:r>
      <w:r>
        <w:rPr>
          <w:rFonts w:ascii="Times New Roman" w:hAnsi="Times New Roman" w:cs="Times New Roman"/>
          <w:sz w:val="24"/>
          <w:szCs w:val="24"/>
        </w:rPr>
        <w:t xml:space="preserve">a servicios culturales al menos </w:t>
      </w:r>
      <w:r w:rsidRPr="00285F5E">
        <w:rPr>
          <w:rFonts w:ascii="Times New Roman" w:hAnsi="Times New Roman" w:cs="Times New Roman"/>
          <w:sz w:val="24"/>
          <w:szCs w:val="24"/>
        </w:rPr>
        <w:t>en</w:t>
      </w:r>
      <w:r>
        <w:rPr>
          <w:rFonts w:ascii="Times New Roman" w:hAnsi="Times New Roman" w:cs="Times New Roman"/>
          <w:sz w:val="24"/>
          <w:szCs w:val="24"/>
        </w:rPr>
        <w:t xml:space="preserve"> la parte de acceso a mercado), </w:t>
      </w:r>
      <w:r w:rsidRPr="00285F5E">
        <w:rPr>
          <w:rFonts w:ascii="Times New Roman" w:hAnsi="Times New Roman" w:cs="Times New Roman"/>
          <w:sz w:val="24"/>
          <w:szCs w:val="24"/>
        </w:rPr>
        <w:t>anunciándose e</w:t>
      </w:r>
      <w:r>
        <w:rPr>
          <w:rFonts w:ascii="Times New Roman" w:hAnsi="Times New Roman" w:cs="Times New Roman"/>
          <w:sz w:val="24"/>
          <w:szCs w:val="24"/>
        </w:rPr>
        <w:t xml:space="preserve">l arranque de las negociaciones el 17 de junio, en coincidencia </w:t>
      </w:r>
      <w:r w:rsidRPr="00285F5E">
        <w:rPr>
          <w:rFonts w:ascii="Times New Roman" w:hAnsi="Times New Roman" w:cs="Times New Roman"/>
          <w:sz w:val="24"/>
          <w:szCs w:val="24"/>
        </w:rPr>
        <w:t>con l</w:t>
      </w:r>
      <w:r>
        <w:rPr>
          <w:rFonts w:ascii="Times New Roman" w:hAnsi="Times New Roman" w:cs="Times New Roman"/>
          <w:sz w:val="24"/>
          <w:szCs w:val="24"/>
        </w:rPr>
        <w:t xml:space="preserve">a reunión del G8 en Irlanda del </w:t>
      </w:r>
      <w:r w:rsidRPr="00285F5E">
        <w:rPr>
          <w:rFonts w:ascii="Times New Roman" w:hAnsi="Times New Roman" w:cs="Times New Roman"/>
          <w:sz w:val="24"/>
          <w:szCs w:val="24"/>
        </w:rPr>
        <w:t>Norte.</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 xml:space="preserve">La primera ronda de negociación </w:t>
      </w:r>
      <w:r>
        <w:rPr>
          <w:rFonts w:ascii="Times New Roman" w:hAnsi="Times New Roman" w:cs="Times New Roman"/>
          <w:sz w:val="24"/>
          <w:szCs w:val="24"/>
        </w:rPr>
        <w:t xml:space="preserve">del </w:t>
      </w:r>
      <w:r w:rsidRPr="00285F5E">
        <w:rPr>
          <w:rFonts w:ascii="Times New Roman" w:hAnsi="Times New Roman" w:cs="Times New Roman"/>
          <w:sz w:val="24"/>
          <w:szCs w:val="24"/>
        </w:rPr>
        <w:t>TTIP,</w:t>
      </w:r>
      <w:r>
        <w:rPr>
          <w:rFonts w:ascii="Times New Roman" w:hAnsi="Times New Roman" w:cs="Times New Roman"/>
          <w:sz w:val="24"/>
          <w:szCs w:val="24"/>
        </w:rPr>
        <w:t xml:space="preserve"> inaugurada oficialmente por el </w:t>
      </w:r>
      <w:r w:rsidRPr="00285F5E">
        <w:rPr>
          <w:rFonts w:ascii="Times New Roman" w:hAnsi="Times New Roman" w:cs="Times New Roman"/>
          <w:sz w:val="24"/>
          <w:szCs w:val="24"/>
        </w:rPr>
        <w:t>repre</w:t>
      </w:r>
      <w:r>
        <w:rPr>
          <w:rFonts w:ascii="Times New Roman" w:hAnsi="Times New Roman" w:cs="Times New Roman"/>
          <w:sz w:val="24"/>
          <w:szCs w:val="24"/>
        </w:rPr>
        <w:t xml:space="preserve">sentante de comercio de Estados </w:t>
      </w:r>
      <w:r w:rsidRPr="00285F5E">
        <w:rPr>
          <w:rFonts w:ascii="Times New Roman" w:hAnsi="Times New Roman" w:cs="Times New Roman"/>
          <w:sz w:val="24"/>
          <w:szCs w:val="24"/>
        </w:rPr>
        <w:t>Un</w:t>
      </w:r>
      <w:r>
        <w:rPr>
          <w:rFonts w:ascii="Times New Roman" w:hAnsi="Times New Roman" w:cs="Times New Roman"/>
          <w:sz w:val="24"/>
          <w:szCs w:val="24"/>
        </w:rPr>
        <w:t xml:space="preserve">idos Michael Froman, tuvo lugar </w:t>
      </w:r>
      <w:r w:rsidRPr="00285F5E">
        <w:rPr>
          <w:rFonts w:ascii="Times New Roman" w:hAnsi="Times New Roman" w:cs="Times New Roman"/>
          <w:sz w:val="24"/>
          <w:szCs w:val="24"/>
        </w:rPr>
        <w:t xml:space="preserve">entre el 8 </w:t>
      </w:r>
      <w:r>
        <w:rPr>
          <w:rFonts w:ascii="Times New Roman" w:hAnsi="Times New Roman" w:cs="Times New Roman"/>
          <w:sz w:val="24"/>
          <w:szCs w:val="24"/>
        </w:rPr>
        <w:t xml:space="preserve">y el 12 de julio en Washington. </w:t>
      </w:r>
      <w:r w:rsidRPr="00285F5E">
        <w:rPr>
          <w:rFonts w:ascii="Times New Roman" w:hAnsi="Times New Roman" w:cs="Times New Roman"/>
          <w:sz w:val="24"/>
          <w:szCs w:val="24"/>
        </w:rPr>
        <w:t>En</w:t>
      </w:r>
      <w:r>
        <w:rPr>
          <w:rFonts w:ascii="Times New Roman" w:hAnsi="Times New Roman" w:cs="Times New Roman"/>
          <w:sz w:val="24"/>
          <w:szCs w:val="24"/>
        </w:rPr>
        <w:t xml:space="preserve"> ella han participado alrededor </w:t>
      </w:r>
      <w:r w:rsidRPr="00285F5E">
        <w:rPr>
          <w:rFonts w:ascii="Times New Roman" w:hAnsi="Times New Roman" w:cs="Times New Roman"/>
          <w:sz w:val="24"/>
          <w:szCs w:val="24"/>
        </w:rPr>
        <w:t>de 150 n</w:t>
      </w:r>
      <w:r>
        <w:rPr>
          <w:rFonts w:ascii="Times New Roman" w:hAnsi="Times New Roman" w:cs="Times New Roman"/>
          <w:sz w:val="24"/>
          <w:szCs w:val="24"/>
        </w:rPr>
        <w:t xml:space="preserve">egociadores de la Unión Europea y Estados Unidos divididos en 24 grupos.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En este proceso que acaba de arrancar, cabe destacar, como detallaré más adelante, la importancia del capítulo </w:t>
      </w:r>
      <w:r w:rsidRPr="00285F5E">
        <w:rPr>
          <w:rFonts w:ascii="Times New Roman" w:hAnsi="Times New Roman" w:cs="Times New Roman"/>
          <w:sz w:val="24"/>
          <w:szCs w:val="24"/>
        </w:rPr>
        <w:t>re</w:t>
      </w:r>
      <w:r>
        <w:rPr>
          <w:rFonts w:ascii="Times New Roman" w:hAnsi="Times New Roman" w:cs="Times New Roman"/>
          <w:sz w:val="24"/>
          <w:szCs w:val="24"/>
        </w:rPr>
        <w:t xml:space="preserve">gulatorio, pues aproximadamente la mitad de los más de </w:t>
      </w:r>
      <w:r w:rsidRPr="00285F5E">
        <w:rPr>
          <w:rFonts w:ascii="Times New Roman" w:hAnsi="Times New Roman" w:cs="Times New Roman"/>
          <w:sz w:val="24"/>
          <w:szCs w:val="24"/>
        </w:rPr>
        <w:t xml:space="preserve">60 </w:t>
      </w:r>
      <w:r>
        <w:rPr>
          <w:rFonts w:ascii="Times New Roman" w:hAnsi="Times New Roman" w:cs="Times New Roman"/>
          <w:sz w:val="24"/>
          <w:szCs w:val="24"/>
        </w:rPr>
        <w:t xml:space="preserve">negociadores desplazados por la </w:t>
      </w:r>
      <w:r w:rsidRPr="00285F5E">
        <w:rPr>
          <w:rFonts w:ascii="Times New Roman" w:hAnsi="Times New Roman" w:cs="Times New Roman"/>
          <w:sz w:val="24"/>
          <w:szCs w:val="24"/>
        </w:rPr>
        <w:t>Comisión des</w:t>
      </w:r>
      <w:r>
        <w:rPr>
          <w:rFonts w:ascii="Times New Roman" w:hAnsi="Times New Roman" w:cs="Times New Roman"/>
          <w:sz w:val="24"/>
          <w:szCs w:val="24"/>
        </w:rPr>
        <w:t xml:space="preserve">de Bruselas eran responsables de cuestiones regulatorias en </w:t>
      </w:r>
      <w:r w:rsidRPr="00285F5E">
        <w:rPr>
          <w:rFonts w:ascii="Times New Roman" w:hAnsi="Times New Roman" w:cs="Times New Roman"/>
          <w:sz w:val="24"/>
          <w:szCs w:val="24"/>
        </w:rPr>
        <w:t xml:space="preserve">diversas </w:t>
      </w:r>
      <w:r>
        <w:rPr>
          <w:rFonts w:ascii="Times New Roman" w:hAnsi="Times New Roman" w:cs="Times New Roman"/>
          <w:sz w:val="24"/>
          <w:szCs w:val="24"/>
        </w:rPr>
        <w:t xml:space="preserve">direcciones generales, mientras que la otra mitad procedía del </w:t>
      </w:r>
      <w:r w:rsidRPr="00285F5E">
        <w:rPr>
          <w:rFonts w:ascii="Times New Roman" w:hAnsi="Times New Roman" w:cs="Times New Roman"/>
          <w:sz w:val="24"/>
          <w:szCs w:val="24"/>
        </w:rPr>
        <w:t>área de comercio.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Esta primera ronda ha supuesto </w:t>
      </w:r>
      <w:r w:rsidRPr="00285F5E">
        <w:rPr>
          <w:rFonts w:ascii="Times New Roman" w:hAnsi="Times New Roman" w:cs="Times New Roman"/>
          <w:sz w:val="24"/>
          <w:szCs w:val="24"/>
        </w:rPr>
        <w:t>una to</w:t>
      </w:r>
      <w:r>
        <w:rPr>
          <w:rFonts w:ascii="Times New Roman" w:hAnsi="Times New Roman" w:cs="Times New Roman"/>
          <w:sz w:val="24"/>
          <w:szCs w:val="24"/>
        </w:rPr>
        <w:t xml:space="preserve">ma de contacto inicial en todos </w:t>
      </w:r>
      <w:r w:rsidRPr="00285F5E">
        <w:rPr>
          <w:rFonts w:ascii="Times New Roman" w:hAnsi="Times New Roman" w:cs="Times New Roman"/>
          <w:sz w:val="24"/>
          <w:szCs w:val="24"/>
        </w:rPr>
        <w:t>l</w:t>
      </w:r>
      <w:r>
        <w:rPr>
          <w:rFonts w:ascii="Times New Roman" w:hAnsi="Times New Roman" w:cs="Times New Roman"/>
          <w:sz w:val="24"/>
          <w:szCs w:val="24"/>
        </w:rPr>
        <w:t xml:space="preserve">os temas objeto de negociación, </w:t>
      </w:r>
      <w:r w:rsidRPr="00285F5E">
        <w:rPr>
          <w:rFonts w:ascii="Times New Roman" w:hAnsi="Times New Roman" w:cs="Times New Roman"/>
          <w:sz w:val="24"/>
          <w:szCs w:val="24"/>
        </w:rPr>
        <w:t xml:space="preserve">con </w:t>
      </w:r>
      <w:r>
        <w:rPr>
          <w:rFonts w:ascii="Times New Roman" w:hAnsi="Times New Roman" w:cs="Times New Roman"/>
          <w:sz w:val="24"/>
          <w:szCs w:val="24"/>
        </w:rPr>
        <w:t xml:space="preserve">intercambio de información e identificación de los ámbitos de coincidencia y discrepancia. </w:t>
      </w:r>
      <w:r w:rsidRPr="00285F5E">
        <w:rPr>
          <w:rFonts w:ascii="Times New Roman" w:hAnsi="Times New Roman" w:cs="Times New Roman"/>
          <w:sz w:val="24"/>
          <w:szCs w:val="24"/>
        </w:rPr>
        <w:t>Perm</w:t>
      </w:r>
      <w:r>
        <w:rPr>
          <w:rFonts w:ascii="Times New Roman" w:hAnsi="Times New Roman" w:cs="Times New Roman"/>
          <w:sz w:val="24"/>
          <w:szCs w:val="24"/>
        </w:rPr>
        <w:t xml:space="preserve">itió confirmar el alto grado de </w:t>
      </w:r>
      <w:r w:rsidRPr="00285F5E">
        <w:rPr>
          <w:rFonts w:ascii="Times New Roman" w:hAnsi="Times New Roman" w:cs="Times New Roman"/>
          <w:sz w:val="24"/>
          <w:szCs w:val="24"/>
        </w:rPr>
        <w:t>ambici</w:t>
      </w:r>
      <w:r>
        <w:rPr>
          <w:rFonts w:ascii="Times New Roman" w:hAnsi="Times New Roman" w:cs="Times New Roman"/>
          <w:sz w:val="24"/>
          <w:szCs w:val="24"/>
        </w:rPr>
        <w:t xml:space="preserve">ón de ambas partes y, permitirá </w:t>
      </w:r>
      <w:r w:rsidRPr="00285F5E">
        <w:rPr>
          <w:rFonts w:ascii="Times New Roman" w:hAnsi="Times New Roman" w:cs="Times New Roman"/>
          <w:sz w:val="24"/>
          <w:szCs w:val="24"/>
        </w:rPr>
        <w:t xml:space="preserve">que en la </w:t>
      </w:r>
      <w:r>
        <w:rPr>
          <w:rFonts w:ascii="Times New Roman" w:hAnsi="Times New Roman" w:cs="Times New Roman"/>
          <w:sz w:val="24"/>
          <w:szCs w:val="24"/>
        </w:rPr>
        <w:t xml:space="preserve">segunda ronda, que tendrá lugar </w:t>
      </w:r>
      <w:r w:rsidRPr="00285F5E">
        <w:rPr>
          <w:rFonts w:ascii="Times New Roman" w:hAnsi="Times New Roman" w:cs="Times New Roman"/>
          <w:sz w:val="24"/>
          <w:szCs w:val="24"/>
        </w:rPr>
        <w:t>e</w:t>
      </w:r>
      <w:r>
        <w:rPr>
          <w:rFonts w:ascii="Times New Roman" w:hAnsi="Times New Roman" w:cs="Times New Roman"/>
          <w:sz w:val="24"/>
          <w:szCs w:val="24"/>
        </w:rPr>
        <w:t xml:space="preserve">n la semana del 7 de octubre en </w:t>
      </w:r>
      <w:r w:rsidRPr="00285F5E">
        <w:rPr>
          <w:rFonts w:ascii="Times New Roman" w:hAnsi="Times New Roman" w:cs="Times New Roman"/>
          <w:sz w:val="24"/>
          <w:szCs w:val="24"/>
        </w:rPr>
        <w:t>Bruselas, se ent</w:t>
      </w:r>
      <w:r>
        <w:rPr>
          <w:rFonts w:ascii="Times New Roman" w:hAnsi="Times New Roman" w:cs="Times New Roman"/>
          <w:sz w:val="24"/>
          <w:szCs w:val="24"/>
        </w:rPr>
        <w:t xml:space="preserve">re más a fondo en los </w:t>
      </w:r>
      <w:r w:rsidRPr="00285F5E">
        <w:rPr>
          <w:rFonts w:ascii="Times New Roman" w:hAnsi="Times New Roman" w:cs="Times New Roman"/>
          <w:sz w:val="24"/>
          <w:szCs w:val="24"/>
        </w:rPr>
        <w:t>temas</w:t>
      </w:r>
      <w:r>
        <w:rPr>
          <w:rFonts w:ascii="Times New Roman" w:hAnsi="Times New Roman" w:cs="Times New Roman"/>
          <w:sz w:val="24"/>
          <w:szCs w:val="24"/>
        </w:rPr>
        <w:t xml:space="preserve">. La tercera ronda se celebrará </w:t>
      </w:r>
      <w:r w:rsidRPr="00285F5E">
        <w:rPr>
          <w:rFonts w:ascii="Times New Roman" w:hAnsi="Times New Roman" w:cs="Times New Roman"/>
          <w:sz w:val="24"/>
          <w:szCs w:val="24"/>
        </w:rPr>
        <w:t>posiblemen</w:t>
      </w:r>
      <w:r>
        <w:rPr>
          <w:rFonts w:ascii="Times New Roman" w:hAnsi="Times New Roman" w:cs="Times New Roman"/>
          <w:sz w:val="24"/>
          <w:szCs w:val="24"/>
        </w:rPr>
        <w:t xml:space="preserve">te a partir del 16 de diciembre </w:t>
      </w:r>
      <w:r w:rsidRPr="00285F5E">
        <w:rPr>
          <w:rFonts w:ascii="Times New Roman" w:hAnsi="Times New Roman" w:cs="Times New Roman"/>
          <w:sz w:val="24"/>
          <w:szCs w:val="24"/>
        </w:rPr>
        <w:t xml:space="preserve">en </w:t>
      </w:r>
      <w:r>
        <w:rPr>
          <w:rFonts w:ascii="Times New Roman" w:hAnsi="Times New Roman" w:cs="Times New Roman"/>
          <w:sz w:val="24"/>
          <w:szCs w:val="24"/>
        </w:rPr>
        <w:t xml:space="preserve">Washington, y las negociaciones </w:t>
      </w:r>
      <w:r w:rsidRPr="00285F5E">
        <w:rPr>
          <w:rFonts w:ascii="Times New Roman" w:hAnsi="Times New Roman" w:cs="Times New Roman"/>
          <w:sz w:val="24"/>
          <w:szCs w:val="24"/>
        </w:rPr>
        <w:t>podrían c</w:t>
      </w:r>
      <w:r>
        <w:rPr>
          <w:rFonts w:ascii="Times New Roman" w:hAnsi="Times New Roman" w:cs="Times New Roman"/>
          <w:sz w:val="24"/>
          <w:szCs w:val="24"/>
        </w:rPr>
        <w:t xml:space="preserve">oncluir en otoño de 2015, antes </w:t>
      </w:r>
      <w:r w:rsidRPr="00285F5E">
        <w:rPr>
          <w:rFonts w:ascii="Times New Roman" w:hAnsi="Times New Roman" w:cs="Times New Roman"/>
          <w:sz w:val="24"/>
          <w:szCs w:val="24"/>
        </w:rPr>
        <w:t>de</w:t>
      </w:r>
      <w:r>
        <w:rPr>
          <w:rFonts w:ascii="Times New Roman" w:hAnsi="Times New Roman" w:cs="Times New Roman"/>
          <w:sz w:val="24"/>
          <w:szCs w:val="24"/>
        </w:rPr>
        <w:t xml:space="preserve"> que el presidente Barack Obama </w:t>
      </w:r>
      <w:r w:rsidRPr="00285F5E">
        <w:rPr>
          <w:rFonts w:ascii="Times New Roman" w:hAnsi="Times New Roman" w:cs="Times New Roman"/>
          <w:sz w:val="24"/>
          <w:szCs w:val="24"/>
        </w:rPr>
        <w:t>termine su segundo mandato.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Esta aso</w:t>
      </w:r>
      <w:r>
        <w:rPr>
          <w:rFonts w:ascii="Times New Roman" w:hAnsi="Times New Roman" w:cs="Times New Roman"/>
          <w:sz w:val="24"/>
          <w:szCs w:val="24"/>
        </w:rPr>
        <w:t xml:space="preserve">ciación transatlántica consiste en un acuerdo de liberalización </w:t>
      </w:r>
      <w:r w:rsidRPr="00285F5E">
        <w:rPr>
          <w:rFonts w:ascii="Times New Roman" w:hAnsi="Times New Roman" w:cs="Times New Roman"/>
          <w:sz w:val="24"/>
          <w:szCs w:val="24"/>
        </w:rPr>
        <w:t>comerc</w:t>
      </w:r>
      <w:r>
        <w:rPr>
          <w:rFonts w:ascii="Times New Roman" w:hAnsi="Times New Roman" w:cs="Times New Roman"/>
          <w:sz w:val="24"/>
          <w:szCs w:val="24"/>
        </w:rPr>
        <w:t xml:space="preserve">ial amplio, con tres apartados: </w:t>
      </w:r>
      <w:r w:rsidRPr="00285F5E">
        <w:rPr>
          <w:rFonts w:ascii="Times New Roman" w:hAnsi="Times New Roman" w:cs="Times New Roman"/>
          <w:sz w:val="24"/>
          <w:szCs w:val="24"/>
        </w:rPr>
        <w:t>acceso a lo</w:t>
      </w:r>
      <w:r>
        <w:rPr>
          <w:rFonts w:ascii="Times New Roman" w:hAnsi="Times New Roman" w:cs="Times New Roman"/>
          <w:sz w:val="24"/>
          <w:szCs w:val="24"/>
        </w:rPr>
        <w:t xml:space="preserve">s mercados (comercio de bienes, </w:t>
      </w:r>
      <w:r w:rsidRPr="00285F5E">
        <w:rPr>
          <w:rFonts w:ascii="Times New Roman" w:hAnsi="Times New Roman" w:cs="Times New Roman"/>
          <w:sz w:val="24"/>
          <w:szCs w:val="24"/>
        </w:rPr>
        <w:t>servici</w:t>
      </w:r>
      <w:r>
        <w:rPr>
          <w:rFonts w:ascii="Times New Roman" w:hAnsi="Times New Roman" w:cs="Times New Roman"/>
          <w:sz w:val="24"/>
          <w:szCs w:val="24"/>
        </w:rPr>
        <w:t xml:space="preserve">os, establecimiento, protección </w:t>
      </w:r>
      <w:r w:rsidRPr="00285F5E">
        <w:rPr>
          <w:rFonts w:ascii="Times New Roman" w:hAnsi="Times New Roman" w:cs="Times New Roman"/>
          <w:sz w:val="24"/>
          <w:szCs w:val="24"/>
        </w:rPr>
        <w:t>de inve</w:t>
      </w:r>
      <w:r>
        <w:rPr>
          <w:rFonts w:ascii="Times New Roman" w:hAnsi="Times New Roman" w:cs="Times New Roman"/>
          <w:sz w:val="24"/>
          <w:szCs w:val="24"/>
        </w:rPr>
        <w:t xml:space="preserve">rsiones y contratación pública, </w:t>
      </w:r>
      <w:r w:rsidRPr="00285F5E">
        <w:rPr>
          <w:rFonts w:ascii="Times New Roman" w:hAnsi="Times New Roman" w:cs="Times New Roman"/>
          <w:sz w:val="24"/>
          <w:szCs w:val="24"/>
        </w:rPr>
        <w:t>etc.); regulación y barre</w:t>
      </w:r>
      <w:r>
        <w:rPr>
          <w:rFonts w:ascii="Times New Roman" w:hAnsi="Times New Roman" w:cs="Times New Roman"/>
          <w:sz w:val="24"/>
          <w:szCs w:val="24"/>
        </w:rPr>
        <w:t xml:space="preserve">ras no </w:t>
      </w:r>
      <w:r w:rsidRPr="00285F5E">
        <w:rPr>
          <w:rFonts w:ascii="Times New Roman" w:hAnsi="Times New Roman" w:cs="Times New Roman"/>
          <w:sz w:val="24"/>
          <w:szCs w:val="24"/>
        </w:rPr>
        <w:t>arancelarias (medid</w:t>
      </w:r>
      <w:r>
        <w:rPr>
          <w:rFonts w:ascii="Times New Roman" w:hAnsi="Times New Roman" w:cs="Times New Roman"/>
          <w:sz w:val="24"/>
          <w:szCs w:val="24"/>
        </w:rPr>
        <w:t xml:space="preserve">as sanitarias y fitosanitarias, </w:t>
      </w:r>
      <w:r w:rsidRPr="00285F5E">
        <w:rPr>
          <w:rFonts w:ascii="Times New Roman" w:hAnsi="Times New Roman" w:cs="Times New Roman"/>
          <w:sz w:val="24"/>
          <w:szCs w:val="24"/>
        </w:rPr>
        <w:t>barreras técnicas, etc.), y</w:t>
      </w:r>
      <w:r>
        <w:rPr>
          <w:rFonts w:ascii="Times New Roman" w:hAnsi="Times New Roman" w:cs="Times New Roman"/>
          <w:sz w:val="24"/>
          <w:szCs w:val="24"/>
        </w:rPr>
        <w:t xml:space="preserve"> otras reglas que afectan al </w:t>
      </w:r>
      <w:r w:rsidRPr="00285F5E">
        <w:rPr>
          <w:rFonts w:ascii="Times New Roman" w:hAnsi="Times New Roman" w:cs="Times New Roman"/>
          <w:sz w:val="24"/>
          <w:szCs w:val="24"/>
        </w:rPr>
        <w:t>c</w:t>
      </w:r>
      <w:r>
        <w:rPr>
          <w:rFonts w:ascii="Times New Roman" w:hAnsi="Times New Roman" w:cs="Times New Roman"/>
          <w:sz w:val="24"/>
          <w:szCs w:val="24"/>
        </w:rPr>
        <w:t xml:space="preserve">omercio (propiedad intelectual, desarrollo sostenible, comercio de materias </w:t>
      </w:r>
      <w:r w:rsidRPr="00285F5E">
        <w:rPr>
          <w:rFonts w:ascii="Times New Roman" w:hAnsi="Times New Roman" w:cs="Times New Roman"/>
          <w:sz w:val="24"/>
          <w:szCs w:val="24"/>
        </w:rPr>
        <w:t>primas y energía, etc.).</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continuación describiré el </w:t>
      </w:r>
      <w:r w:rsidRPr="00285F5E">
        <w:rPr>
          <w:rFonts w:ascii="Times New Roman" w:hAnsi="Times New Roman" w:cs="Times New Roman"/>
          <w:sz w:val="24"/>
          <w:szCs w:val="24"/>
        </w:rPr>
        <w:t xml:space="preserve">impacto del </w:t>
      </w:r>
      <w:r>
        <w:rPr>
          <w:rFonts w:ascii="Times New Roman" w:hAnsi="Times New Roman" w:cs="Times New Roman"/>
          <w:sz w:val="24"/>
          <w:szCs w:val="24"/>
        </w:rPr>
        <w:t xml:space="preserve">acuerdo a través de ejemplos de posibles efectos concretos, tanto transversales como sectoriales, que el mismo podría tener en los ciudadanos y empresas españolas </w:t>
      </w:r>
      <w:r w:rsidRPr="00285F5E">
        <w:rPr>
          <w:rFonts w:ascii="Times New Roman" w:hAnsi="Times New Roman" w:cs="Times New Roman"/>
          <w:sz w:val="24"/>
          <w:szCs w:val="24"/>
        </w:rPr>
        <w:t xml:space="preserve">y </w:t>
      </w:r>
      <w:r>
        <w:rPr>
          <w:rFonts w:ascii="Times New Roman" w:hAnsi="Times New Roman" w:cs="Times New Roman"/>
          <w:sz w:val="24"/>
          <w:szCs w:val="24"/>
        </w:rPr>
        <w:t xml:space="preserve">europeas, con la advertencia de </w:t>
      </w:r>
      <w:r w:rsidRPr="00285F5E">
        <w:rPr>
          <w:rFonts w:ascii="Times New Roman" w:hAnsi="Times New Roman" w:cs="Times New Roman"/>
          <w:sz w:val="24"/>
          <w:szCs w:val="24"/>
        </w:rPr>
        <w:t>que actu</w:t>
      </w:r>
      <w:r>
        <w:rPr>
          <w:rFonts w:ascii="Times New Roman" w:hAnsi="Times New Roman" w:cs="Times New Roman"/>
          <w:sz w:val="24"/>
          <w:szCs w:val="24"/>
        </w:rPr>
        <w:t xml:space="preserve">almente todavía nos encontramos </w:t>
      </w:r>
      <w:r w:rsidRPr="00285F5E">
        <w:rPr>
          <w:rFonts w:ascii="Times New Roman" w:hAnsi="Times New Roman" w:cs="Times New Roman"/>
          <w:sz w:val="24"/>
          <w:szCs w:val="24"/>
        </w:rPr>
        <w:t>en una fase tempran</w:t>
      </w:r>
      <w:r>
        <w:rPr>
          <w:rFonts w:ascii="Times New Roman" w:hAnsi="Times New Roman" w:cs="Times New Roman"/>
          <w:sz w:val="24"/>
          <w:szCs w:val="24"/>
        </w:rPr>
        <w:t xml:space="preserve">a en el proceso </w:t>
      </w:r>
      <w:r w:rsidRPr="00285F5E">
        <w:rPr>
          <w:rFonts w:ascii="Times New Roman" w:hAnsi="Times New Roman" w:cs="Times New Roman"/>
          <w:sz w:val="24"/>
          <w:szCs w:val="24"/>
        </w:rPr>
        <w:t>negociador.</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REDUCIR BUROCRAC</w:t>
      </w:r>
      <w:r>
        <w:rPr>
          <w:rFonts w:ascii="Times New Roman" w:hAnsi="Times New Roman" w:cs="Times New Roman"/>
          <w:sz w:val="24"/>
          <w:szCs w:val="24"/>
        </w:rPr>
        <w:t xml:space="preserve">IA. En un análisis transversal, </w:t>
      </w:r>
      <w:r w:rsidRPr="00285F5E">
        <w:rPr>
          <w:rFonts w:ascii="Times New Roman" w:hAnsi="Times New Roman" w:cs="Times New Roman"/>
          <w:sz w:val="24"/>
          <w:szCs w:val="24"/>
        </w:rPr>
        <w:t>la elimi</w:t>
      </w:r>
      <w:r>
        <w:rPr>
          <w:rFonts w:ascii="Times New Roman" w:hAnsi="Times New Roman" w:cs="Times New Roman"/>
          <w:sz w:val="24"/>
          <w:szCs w:val="24"/>
        </w:rPr>
        <w:t xml:space="preserve">nación de barreras regulatorias y no arancelarias constituye un área central y clave, aunque muy compleja, para el éxito del mercado transatlántico, </w:t>
      </w:r>
      <w:r w:rsidRPr="00285F5E">
        <w:rPr>
          <w:rFonts w:ascii="Times New Roman" w:hAnsi="Times New Roman" w:cs="Times New Roman"/>
          <w:sz w:val="24"/>
          <w:szCs w:val="24"/>
        </w:rPr>
        <w:t>d</w:t>
      </w:r>
      <w:r>
        <w:rPr>
          <w:rFonts w:ascii="Times New Roman" w:hAnsi="Times New Roman" w:cs="Times New Roman"/>
          <w:sz w:val="24"/>
          <w:szCs w:val="24"/>
        </w:rPr>
        <w:t xml:space="preserve">ado que el 80% de las ganancias potenciales estimadas vendrían de la eliminación </w:t>
      </w:r>
      <w:r w:rsidRPr="00285F5E">
        <w:rPr>
          <w:rFonts w:ascii="Times New Roman" w:hAnsi="Times New Roman" w:cs="Times New Roman"/>
          <w:sz w:val="24"/>
          <w:szCs w:val="24"/>
        </w:rPr>
        <w:t>d</w:t>
      </w:r>
      <w:r>
        <w:rPr>
          <w:rFonts w:ascii="Times New Roman" w:hAnsi="Times New Roman" w:cs="Times New Roman"/>
          <w:sz w:val="24"/>
          <w:szCs w:val="24"/>
        </w:rPr>
        <w:t xml:space="preserve">e las mismas. Las negociaciones abarcarán múltiples sectores de bienes y servicios y por barreras regulatorias se entiende, fundamentalmente, todo un conjunto </w:t>
      </w:r>
      <w:r w:rsidRPr="00285F5E">
        <w:rPr>
          <w:rFonts w:ascii="Times New Roman" w:hAnsi="Times New Roman" w:cs="Times New Roman"/>
          <w:sz w:val="24"/>
          <w:szCs w:val="24"/>
        </w:rPr>
        <w:t>normativo exis</w:t>
      </w:r>
      <w:r>
        <w:rPr>
          <w:rFonts w:ascii="Times New Roman" w:hAnsi="Times New Roman" w:cs="Times New Roman"/>
          <w:sz w:val="24"/>
          <w:szCs w:val="24"/>
        </w:rPr>
        <w:t xml:space="preserve">tente en Estados </w:t>
      </w:r>
      <w:r w:rsidRPr="00285F5E">
        <w:rPr>
          <w:rFonts w:ascii="Times New Roman" w:hAnsi="Times New Roman" w:cs="Times New Roman"/>
          <w:sz w:val="24"/>
          <w:szCs w:val="24"/>
        </w:rPr>
        <w:t xml:space="preserve">Unidos y </w:t>
      </w:r>
      <w:r>
        <w:rPr>
          <w:rFonts w:ascii="Times New Roman" w:hAnsi="Times New Roman" w:cs="Times New Roman"/>
          <w:sz w:val="24"/>
          <w:szCs w:val="24"/>
        </w:rPr>
        <w:t xml:space="preserve">Europa </w:t>
      </w:r>
      <w:r>
        <w:rPr>
          <w:rFonts w:ascii="Times New Roman" w:hAnsi="Times New Roman" w:cs="Times New Roman"/>
          <w:sz w:val="24"/>
          <w:szCs w:val="24"/>
        </w:rPr>
        <w:lastRenderedPageBreak/>
        <w:t xml:space="preserve">que protege al ciudadano </w:t>
      </w:r>
      <w:r w:rsidRPr="00285F5E">
        <w:rPr>
          <w:rFonts w:ascii="Times New Roman" w:hAnsi="Times New Roman" w:cs="Times New Roman"/>
          <w:sz w:val="24"/>
          <w:szCs w:val="24"/>
        </w:rPr>
        <w:t xml:space="preserve">de </w:t>
      </w:r>
      <w:r>
        <w:rPr>
          <w:rFonts w:ascii="Times New Roman" w:hAnsi="Times New Roman" w:cs="Times New Roman"/>
          <w:sz w:val="24"/>
          <w:szCs w:val="24"/>
        </w:rPr>
        <w:t xml:space="preserve">riesgos para la salud, el medio </w:t>
      </w:r>
      <w:r w:rsidRPr="00285F5E">
        <w:rPr>
          <w:rFonts w:ascii="Times New Roman" w:hAnsi="Times New Roman" w:cs="Times New Roman"/>
          <w:sz w:val="24"/>
          <w:szCs w:val="24"/>
        </w:rPr>
        <w:t>ambient</w:t>
      </w:r>
      <w:r>
        <w:rPr>
          <w:rFonts w:ascii="Times New Roman" w:hAnsi="Times New Roman" w:cs="Times New Roman"/>
          <w:sz w:val="24"/>
          <w:szCs w:val="24"/>
        </w:rPr>
        <w:t xml:space="preserve">e y la seguridad financiera. El </w:t>
      </w:r>
      <w:r w:rsidRPr="00285F5E">
        <w:rPr>
          <w:rFonts w:ascii="Times New Roman" w:hAnsi="Times New Roman" w:cs="Times New Roman"/>
          <w:sz w:val="24"/>
          <w:szCs w:val="24"/>
        </w:rPr>
        <w:t>acuerdo</w:t>
      </w:r>
      <w:r>
        <w:rPr>
          <w:rFonts w:ascii="Times New Roman" w:hAnsi="Times New Roman" w:cs="Times New Roman"/>
          <w:sz w:val="24"/>
          <w:szCs w:val="24"/>
        </w:rPr>
        <w:t xml:space="preserve"> busca hacer compatibles muchas </w:t>
      </w:r>
      <w:r w:rsidRPr="00285F5E">
        <w:rPr>
          <w:rFonts w:ascii="Times New Roman" w:hAnsi="Times New Roman" w:cs="Times New Roman"/>
          <w:sz w:val="24"/>
          <w:szCs w:val="24"/>
        </w:rPr>
        <w:t>de ellas sin</w:t>
      </w:r>
      <w:r>
        <w:rPr>
          <w:rFonts w:ascii="Times New Roman" w:hAnsi="Times New Roman" w:cs="Times New Roman"/>
          <w:sz w:val="24"/>
          <w:szCs w:val="24"/>
        </w:rPr>
        <w:t xml:space="preserve"> reducir el nivel de protección al ciudadano. Se trata, por </w:t>
      </w:r>
      <w:r w:rsidRPr="00285F5E">
        <w:rPr>
          <w:rFonts w:ascii="Times New Roman" w:hAnsi="Times New Roman" w:cs="Times New Roman"/>
          <w:sz w:val="24"/>
          <w:szCs w:val="24"/>
        </w:rPr>
        <w:t>tanto, de red</w:t>
      </w:r>
      <w:r>
        <w:rPr>
          <w:rFonts w:ascii="Times New Roman" w:hAnsi="Times New Roman" w:cs="Times New Roman"/>
          <w:sz w:val="24"/>
          <w:szCs w:val="24"/>
        </w:rPr>
        <w:t xml:space="preserve">ucir burocracia, haciendo </w:t>
      </w:r>
      <w:r w:rsidRPr="00285F5E">
        <w:rPr>
          <w:rFonts w:ascii="Times New Roman" w:hAnsi="Times New Roman" w:cs="Times New Roman"/>
          <w:sz w:val="24"/>
          <w:szCs w:val="24"/>
        </w:rPr>
        <w:t>más fácil que las empresas cumplan</w:t>
      </w:r>
      <w:r>
        <w:rPr>
          <w:rFonts w:ascii="Times New Roman" w:hAnsi="Times New Roman" w:cs="Times New Roman"/>
          <w:sz w:val="24"/>
          <w:szCs w:val="24"/>
        </w:rPr>
        <w:t xml:space="preserve"> </w:t>
      </w:r>
      <w:r w:rsidRPr="00285F5E">
        <w:rPr>
          <w:rFonts w:ascii="Times New Roman" w:hAnsi="Times New Roman" w:cs="Times New Roman"/>
          <w:sz w:val="24"/>
          <w:szCs w:val="24"/>
        </w:rPr>
        <w:t>con las leyes europeas y estadounidenses</w:t>
      </w:r>
      <w:r>
        <w:rPr>
          <w:rFonts w:ascii="Times New Roman" w:hAnsi="Times New Roman" w:cs="Times New Roman"/>
          <w:sz w:val="24"/>
          <w:szCs w:val="24"/>
        </w:rPr>
        <w:t xml:space="preserve"> simultáneamente, reduciendo los </w:t>
      </w:r>
      <w:r w:rsidRPr="00285F5E">
        <w:rPr>
          <w:rFonts w:ascii="Times New Roman" w:hAnsi="Times New Roman" w:cs="Times New Roman"/>
          <w:sz w:val="24"/>
          <w:szCs w:val="24"/>
        </w:rPr>
        <w:t xml:space="preserve">costes </w:t>
      </w:r>
      <w:r>
        <w:rPr>
          <w:rFonts w:ascii="Times New Roman" w:hAnsi="Times New Roman" w:cs="Times New Roman"/>
          <w:sz w:val="24"/>
          <w:szCs w:val="24"/>
        </w:rPr>
        <w:t xml:space="preserve">empresariales a ambos lados del </w:t>
      </w:r>
      <w:r w:rsidRPr="00285F5E">
        <w:rPr>
          <w:rFonts w:ascii="Times New Roman" w:hAnsi="Times New Roman" w:cs="Times New Roman"/>
          <w:sz w:val="24"/>
          <w:szCs w:val="24"/>
        </w:rPr>
        <w:t>atlántico.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Adem</w:t>
      </w:r>
      <w:r>
        <w:rPr>
          <w:rFonts w:ascii="Times New Roman" w:hAnsi="Times New Roman" w:cs="Times New Roman"/>
          <w:sz w:val="24"/>
          <w:szCs w:val="24"/>
        </w:rPr>
        <w:t xml:space="preserve">ás de esta reducción de costes, </w:t>
      </w:r>
      <w:r w:rsidRPr="00285F5E">
        <w:rPr>
          <w:rFonts w:ascii="Times New Roman" w:hAnsi="Times New Roman" w:cs="Times New Roman"/>
          <w:sz w:val="24"/>
          <w:szCs w:val="24"/>
        </w:rPr>
        <w:t xml:space="preserve">la necesaria </w:t>
      </w:r>
      <w:r>
        <w:rPr>
          <w:rFonts w:ascii="Times New Roman" w:hAnsi="Times New Roman" w:cs="Times New Roman"/>
          <w:sz w:val="24"/>
          <w:szCs w:val="24"/>
        </w:rPr>
        <w:t xml:space="preserve">mayor cooperación institucional que deberá haber entre las dos </w:t>
      </w:r>
      <w:r w:rsidRPr="00285F5E">
        <w:rPr>
          <w:rFonts w:ascii="Times New Roman" w:hAnsi="Times New Roman" w:cs="Times New Roman"/>
          <w:sz w:val="24"/>
          <w:szCs w:val="24"/>
        </w:rPr>
        <w:t>regiones es ya en sí misma beneficiosa.</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La</w:t>
      </w:r>
      <w:r>
        <w:rPr>
          <w:rFonts w:ascii="Times New Roman" w:hAnsi="Times New Roman" w:cs="Times New Roman"/>
          <w:sz w:val="24"/>
          <w:szCs w:val="24"/>
        </w:rPr>
        <w:t xml:space="preserve"> reducción de estas barreras se </w:t>
      </w:r>
      <w:r w:rsidRPr="00285F5E">
        <w:rPr>
          <w:rFonts w:ascii="Times New Roman" w:hAnsi="Times New Roman" w:cs="Times New Roman"/>
          <w:sz w:val="24"/>
          <w:szCs w:val="24"/>
        </w:rPr>
        <w:t>puede abordar a t</w:t>
      </w:r>
      <w:r>
        <w:rPr>
          <w:rFonts w:ascii="Times New Roman" w:hAnsi="Times New Roman" w:cs="Times New Roman"/>
          <w:sz w:val="24"/>
          <w:szCs w:val="24"/>
        </w:rPr>
        <w:t xml:space="preserve">ravés de diversos instrumentos, tales como la armonización </w:t>
      </w:r>
      <w:r w:rsidRPr="00285F5E">
        <w:rPr>
          <w:rFonts w:ascii="Times New Roman" w:hAnsi="Times New Roman" w:cs="Times New Roman"/>
          <w:sz w:val="24"/>
          <w:szCs w:val="24"/>
        </w:rPr>
        <w:t>de la reglamentación, y los pr</w:t>
      </w:r>
      <w:r>
        <w:rPr>
          <w:rFonts w:ascii="Times New Roman" w:hAnsi="Times New Roman" w:cs="Times New Roman"/>
          <w:sz w:val="24"/>
          <w:szCs w:val="24"/>
        </w:rPr>
        <w:t xml:space="preserve">incipios </w:t>
      </w:r>
      <w:r w:rsidRPr="00285F5E">
        <w:rPr>
          <w:rFonts w:ascii="Times New Roman" w:hAnsi="Times New Roman" w:cs="Times New Roman"/>
          <w:sz w:val="24"/>
          <w:szCs w:val="24"/>
        </w:rPr>
        <w:t>de e</w:t>
      </w:r>
      <w:r>
        <w:rPr>
          <w:rFonts w:ascii="Times New Roman" w:hAnsi="Times New Roman" w:cs="Times New Roman"/>
          <w:sz w:val="24"/>
          <w:szCs w:val="24"/>
        </w:rPr>
        <w:t xml:space="preserve">quivalencia y de reconocimiento </w:t>
      </w:r>
      <w:r w:rsidRPr="00285F5E">
        <w:rPr>
          <w:rFonts w:ascii="Times New Roman" w:hAnsi="Times New Roman" w:cs="Times New Roman"/>
          <w:sz w:val="24"/>
          <w:szCs w:val="24"/>
        </w:rPr>
        <w:t>mutuo, instru</w:t>
      </w:r>
      <w:r>
        <w:rPr>
          <w:rFonts w:ascii="Times New Roman" w:hAnsi="Times New Roman" w:cs="Times New Roman"/>
          <w:sz w:val="24"/>
          <w:szCs w:val="24"/>
        </w:rPr>
        <w:t xml:space="preserve">mentos que ya fueron utilizados en la creación del mercado </w:t>
      </w:r>
      <w:r w:rsidRPr="00285F5E">
        <w:rPr>
          <w:rFonts w:ascii="Times New Roman" w:hAnsi="Times New Roman" w:cs="Times New Roman"/>
          <w:sz w:val="24"/>
          <w:szCs w:val="24"/>
        </w:rPr>
        <w:t xml:space="preserve">único </w:t>
      </w:r>
      <w:r>
        <w:rPr>
          <w:rFonts w:ascii="Times New Roman" w:hAnsi="Times New Roman" w:cs="Times New Roman"/>
          <w:sz w:val="24"/>
          <w:szCs w:val="24"/>
        </w:rPr>
        <w:t xml:space="preserve">europeo (y que, por cierto, más </w:t>
      </w:r>
      <w:r w:rsidRPr="00285F5E">
        <w:rPr>
          <w:rFonts w:ascii="Times New Roman" w:hAnsi="Times New Roman" w:cs="Times New Roman"/>
          <w:sz w:val="24"/>
          <w:szCs w:val="24"/>
        </w:rPr>
        <w:t>recien</w:t>
      </w:r>
      <w:r>
        <w:rPr>
          <w:rFonts w:ascii="Times New Roman" w:hAnsi="Times New Roman" w:cs="Times New Roman"/>
          <w:sz w:val="24"/>
          <w:szCs w:val="24"/>
        </w:rPr>
        <w:t xml:space="preserve">temente han servido de punto de </w:t>
      </w:r>
      <w:r w:rsidRPr="00285F5E">
        <w:rPr>
          <w:rFonts w:ascii="Times New Roman" w:hAnsi="Times New Roman" w:cs="Times New Roman"/>
          <w:sz w:val="24"/>
          <w:szCs w:val="24"/>
        </w:rPr>
        <w:t>partida p</w:t>
      </w:r>
      <w:r>
        <w:rPr>
          <w:rFonts w:ascii="Times New Roman" w:hAnsi="Times New Roman" w:cs="Times New Roman"/>
          <w:sz w:val="24"/>
          <w:szCs w:val="24"/>
        </w:rPr>
        <w:t xml:space="preserve">ara la elaboración de la Ley de </w:t>
      </w:r>
      <w:r w:rsidRPr="00285F5E">
        <w:rPr>
          <w:rFonts w:ascii="Times New Roman" w:hAnsi="Times New Roman" w:cs="Times New Roman"/>
          <w:sz w:val="24"/>
          <w:szCs w:val="24"/>
        </w:rPr>
        <w:t xml:space="preserve">Unidad de Mercado que </w:t>
      </w:r>
      <w:r>
        <w:rPr>
          <w:rFonts w:ascii="Times New Roman" w:hAnsi="Times New Roman" w:cs="Times New Roman"/>
          <w:sz w:val="24"/>
          <w:szCs w:val="24"/>
        </w:rPr>
        <w:t xml:space="preserve">ha aprobado </w:t>
      </w:r>
      <w:r w:rsidRPr="00285F5E">
        <w:rPr>
          <w:rFonts w:ascii="Times New Roman" w:hAnsi="Times New Roman" w:cs="Times New Roman"/>
          <w:sz w:val="24"/>
          <w:szCs w:val="24"/>
        </w:rPr>
        <w:t>este Gobierno).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En segundo</w:t>
      </w:r>
      <w:r>
        <w:rPr>
          <w:rFonts w:ascii="Times New Roman" w:hAnsi="Times New Roman" w:cs="Times New Roman"/>
          <w:sz w:val="24"/>
          <w:szCs w:val="24"/>
        </w:rPr>
        <w:t xml:space="preserve"> lugar, existe todo un conjunto </w:t>
      </w:r>
      <w:r w:rsidRPr="00285F5E">
        <w:rPr>
          <w:rFonts w:ascii="Times New Roman" w:hAnsi="Times New Roman" w:cs="Times New Roman"/>
          <w:sz w:val="24"/>
          <w:szCs w:val="24"/>
        </w:rPr>
        <w:t>d</w:t>
      </w:r>
      <w:r>
        <w:rPr>
          <w:rFonts w:ascii="Times New Roman" w:hAnsi="Times New Roman" w:cs="Times New Roman"/>
          <w:sz w:val="24"/>
          <w:szCs w:val="24"/>
        </w:rPr>
        <w:t xml:space="preserve">e actuaciones en diversas áreas </w:t>
      </w:r>
      <w:r w:rsidRPr="00285F5E">
        <w:rPr>
          <w:rFonts w:ascii="Times New Roman" w:hAnsi="Times New Roman" w:cs="Times New Roman"/>
          <w:sz w:val="24"/>
          <w:szCs w:val="24"/>
        </w:rPr>
        <w:t>relacionadas</w:t>
      </w:r>
      <w:r>
        <w:rPr>
          <w:rFonts w:ascii="Times New Roman" w:hAnsi="Times New Roman" w:cs="Times New Roman"/>
          <w:sz w:val="24"/>
          <w:szCs w:val="24"/>
        </w:rPr>
        <w:t xml:space="preserve"> con la prestación de servicios </w:t>
      </w:r>
      <w:r w:rsidRPr="00285F5E">
        <w:rPr>
          <w:rFonts w:ascii="Times New Roman" w:hAnsi="Times New Roman" w:cs="Times New Roman"/>
          <w:sz w:val="24"/>
          <w:szCs w:val="24"/>
        </w:rPr>
        <w:t>pro</w:t>
      </w:r>
      <w:r>
        <w:rPr>
          <w:rFonts w:ascii="Times New Roman" w:hAnsi="Times New Roman" w:cs="Times New Roman"/>
          <w:sz w:val="24"/>
          <w:szCs w:val="24"/>
        </w:rPr>
        <w:t xml:space="preserve">fesionales. Por ejemplo, España </w:t>
      </w:r>
      <w:r w:rsidRPr="00285F5E">
        <w:rPr>
          <w:rFonts w:ascii="Times New Roman" w:hAnsi="Times New Roman" w:cs="Times New Roman"/>
          <w:sz w:val="24"/>
          <w:szCs w:val="24"/>
        </w:rPr>
        <w:t>di</w:t>
      </w:r>
      <w:r>
        <w:rPr>
          <w:rFonts w:ascii="Times New Roman" w:hAnsi="Times New Roman" w:cs="Times New Roman"/>
          <w:sz w:val="24"/>
          <w:szCs w:val="24"/>
        </w:rPr>
        <w:t xml:space="preserve">spone de excelentes técnicos en arquitectura o ingeniería, </w:t>
      </w:r>
      <w:r w:rsidRPr="00285F5E">
        <w:rPr>
          <w:rFonts w:ascii="Times New Roman" w:hAnsi="Times New Roman" w:cs="Times New Roman"/>
          <w:sz w:val="24"/>
          <w:szCs w:val="24"/>
        </w:rPr>
        <w:t>cuyas titulac</w:t>
      </w:r>
      <w:r>
        <w:rPr>
          <w:rFonts w:ascii="Times New Roman" w:hAnsi="Times New Roman" w:cs="Times New Roman"/>
          <w:sz w:val="24"/>
          <w:szCs w:val="24"/>
        </w:rPr>
        <w:t xml:space="preserve">iones pueden no ser reconocidas en </w:t>
      </w:r>
      <w:r w:rsidRPr="00285F5E">
        <w:rPr>
          <w:rFonts w:ascii="Times New Roman" w:hAnsi="Times New Roman" w:cs="Times New Roman"/>
          <w:sz w:val="24"/>
          <w:szCs w:val="24"/>
        </w:rPr>
        <w:t>Estados Unidos.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Esto constituye uno de los problemas en la concesión </w:t>
      </w:r>
      <w:r w:rsidRPr="00285F5E">
        <w:rPr>
          <w:rFonts w:ascii="Times New Roman" w:hAnsi="Times New Roman" w:cs="Times New Roman"/>
          <w:sz w:val="24"/>
          <w:szCs w:val="24"/>
        </w:rPr>
        <w:t>de obras públ</w:t>
      </w:r>
      <w:r>
        <w:rPr>
          <w:rFonts w:ascii="Times New Roman" w:hAnsi="Times New Roman" w:cs="Times New Roman"/>
          <w:sz w:val="24"/>
          <w:szCs w:val="24"/>
        </w:rPr>
        <w:t xml:space="preserve">icas relacionados con servicios </w:t>
      </w:r>
      <w:r w:rsidRPr="00285F5E">
        <w:rPr>
          <w:rFonts w:ascii="Times New Roman" w:hAnsi="Times New Roman" w:cs="Times New Roman"/>
          <w:sz w:val="24"/>
          <w:szCs w:val="24"/>
        </w:rPr>
        <w:t>de inf</w:t>
      </w:r>
      <w:r>
        <w:rPr>
          <w:rFonts w:ascii="Times New Roman" w:hAnsi="Times New Roman" w:cs="Times New Roman"/>
          <w:sz w:val="24"/>
          <w:szCs w:val="24"/>
        </w:rPr>
        <w:t xml:space="preserve">raestructuras, y puede implicar que una empresa española no </w:t>
      </w:r>
      <w:r w:rsidRPr="00285F5E">
        <w:rPr>
          <w:rFonts w:ascii="Times New Roman" w:hAnsi="Times New Roman" w:cs="Times New Roman"/>
          <w:sz w:val="24"/>
          <w:szCs w:val="24"/>
        </w:rPr>
        <w:t>pueda ac</w:t>
      </w:r>
      <w:r>
        <w:rPr>
          <w:rFonts w:ascii="Times New Roman" w:hAnsi="Times New Roman" w:cs="Times New Roman"/>
          <w:sz w:val="24"/>
          <w:szCs w:val="24"/>
        </w:rPr>
        <w:t xml:space="preserve">ceder a un contrato, lo que es, </w:t>
      </w:r>
      <w:r w:rsidRPr="00285F5E">
        <w:rPr>
          <w:rFonts w:ascii="Times New Roman" w:hAnsi="Times New Roman" w:cs="Times New Roman"/>
          <w:sz w:val="24"/>
          <w:szCs w:val="24"/>
        </w:rPr>
        <w:t xml:space="preserve">por </w:t>
      </w:r>
      <w:r>
        <w:rPr>
          <w:rFonts w:ascii="Times New Roman" w:hAnsi="Times New Roman" w:cs="Times New Roman"/>
          <w:sz w:val="24"/>
          <w:szCs w:val="24"/>
        </w:rPr>
        <w:t xml:space="preserve">tanto, una barrera de acceso al mercado estadounidense. </w:t>
      </w:r>
      <w:r w:rsidRPr="00285F5E">
        <w:rPr>
          <w:rFonts w:ascii="Times New Roman" w:hAnsi="Times New Roman" w:cs="Times New Roman"/>
          <w:sz w:val="24"/>
          <w:szCs w:val="24"/>
        </w:rPr>
        <w:t>Preci</w:t>
      </w:r>
      <w:r>
        <w:rPr>
          <w:rFonts w:ascii="Times New Roman" w:hAnsi="Times New Roman" w:cs="Times New Roman"/>
          <w:sz w:val="24"/>
          <w:szCs w:val="24"/>
        </w:rPr>
        <w:t xml:space="preserve">samente en esta área de compras públicas hay gran potencial de </w:t>
      </w:r>
      <w:r w:rsidRPr="00285F5E">
        <w:rPr>
          <w:rFonts w:ascii="Times New Roman" w:hAnsi="Times New Roman" w:cs="Times New Roman"/>
          <w:sz w:val="24"/>
          <w:szCs w:val="24"/>
        </w:rPr>
        <w:t>mejor</w:t>
      </w:r>
      <w:r>
        <w:rPr>
          <w:rFonts w:ascii="Times New Roman" w:hAnsi="Times New Roman" w:cs="Times New Roman"/>
          <w:sz w:val="24"/>
          <w:szCs w:val="24"/>
        </w:rPr>
        <w:t xml:space="preserve">a, pues solo el 12% del mercado </w:t>
      </w:r>
      <w:r w:rsidRPr="00285F5E">
        <w:rPr>
          <w:rFonts w:ascii="Times New Roman" w:hAnsi="Times New Roman" w:cs="Times New Roman"/>
          <w:sz w:val="24"/>
          <w:szCs w:val="24"/>
        </w:rPr>
        <w:t xml:space="preserve">de </w:t>
      </w:r>
      <w:r>
        <w:rPr>
          <w:rFonts w:ascii="Times New Roman" w:hAnsi="Times New Roman" w:cs="Times New Roman"/>
          <w:sz w:val="24"/>
          <w:szCs w:val="24"/>
        </w:rPr>
        <w:t xml:space="preserve">compras públicas americano está </w:t>
      </w:r>
      <w:r w:rsidRPr="00285F5E">
        <w:rPr>
          <w:rFonts w:ascii="Times New Roman" w:hAnsi="Times New Roman" w:cs="Times New Roman"/>
          <w:sz w:val="24"/>
          <w:szCs w:val="24"/>
        </w:rPr>
        <w:t>abierto</w:t>
      </w:r>
      <w:r>
        <w:rPr>
          <w:rFonts w:ascii="Times New Roman" w:hAnsi="Times New Roman" w:cs="Times New Roman"/>
          <w:sz w:val="24"/>
          <w:szCs w:val="24"/>
        </w:rPr>
        <w:t xml:space="preserve">, mientras que la Unión Europea </w:t>
      </w:r>
      <w:r w:rsidRPr="00285F5E">
        <w:rPr>
          <w:rFonts w:ascii="Times New Roman" w:hAnsi="Times New Roman" w:cs="Times New Roman"/>
          <w:sz w:val="24"/>
          <w:szCs w:val="24"/>
        </w:rPr>
        <w:t xml:space="preserve">ofrece el 84% de </w:t>
      </w:r>
      <w:r>
        <w:rPr>
          <w:rFonts w:ascii="Times New Roman" w:hAnsi="Times New Roman" w:cs="Times New Roman"/>
          <w:sz w:val="24"/>
          <w:szCs w:val="24"/>
        </w:rPr>
        <w:t xml:space="preserve">su mercado a los países </w:t>
      </w:r>
      <w:r w:rsidRPr="00285F5E">
        <w:rPr>
          <w:rFonts w:ascii="Times New Roman" w:hAnsi="Times New Roman" w:cs="Times New Roman"/>
          <w:sz w:val="24"/>
          <w:szCs w:val="24"/>
        </w:rPr>
        <w:t>f</w:t>
      </w:r>
      <w:r>
        <w:rPr>
          <w:rFonts w:ascii="Times New Roman" w:hAnsi="Times New Roman" w:cs="Times New Roman"/>
          <w:sz w:val="24"/>
          <w:szCs w:val="24"/>
        </w:rPr>
        <w:t xml:space="preserve">irmantes del acuerdo de compras </w:t>
      </w:r>
      <w:r w:rsidRPr="00285F5E">
        <w:rPr>
          <w:rFonts w:ascii="Times New Roman" w:hAnsi="Times New Roman" w:cs="Times New Roman"/>
          <w:sz w:val="24"/>
          <w:szCs w:val="24"/>
        </w:rPr>
        <w:t>públicas de</w:t>
      </w:r>
      <w:r>
        <w:rPr>
          <w:rFonts w:ascii="Times New Roman" w:hAnsi="Times New Roman" w:cs="Times New Roman"/>
          <w:sz w:val="24"/>
          <w:szCs w:val="24"/>
        </w:rPr>
        <w:t xml:space="preserve"> la OMC. Es preciso que Estados </w:t>
      </w:r>
      <w:r w:rsidRPr="00285F5E">
        <w:rPr>
          <w:rFonts w:ascii="Times New Roman" w:hAnsi="Times New Roman" w:cs="Times New Roman"/>
          <w:sz w:val="24"/>
          <w:szCs w:val="24"/>
        </w:rPr>
        <w:t xml:space="preserve">Unidos </w:t>
      </w:r>
      <w:r>
        <w:rPr>
          <w:rFonts w:ascii="Times New Roman" w:hAnsi="Times New Roman" w:cs="Times New Roman"/>
          <w:sz w:val="24"/>
          <w:szCs w:val="24"/>
        </w:rPr>
        <w:t xml:space="preserve">abra su mercado de contratación pública incluyendo mayor </w:t>
      </w:r>
      <w:r w:rsidRPr="00285F5E">
        <w:rPr>
          <w:rFonts w:ascii="Times New Roman" w:hAnsi="Times New Roman" w:cs="Times New Roman"/>
          <w:sz w:val="24"/>
          <w:szCs w:val="24"/>
        </w:rPr>
        <w:t>número de</w:t>
      </w:r>
      <w:r>
        <w:rPr>
          <w:rFonts w:ascii="Times New Roman" w:hAnsi="Times New Roman" w:cs="Times New Roman"/>
          <w:sz w:val="24"/>
          <w:szCs w:val="24"/>
        </w:rPr>
        <w:t xml:space="preserve"> entidades, Estados y sectores, </w:t>
      </w:r>
      <w:r w:rsidRPr="00285F5E">
        <w:rPr>
          <w:rFonts w:ascii="Times New Roman" w:hAnsi="Times New Roman" w:cs="Times New Roman"/>
          <w:sz w:val="24"/>
          <w:szCs w:val="24"/>
        </w:rPr>
        <w:t>y eli</w:t>
      </w:r>
      <w:r>
        <w:rPr>
          <w:rFonts w:ascii="Times New Roman" w:hAnsi="Times New Roman" w:cs="Times New Roman"/>
          <w:sz w:val="24"/>
          <w:szCs w:val="24"/>
        </w:rPr>
        <w:t xml:space="preserve">minando requisitos de contenido </w:t>
      </w:r>
      <w:r w:rsidRPr="00285F5E">
        <w:rPr>
          <w:rFonts w:ascii="Times New Roman" w:hAnsi="Times New Roman" w:cs="Times New Roman"/>
          <w:sz w:val="24"/>
          <w:szCs w:val="24"/>
        </w:rPr>
        <w:t xml:space="preserve">nacional como </w:t>
      </w:r>
      <w:r>
        <w:rPr>
          <w:rFonts w:ascii="Times New Roman" w:hAnsi="Times New Roman" w:cs="Times New Roman"/>
          <w:sz w:val="24"/>
          <w:szCs w:val="24"/>
        </w:rPr>
        <w:t xml:space="preserve">las disposiciones </w:t>
      </w:r>
      <w:r w:rsidR="003C7DEE">
        <w:rPr>
          <w:rFonts w:ascii="Times New Roman" w:hAnsi="Times New Roman" w:cs="Times New Roman"/>
          <w:sz w:val="24"/>
          <w:szCs w:val="24"/>
        </w:rPr>
        <w:t>B</w:t>
      </w:r>
      <w:r w:rsidRPr="00285F5E">
        <w:rPr>
          <w:rFonts w:ascii="Times New Roman" w:hAnsi="Times New Roman" w:cs="Times New Roman"/>
          <w:sz w:val="24"/>
          <w:szCs w:val="24"/>
        </w:rPr>
        <w:t>uy American.</w:t>
      </w:r>
    </w:p>
    <w:p w:rsidR="000A5C64" w:rsidRDefault="000A5C64"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En cuanto al análisis sectorial, un estu</w:t>
      </w:r>
      <w:r>
        <w:rPr>
          <w:rFonts w:ascii="Times New Roman" w:hAnsi="Times New Roman" w:cs="Times New Roman"/>
          <w:sz w:val="24"/>
          <w:szCs w:val="24"/>
        </w:rPr>
        <w:t xml:space="preserve">dio </w:t>
      </w:r>
      <w:r w:rsidRPr="00285F5E">
        <w:rPr>
          <w:rFonts w:ascii="Times New Roman" w:hAnsi="Times New Roman" w:cs="Times New Roman"/>
          <w:sz w:val="24"/>
          <w:szCs w:val="24"/>
        </w:rPr>
        <w:t>p</w:t>
      </w:r>
      <w:r>
        <w:rPr>
          <w:rFonts w:ascii="Times New Roman" w:hAnsi="Times New Roman" w:cs="Times New Roman"/>
          <w:sz w:val="24"/>
          <w:szCs w:val="24"/>
        </w:rPr>
        <w:t xml:space="preserve">ormenorizado pone de manifiesto </w:t>
      </w:r>
      <w:r w:rsidRPr="00285F5E">
        <w:rPr>
          <w:rFonts w:ascii="Times New Roman" w:hAnsi="Times New Roman" w:cs="Times New Roman"/>
          <w:sz w:val="24"/>
          <w:szCs w:val="24"/>
        </w:rPr>
        <w:t>gr</w:t>
      </w:r>
      <w:r>
        <w:rPr>
          <w:rFonts w:ascii="Times New Roman" w:hAnsi="Times New Roman" w:cs="Times New Roman"/>
          <w:sz w:val="24"/>
          <w:szCs w:val="24"/>
        </w:rPr>
        <w:t xml:space="preserve">andes oportunidades de ganancia de eficiencia. Por ejemplo, el </w:t>
      </w:r>
      <w:r w:rsidRPr="00285F5E">
        <w:rPr>
          <w:rFonts w:ascii="Times New Roman" w:hAnsi="Times New Roman" w:cs="Times New Roman"/>
          <w:sz w:val="24"/>
          <w:szCs w:val="24"/>
        </w:rPr>
        <w:t>sector de aut</w:t>
      </w:r>
      <w:r>
        <w:rPr>
          <w:rFonts w:ascii="Times New Roman" w:hAnsi="Times New Roman" w:cs="Times New Roman"/>
          <w:sz w:val="24"/>
          <w:szCs w:val="24"/>
        </w:rPr>
        <w:t xml:space="preserve">omoción es citado continuamente por la Comisión como paradigma </w:t>
      </w:r>
      <w:r w:rsidRPr="00285F5E">
        <w:rPr>
          <w:rFonts w:ascii="Times New Roman" w:hAnsi="Times New Roman" w:cs="Times New Roman"/>
          <w:sz w:val="24"/>
          <w:szCs w:val="24"/>
        </w:rPr>
        <w:t>de</w:t>
      </w:r>
      <w:r>
        <w:rPr>
          <w:rFonts w:ascii="Times New Roman" w:hAnsi="Times New Roman" w:cs="Times New Roman"/>
          <w:sz w:val="24"/>
          <w:szCs w:val="24"/>
        </w:rPr>
        <w:t xml:space="preserve"> beneficio del acuerdo. Estados </w:t>
      </w:r>
      <w:r w:rsidRPr="00285F5E">
        <w:rPr>
          <w:rFonts w:ascii="Times New Roman" w:hAnsi="Times New Roman" w:cs="Times New Roman"/>
          <w:sz w:val="24"/>
          <w:szCs w:val="24"/>
        </w:rPr>
        <w:t xml:space="preserve">Unidos </w:t>
      </w:r>
      <w:r>
        <w:rPr>
          <w:rFonts w:ascii="Times New Roman" w:hAnsi="Times New Roman" w:cs="Times New Roman"/>
          <w:sz w:val="24"/>
          <w:szCs w:val="24"/>
        </w:rPr>
        <w:t xml:space="preserve">y Europa cuentan con diferentes </w:t>
      </w:r>
      <w:r w:rsidRPr="00285F5E">
        <w:rPr>
          <w:rFonts w:ascii="Times New Roman" w:hAnsi="Times New Roman" w:cs="Times New Roman"/>
          <w:sz w:val="24"/>
          <w:szCs w:val="24"/>
        </w:rPr>
        <w:t>regul</w:t>
      </w:r>
      <w:r>
        <w:rPr>
          <w:rFonts w:ascii="Times New Roman" w:hAnsi="Times New Roman" w:cs="Times New Roman"/>
          <w:sz w:val="24"/>
          <w:szCs w:val="24"/>
        </w:rPr>
        <w:t xml:space="preserve">aciones de seguridad que </w:t>
      </w:r>
      <w:r w:rsidRPr="00285F5E">
        <w:rPr>
          <w:rFonts w:ascii="Times New Roman" w:hAnsi="Times New Roman" w:cs="Times New Roman"/>
          <w:sz w:val="24"/>
          <w:szCs w:val="24"/>
        </w:rPr>
        <w:t>son</w:t>
      </w:r>
      <w:r>
        <w:rPr>
          <w:rFonts w:ascii="Times New Roman" w:hAnsi="Times New Roman" w:cs="Times New Roman"/>
          <w:sz w:val="24"/>
          <w:szCs w:val="24"/>
        </w:rPr>
        <w:t xml:space="preserve">, sin embargo, muy similares en </w:t>
      </w:r>
      <w:r w:rsidRPr="00285F5E">
        <w:rPr>
          <w:rFonts w:ascii="Times New Roman" w:hAnsi="Times New Roman" w:cs="Times New Roman"/>
          <w:sz w:val="24"/>
          <w:szCs w:val="24"/>
        </w:rPr>
        <w:t>cuanto a la p</w:t>
      </w:r>
      <w:r>
        <w:rPr>
          <w:rFonts w:ascii="Times New Roman" w:hAnsi="Times New Roman" w:cs="Times New Roman"/>
          <w:sz w:val="24"/>
          <w:szCs w:val="24"/>
        </w:rPr>
        <w:t xml:space="preserve">rotección exigida al ciudadano. </w:t>
      </w:r>
      <w:r w:rsidRPr="00285F5E">
        <w:rPr>
          <w:rFonts w:ascii="Times New Roman" w:hAnsi="Times New Roman" w:cs="Times New Roman"/>
          <w:sz w:val="24"/>
          <w:szCs w:val="24"/>
        </w:rPr>
        <w:t>Se t</w:t>
      </w:r>
      <w:r>
        <w:rPr>
          <w:rFonts w:ascii="Times New Roman" w:hAnsi="Times New Roman" w:cs="Times New Roman"/>
          <w:sz w:val="24"/>
          <w:szCs w:val="24"/>
        </w:rPr>
        <w:t xml:space="preserve">rata, por tanto, de que hagamos </w:t>
      </w:r>
      <w:r w:rsidRPr="00285F5E">
        <w:rPr>
          <w:rFonts w:ascii="Times New Roman" w:hAnsi="Times New Roman" w:cs="Times New Roman"/>
          <w:sz w:val="24"/>
          <w:szCs w:val="24"/>
        </w:rPr>
        <w:t>compatibl</w:t>
      </w:r>
      <w:r>
        <w:rPr>
          <w:rFonts w:ascii="Times New Roman" w:hAnsi="Times New Roman" w:cs="Times New Roman"/>
          <w:sz w:val="24"/>
          <w:szCs w:val="24"/>
        </w:rPr>
        <w:t xml:space="preserve">es las directrices de seguridad </w:t>
      </w:r>
      <w:r w:rsidRPr="00285F5E">
        <w:rPr>
          <w:rFonts w:ascii="Times New Roman" w:hAnsi="Times New Roman" w:cs="Times New Roman"/>
          <w:sz w:val="24"/>
          <w:szCs w:val="24"/>
        </w:rPr>
        <w:t>en un sect</w:t>
      </w:r>
      <w:r>
        <w:rPr>
          <w:rFonts w:ascii="Times New Roman" w:hAnsi="Times New Roman" w:cs="Times New Roman"/>
          <w:sz w:val="24"/>
          <w:szCs w:val="24"/>
        </w:rPr>
        <w:t xml:space="preserve">or industrial tan absolutamente </w:t>
      </w:r>
      <w:r w:rsidRPr="00285F5E">
        <w:rPr>
          <w:rFonts w:ascii="Times New Roman" w:hAnsi="Times New Roman" w:cs="Times New Roman"/>
          <w:sz w:val="24"/>
          <w:szCs w:val="24"/>
        </w:rPr>
        <w:t>estratégico como el del automóvi</w:t>
      </w:r>
      <w:r>
        <w:rPr>
          <w:rFonts w:ascii="Times New Roman" w:hAnsi="Times New Roman" w:cs="Times New Roman"/>
          <w:sz w:val="24"/>
          <w:szCs w:val="24"/>
        </w:rPr>
        <w:t xml:space="preserve">l (cuyo nacimiento y gestación </w:t>
      </w:r>
      <w:r w:rsidRPr="00285F5E">
        <w:rPr>
          <w:rFonts w:ascii="Times New Roman" w:hAnsi="Times New Roman" w:cs="Times New Roman"/>
          <w:sz w:val="24"/>
          <w:szCs w:val="24"/>
        </w:rPr>
        <w:t>fue, po</w:t>
      </w:r>
      <w:r>
        <w:rPr>
          <w:rFonts w:ascii="Times New Roman" w:hAnsi="Times New Roman" w:cs="Times New Roman"/>
          <w:sz w:val="24"/>
          <w:szCs w:val="24"/>
        </w:rPr>
        <w:t xml:space="preserve">r cierto, mayoritariamente obra </w:t>
      </w:r>
      <w:r w:rsidRPr="00285F5E">
        <w:rPr>
          <w:rFonts w:ascii="Times New Roman" w:hAnsi="Times New Roman" w:cs="Times New Roman"/>
          <w:sz w:val="24"/>
          <w:szCs w:val="24"/>
        </w:rPr>
        <w:t>de emprendedores europeos y estadounidenses).</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AUNAR ESFUERZOS.</w:t>
      </w:r>
      <w:r>
        <w:rPr>
          <w:rFonts w:ascii="Times New Roman" w:hAnsi="Times New Roman" w:cs="Times New Roman"/>
          <w:sz w:val="24"/>
          <w:szCs w:val="24"/>
        </w:rPr>
        <w:t xml:space="preserve"> Por ilustrar con ejemplos </w:t>
      </w:r>
      <w:r w:rsidRPr="00285F5E">
        <w:rPr>
          <w:rFonts w:ascii="Times New Roman" w:hAnsi="Times New Roman" w:cs="Times New Roman"/>
          <w:sz w:val="24"/>
          <w:szCs w:val="24"/>
        </w:rPr>
        <w:t>con</w:t>
      </w:r>
      <w:r>
        <w:rPr>
          <w:rFonts w:ascii="Times New Roman" w:hAnsi="Times New Roman" w:cs="Times New Roman"/>
          <w:sz w:val="24"/>
          <w:szCs w:val="24"/>
        </w:rPr>
        <w:t xml:space="preserve">cretos, Europa y Estados Unidos </w:t>
      </w:r>
      <w:r w:rsidRPr="00285F5E">
        <w:rPr>
          <w:rFonts w:ascii="Times New Roman" w:hAnsi="Times New Roman" w:cs="Times New Roman"/>
          <w:sz w:val="24"/>
          <w:szCs w:val="24"/>
        </w:rPr>
        <w:t>cuenta</w:t>
      </w:r>
      <w:r>
        <w:rPr>
          <w:rFonts w:ascii="Times New Roman" w:hAnsi="Times New Roman" w:cs="Times New Roman"/>
          <w:sz w:val="24"/>
          <w:szCs w:val="24"/>
        </w:rPr>
        <w:t xml:space="preserve">n con diferentes pero similares </w:t>
      </w:r>
      <w:r w:rsidRPr="00285F5E">
        <w:rPr>
          <w:rFonts w:ascii="Times New Roman" w:hAnsi="Times New Roman" w:cs="Times New Roman"/>
          <w:sz w:val="24"/>
          <w:szCs w:val="24"/>
        </w:rPr>
        <w:t xml:space="preserve">normativas del automóvil </w:t>
      </w:r>
      <w:r>
        <w:rPr>
          <w:rFonts w:ascii="Times New Roman" w:hAnsi="Times New Roman" w:cs="Times New Roman"/>
          <w:sz w:val="24"/>
          <w:szCs w:val="24"/>
        </w:rPr>
        <w:t xml:space="preserve">en luces, seguros de puertas, frenos, cinturones, </w:t>
      </w:r>
      <w:r w:rsidRPr="00285F5E">
        <w:rPr>
          <w:rFonts w:ascii="Times New Roman" w:hAnsi="Times New Roman" w:cs="Times New Roman"/>
          <w:sz w:val="24"/>
          <w:szCs w:val="24"/>
        </w:rPr>
        <w:t>elevalunas, etc.</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En d</w:t>
      </w:r>
      <w:r>
        <w:rPr>
          <w:rFonts w:ascii="Times New Roman" w:hAnsi="Times New Roman" w:cs="Times New Roman"/>
          <w:sz w:val="24"/>
          <w:szCs w:val="24"/>
        </w:rPr>
        <w:t xml:space="preserve">efinitiva, es vital que aunemos </w:t>
      </w:r>
      <w:r w:rsidRPr="00285F5E">
        <w:rPr>
          <w:rFonts w:ascii="Times New Roman" w:hAnsi="Times New Roman" w:cs="Times New Roman"/>
          <w:sz w:val="24"/>
          <w:szCs w:val="24"/>
        </w:rPr>
        <w:t>esfuerzo</w:t>
      </w:r>
      <w:r>
        <w:rPr>
          <w:rFonts w:ascii="Times New Roman" w:hAnsi="Times New Roman" w:cs="Times New Roman"/>
          <w:sz w:val="24"/>
          <w:szCs w:val="24"/>
        </w:rPr>
        <w:t xml:space="preserve">s para eliminar esta burocracia </w:t>
      </w:r>
      <w:r w:rsidRPr="00285F5E">
        <w:rPr>
          <w:rFonts w:ascii="Times New Roman" w:hAnsi="Times New Roman" w:cs="Times New Roman"/>
          <w:sz w:val="24"/>
          <w:szCs w:val="24"/>
        </w:rPr>
        <w:t>“mala” (p</w:t>
      </w:r>
      <w:r>
        <w:rPr>
          <w:rFonts w:ascii="Times New Roman" w:hAnsi="Times New Roman" w:cs="Times New Roman"/>
          <w:sz w:val="24"/>
          <w:szCs w:val="24"/>
        </w:rPr>
        <w:t xml:space="preserve">or duplicada y por innecesaria) entre países que ya comparten </w:t>
      </w:r>
      <w:r w:rsidRPr="00285F5E">
        <w:rPr>
          <w:rFonts w:ascii="Times New Roman" w:hAnsi="Times New Roman" w:cs="Times New Roman"/>
          <w:sz w:val="24"/>
          <w:szCs w:val="24"/>
        </w:rPr>
        <w:t>unos valor</w:t>
      </w:r>
      <w:r>
        <w:rPr>
          <w:rFonts w:ascii="Times New Roman" w:hAnsi="Times New Roman" w:cs="Times New Roman"/>
          <w:sz w:val="24"/>
          <w:szCs w:val="24"/>
        </w:rPr>
        <w:t xml:space="preserve">es y, por consiguiente, cumplen unos exigentes estándares. El logro de lo anterior sin duda permitirá que nuestra industria esté mejor preparada para una previsible aparición de nuevas potencias productoras de vehículos </w:t>
      </w:r>
      <w:r w:rsidRPr="00285F5E">
        <w:rPr>
          <w:rFonts w:ascii="Times New Roman" w:hAnsi="Times New Roman" w:cs="Times New Roman"/>
          <w:sz w:val="24"/>
          <w:szCs w:val="24"/>
        </w:rPr>
        <w:t>a motor en otros continentes.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En el sector energético y de </w:t>
      </w:r>
      <w:r w:rsidRPr="00285F5E">
        <w:rPr>
          <w:rFonts w:ascii="Times New Roman" w:hAnsi="Times New Roman" w:cs="Times New Roman"/>
          <w:sz w:val="24"/>
          <w:szCs w:val="24"/>
        </w:rPr>
        <w:t xml:space="preserve">materias </w:t>
      </w:r>
      <w:r>
        <w:rPr>
          <w:rFonts w:ascii="Times New Roman" w:hAnsi="Times New Roman" w:cs="Times New Roman"/>
          <w:sz w:val="24"/>
          <w:szCs w:val="24"/>
        </w:rPr>
        <w:t xml:space="preserve">primas, los Estados Unidos han sido siempre una potencia. </w:t>
      </w:r>
      <w:r w:rsidRPr="00285F5E">
        <w:rPr>
          <w:rFonts w:ascii="Times New Roman" w:hAnsi="Times New Roman" w:cs="Times New Roman"/>
          <w:sz w:val="24"/>
          <w:szCs w:val="24"/>
        </w:rPr>
        <w:t>La</w:t>
      </w:r>
      <w:r>
        <w:rPr>
          <w:rFonts w:ascii="Times New Roman" w:hAnsi="Times New Roman" w:cs="Times New Roman"/>
          <w:sz w:val="24"/>
          <w:szCs w:val="24"/>
        </w:rPr>
        <w:t xml:space="preserve"> nueva generación de producción de hidrocarburos de esquisto (shale gas &amp; oil, producido </w:t>
      </w:r>
      <w:r w:rsidRPr="00285F5E">
        <w:rPr>
          <w:rFonts w:ascii="Times New Roman" w:hAnsi="Times New Roman" w:cs="Times New Roman"/>
          <w:sz w:val="24"/>
          <w:szCs w:val="24"/>
        </w:rPr>
        <w:t>medi</w:t>
      </w:r>
      <w:r>
        <w:rPr>
          <w:rFonts w:ascii="Times New Roman" w:hAnsi="Times New Roman" w:cs="Times New Roman"/>
          <w:sz w:val="24"/>
          <w:szCs w:val="24"/>
        </w:rPr>
        <w:t xml:space="preserve">ante la fracturación hidráulica o fracking) ya ha reducido el precio del gas en Estados Unidos (país </w:t>
      </w:r>
      <w:r w:rsidRPr="00285F5E">
        <w:rPr>
          <w:rFonts w:ascii="Times New Roman" w:hAnsi="Times New Roman" w:cs="Times New Roman"/>
          <w:sz w:val="24"/>
          <w:szCs w:val="24"/>
        </w:rPr>
        <w:t>qu</w:t>
      </w:r>
      <w:r>
        <w:rPr>
          <w:rFonts w:ascii="Times New Roman" w:hAnsi="Times New Roman" w:cs="Times New Roman"/>
          <w:sz w:val="24"/>
          <w:szCs w:val="24"/>
        </w:rPr>
        <w:t xml:space="preserve">e cuenta con inmensas reservas de este tipo) a la </w:t>
      </w:r>
      <w:r w:rsidRPr="00285F5E">
        <w:rPr>
          <w:rFonts w:ascii="Times New Roman" w:hAnsi="Times New Roman" w:cs="Times New Roman"/>
          <w:sz w:val="24"/>
          <w:szCs w:val="24"/>
        </w:rPr>
        <w:t>tercera par</w:t>
      </w:r>
      <w:r>
        <w:rPr>
          <w:rFonts w:ascii="Times New Roman" w:hAnsi="Times New Roman" w:cs="Times New Roman"/>
          <w:sz w:val="24"/>
          <w:szCs w:val="24"/>
        </w:rPr>
        <w:t xml:space="preserve">te de lo que pagamos en Europa. </w:t>
      </w:r>
      <w:r w:rsidRPr="00285F5E">
        <w:rPr>
          <w:rFonts w:ascii="Times New Roman" w:hAnsi="Times New Roman" w:cs="Times New Roman"/>
          <w:sz w:val="24"/>
          <w:szCs w:val="24"/>
        </w:rPr>
        <w:t>Por tant</w:t>
      </w:r>
      <w:r>
        <w:rPr>
          <w:rFonts w:ascii="Times New Roman" w:hAnsi="Times New Roman" w:cs="Times New Roman"/>
          <w:sz w:val="24"/>
          <w:szCs w:val="24"/>
        </w:rPr>
        <w:t xml:space="preserve">o, otra fuente de oportunidades </w:t>
      </w:r>
      <w:r w:rsidRPr="00285F5E">
        <w:rPr>
          <w:rFonts w:ascii="Times New Roman" w:hAnsi="Times New Roman" w:cs="Times New Roman"/>
          <w:sz w:val="24"/>
          <w:szCs w:val="24"/>
        </w:rPr>
        <w:t>d</w:t>
      </w:r>
      <w:r>
        <w:rPr>
          <w:rFonts w:ascii="Times New Roman" w:hAnsi="Times New Roman" w:cs="Times New Roman"/>
          <w:sz w:val="24"/>
          <w:szCs w:val="24"/>
        </w:rPr>
        <w:t xml:space="preserve">el acuerdo es mejorar el acceso </w:t>
      </w:r>
      <w:r w:rsidRPr="00285F5E">
        <w:rPr>
          <w:rFonts w:ascii="Times New Roman" w:hAnsi="Times New Roman" w:cs="Times New Roman"/>
          <w:sz w:val="24"/>
          <w:szCs w:val="24"/>
        </w:rPr>
        <w:t>eu</w:t>
      </w:r>
      <w:r>
        <w:rPr>
          <w:rFonts w:ascii="Times New Roman" w:hAnsi="Times New Roman" w:cs="Times New Roman"/>
          <w:sz w:val="24"/>
          <w:szCs w:val="24"/>
        </w:rPr>
        <w:t xml:space="preserve">ropeo a esas fuentes de energía </w:t>
      </w:r>
      <w:r w:rsidRPr="00285F5E">
        <w:rPr>
          <w:rFonts w:ascii="Times New Roman" w:hAnsi="Times New Roman" w:cs="Times New Roman"/>
          <w:sz w:val="24"/>
          <w:szCs w:val="24"/>
        </w:rPr>
        <w:t>de Estados Un</w:t>
      </w:r>
      <w:r>
        <w:rPr>
          <w:rFonts w:ascii="Times New Roman" w:hAnsi="Times New Roman" w:cs="Times New Roman"/>
          <w:sz w:val="24"/>
          <w:szCs w:val="24"/>
        </w:rPr>
        <w:t xml:space="preserve">idos, país que tradicionalmente </w:t>
      </w:r>
      <w:r w:rsidRPr="00285F5E">
        <w:rPr>
          <w:rFonts w:ascii="Times New Roman" w:hAnsi="Times New Roman" w:cs="Times New Roman"/>
          <w:sz w:val="24"/>
          <w:szCs w:val="24"/>
        </w:rPr>
        <w:t>m</w:t>
      </w:r>
      <w:r>
        <w:rPr>
          <w:rFonts w:ascii="Times New Roman" w:hAnsi="Times New Roman" w:cs="Times New Roman"/>
          <w:sz w:val="24"/>
          <w:szCs w:val="24"/>
        </w:rPr>
        <w:t xml:space="preserve">antiene un sistema de licencias para la exportación de gas y que son automáticas con aquellos países con los que hay firmados acuerdos </w:t>
      </w:r>
      <w:r w:rsidRPr="00285F5E">
        <w:rPr>
          <w:rFonts w:ascii="Times New Roman" w:hAnsi="Times New Roman" w:cs="Times New Roman"/>
          <w:sz w:val="24"/>
          <w:szCs w:val="24"/>
        </w:rPr>
        <w:t>de libre comercio.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El sector aéreo es, por otro lado, desde hace años objeto de negociación entre </w:t>
      </w:r>
      <w:r w:rsidRPr="00285F5E">
        <w:rPr>
          <w:rFonts w:ascii="Times New Roman" w:hAnsi="Times New Roman" w:cs="Times New Roman"/>
          <w:sz w:val="24"/>
          <w:szCs w:val="24"/>
        </w:rPr>
        <w:t xml:space="preserve">la Comisión Europea y </w:t>
      </w:r>
      <w:r>
        <w:rPr>
          <w:rFonts w:ascii="Times New Roman" w:hAnsi="Times New Roman" w:cs="Times New Roman"/>
          <w:sz w:val="24"/>
          <w:szCs w:val="24"/>
        </w:rPr>
        <w:t xml:space="preserve">el Gobierno de Estados Unidos. Actualmente existen impedimentos para la formación de grandes operadores transatlánticos que </w:t>
      </w:r>
      <w:r w:rsidRPr="00285F5E">
        <w:rPr>
          <w:rFonts w:ascii="Times New Roman" w:hAnsi="Times New Roman" w:cs="Times New Roman"/>
          <w:sz w:val="24"/>
          <w:szCs w:val="24"/>
        </w:rPr>
        <w:t>estén</w:t>
      </w:r>
      <w:r>
        <w:rPr>
          <w:rFonts w:ascii="Times New Roman" w:hAnsi="Times New Roman" w:cs="Times New Roman"/>
          <w:sz w:val="24"/>
          <w:szCs w:val="24"/>
        </w:rPr>
        <w:t xml:space="preserve"> en disposición de competir con </w:t>
      </w:r>
      <w:r w:rsidRPr="00285F5E">
        <w:rPr>
          <w:rFonts w:ascii="Times New Roman" w:hAnsi="Times New Roman" w:cs="Times New Roman"/>
          <w:sz w:val="24"/>
          <w:szCs w:val="24"/>
        </w:rPr>
        <w:t>las ae</w:t>
      </w:r>
      <w:r>
        <w:rPr>
          <w:rFonts w:ascii="Times New Roman" w:hAnsi="Times New Roman" w:cs="Times New Roman"/>
          <w:sz w:val="24"/>
          <w:szCs w:val="24"/>
        </w:rPr>
        <w:t xml:space="preserve">rolíneas actualmente existentes </w:t>
      </w:r>
      <w:r w:rsidRPr="00285F5E">
        <w:rPr>
          <w:rFonts w:ascii="Times New Roman" w:hAnsi="Times New Roman" w:cs="Times New Roman"/>
          <w:sz w:val="24"/>
          <w:szCs w:val="24"/>
        </w:rPr>
        <w:t>en Ori</w:t>
      </w:r>
      <w:r>
        <w:rPr>
          <w:rFonts w:ascii="Times New Roman" w:hAnsi="Times New Roman" w:cs="Times New Roman"/>
          <w:sz w:val="24"/>
          <w:szCs w:val="24"/>
        </w:rPr>
        <w:t xml:space="preserve">ente Próximo y Lejano. Se trata </w:t>
      </w:r>
      <w:r w:rsidRPr="00285F5E">
        <w:rPr>
          <w:rFonts w:ascii="Times New Roman" w:hAnsi="Times New Roman" w:cs="Times New Roman"/>
          <w:sz w:val="24"/>
          <w:szCs w:val="24"/>
        </w:rPr>
        <w:t>de un sector estrat</w:t>
      </w:r>
      <w:r>
        <w:rPr>
          <w:rFonts w:ascii="Times New Roman" w:hAnsi="Times New Roman" w:cs="Times New Roman"/>
          <w:sz w:val="24"/>
          <w:szCs w:val="24"/>
        </w:rPr>
        <w:t xml:space="preserve">égico y con un claro </w:t>
      </w:r>
      <w:r w:rsidRPr="00285F5E">
        <w:rPr>
          <w:rFonts w:ascii="Times New Roman" w:hAnsi="Times New Roman" w:cs="Times New Roman"/>
          <w:sz w:val="24"/>
          <w:szCs w:val="24"/>
        </w:rPr>
        <w:t>comp</w:t>
      </w:r>
      <w:r>
        <w:rPr>
          <w:rFonts w:ascii="Times New Roman" w:hAnsi="Times New Roman" w:cs="Times New Roman"/>
          <w:sz w:val="24"/>
          <w:szCs w:val="24"/>
        </w:rPr>
        <w:t xml:space="preserve">onente industrial, en el que es </w:t>
      </w:r>
      <w:r w:rsidRPr="00285F5E">
        <w:rPr>
          <w:rFonts w:ascii="Times New Roman" w:hAnsi="Times New Roman" w:cs="Times New Roman"/>
          <w:sz w:val="24"/>
          <w:szCs w:val="24"/>
        </w:rPr>
        <w:t>precis</w:t>
      </w:r>
      <w:r>
        <w:rPr>
          <w:rFonts w:ascii="Times New Roman" w:hAnsi="Times New Roman" w:cs="Times New Roman"/>
          <w:sz w:val="24"/>
          <w:szCs w:val="24"/>
        </w:rPr>
        <w:t xml:space="preserve">o reforzar la coordinación y la </w:t>
      </w:r>
      <w:r w:rsidRPr="00285F5E">
        <w:rPr>
          <w:rFonts w:ascii="Times New Roman" w:hAnsi="Times New Roman" w:cs="Times New Roman"/>
          <w:sz w:val="24"/>
          <w:szCs w:val="24"/>
        </w:rPr>
        <w:t>e</w:t>
      </w:r>
      <w:r>
        <w:rPr>
          <w:rFonts w:ascii="Times New Roman" w:hAnsi="Times New Roman" w:cs="Times New Roman"/>
          <w:sz w:val="24"/>
          <w:szCs w:val="24"/>
        </w:rPr>
        <w:t xml:space="preserve">ficiencia para que tanto Europa </w:t>
      </w:r>
      <w:r w:rsidRPr="00285F5E">
        <w:rPr>
          <w:rFonts w:ascii="Times New Roman" w:hAnsi="Times New Roman" w:cs="Times New Roman"/>
          <w:sz w:val="24"/>
          <w:szCs w:val="24"/>
        </w:rPr>
        <w:t>como Estados Unidos ganemos.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Por úl</w:t>
      </w:r>
      <w:r>
        <w:rPr>
          <w:rFonts w:ascii="Times New Roman" w:hAnsi="Times New Roman" w:cs="Times New Roman"/>
          <w:sz w:val="24"/>
          <w:szCs w:val="24"/>
        </w:rPr>
        <w:t xml:space="preserve">timo, el sector agroalimentario es muy importante, entre otras </w:t>
      </w:r>
      <w:r w:rsidRPr="00285F5E">
        <w:rPr>
          <w:rFonts w:ascii="Times New Roman" w:hAnsi="Times New Roman" w:cs="Times New Roman"/>
          <w:sz w:val="24"/>
          <w:szCs w:val="24"/>
        </w:rPr>
        <w:t>razones por la entidad del com</w:t>
      </w:r>
      <w:r>
        <w:rPr>
          <w:rFonts w:ascii="Times New Roman" w:hAnsi="Times New Roman" w:cs="Times New Roman"/>
          <w:sz w:val="24"/>
          <w:szCs w:val="24"/>
        </w:rPr>
        <w:t xml:space="preserve">ercio: </w:t>
      </w:r>
      <w:r w:rsidRPr="00285F5E">
        <w:rPr>
          <w:rFonts w:ascii="Times New Roman" w:hAnsi="Times New Roman" w:cs="Times New Roman"/>
          <w:sz w:val="24"/>
          <w:szCs w:val="24"/>
        </w:rPr>
        <w:t>el vo</w:t>
      </w:r>
      <w:r>
        <w:rPr>
          <w:rFonts w:ascii="Times New Roman" w:hAnsi="Times New Roman" w:cs="Times New Roman"/>
          <w:sz w:val="24"/>
          <w:szCs w:val="24"/>
        </w:rPr>
        <w:t xml:space="preserve">lumen total de los intercambios </w:t>
      </w:r>
      <w:r w:rsidRPr="00285F5E">
        <w:rPr>
          <w:rFonts w:ascii="Times New Roman" w:hAnsi="Times New Roman" w:cs="Times New Roman"/>
          <w:sz w:val="24"/>
          <w:szCs w:val="24"/>
        </w:rPr>
        <w:t xml:space="preserve">de </w:t>
      </w:r>
      <w:r>
        <w:rPr>
          <w:rFonts w:ascii="Times New Roman" w:hAnsi="Times New Roman" w:cs="Times New Roman"/>
          <w:sz w:val="24"/>
          <w:szCs w:val="24"/>
        </w:rPr>
        <w:t xml:space="preserve">nuestro país con Estados Unidos </w:t>
      </w:r>
      <w:r w:rsidRPr="00285F5E">
        <w:rPr>
          <w:rFonts w:ascii="Times New Roman" w:hAnsi="Times New Roman" w:cs="Times New Roman"/>
          <w:sz w:val="24"/>
          <w:szCs w:val="24"/>
        </w:rPr>
        <w:t>superó e</w:t>
      </w:r>
      <w:r>
        <w:rPr>
          <w:rFonts w:ascii="Times New Roman" w:hAnsi="Times New Roman" w:cs="Times New Roman"/>
          <w:sz w:val="24"/>
          <w:szCs w:val="24"/>
        </w:rPr>
        <w:t xml:space="preserve">l año pasado los 2.000 millones de euros y el millón y medio de </w:t>
      </w:r>
      <w:r w:rsidRPr="00285F5E">
        <w:rPr>
          <w:rFonts w:ascii="Times New Roman" w:hAnsi="Times New Roman" w:cs="Times New Roman"/>
          <w:sz w:val="24"/>
          <w:szCs w:val="24"/>
        </w:rPr>
        <w:t>toneladas.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En este sector se encuentran productos emblemáticos de nuestra cultura y </w:t>
      </w:r>
      <w:r w:rsidRPr="00285F5E">
        <w:rPr>
          <w:rFonts w:ascii="Times New Roman" w:hAnsi="Times New Roman" w:cs="Times New Roman"/>
          <w:sz w:val="24"/>
          <w:szCs w:val="24"/>
        </w:rPr>
        <w:t>muy ligados a las ind</w:t>
      </w:r>
      <w:r>
        <w:rPr>
          <w:rFonts w:ascii="Times New Roman" w:hAnsi="Times New Roman" w:cs="Times New Roman"/>
          <w:sz w:val="24"/>
          <w:szCs w:val="24"/>
        </w:rPr>
        <w:t xml:space="preserve">icaciones geográficas y denominaciones de origen, como son los del sector del vino o del aceite, y otros muchos con también fuerte potencial, como productos cárnicos, pescados, cereales y frutas y hortalizas. En este área se hace especialmente </w:t>
      </w:r>
      <w:r w:rsidRPr="00285F5E">
        <w:rPr>
          <w:rFonts w:ascii="Times New Roman" w:hAnsi="Times New Roman" w:cs="Times New Roman"/>
          <w:sz w:val="24"/>
          <w:szCs w:val="24"/>
        </w:rPr>
        <w:t xml:space="preserve">patente que </w:t>
      </w:r>
      <w:r>
        <w:rPr>
          <w:rFonts w:ascii="Times New Roman" w:hAnsi="Times New Roman" w:cs="Times New Roman"/>
          <w:sz w:val="24"/>
          <w:szCs w:val="24"/>
        </w:rPr>
        <w:t xml:space="preserve">el desmantelamiento </w:t>
      </w:r>
      <w:r w:rsidRPr="00285F5E">
        <w:rPr>
          <w:rFonts w:ascii="Times New Roman" w:hAnsi="Times New Roman" w:cs="Times New Roman"/>
          <w:sz w:val="24"/>
          <w:szCs w:val="24"/>
        </w:rPr>
        <w:t>ar</w:t>
      </w:r>
      <w:r>
        <w:rPr>
          <w:rFonts w:ascii="Times New Roman" w:hAnsi="Times New Roman" w:cs="Times New Roman"/>
          <w:sz w:val="24"/>
          <w:szCs w:val="24"/>
        </w:rPr>
        <w:t xml:space="preserve">ancelario debe ir acompañado de </w:t>
      </w:r>
      <w:r w:rsidRPr="00285F5E">
        <w:rPr>
          <w:rFonts w:ascii="Times New Roman" w:hAnsi="Times New Roman" w:cs="Times New Roman"/>
          <w:sz w:val="24"/>
          <w:szCs w:val="24"/>
        </w:rPr>
        <w:t>una e</w:t>
      </w:r>
      <w:r>
        <w:rPr>
          <w:rFonts w:ascii="Times New Roman" w:hAnsi="Times New Roman" w:cs="Times New Roman"/>
          <w:sz w:val="24"/>
          <w:szCs w:val="24"/>
        </w:rPr>
        <w:t xml:space="preserve">liminación real de las barreras </w:t>
      </w:r>
      <w:r w:rsidRPr="00285F5E">
        <w:rPr>
          <w:rFonts w:ascii="Times New Roman" w:hAnsi="Times New Roman" w:cs="Times New Roman"/>
          <w:sz w:val="24"/>
          <w:szCs w:val="24"/>
        </w:rPr>
        <w:t>regulato</w:t>
      </w:r>
      <w:r>
        <w:rPr>
          <w:rFonts w:ascii="Times New Roman" w:hAnsi="Times New Roman" w:cs="Times New Roman"/>
          <w:sz w:val="24"/>
          <w:szCs w:val="24"/>
        </w:rPr>
        <w:t xml:space="preserve">rias, principalmente sanitarias y fitosanitarias, a través por </w:t>
      </w:r>
      <w:r w:rsidRPr="00285F5E">
        <w:rPr>
          <w:rFonts w:ascii="Times New Roman" w:hAnsi="Times New Roman" w:cs="Times New Roman"/>
          <w:sz w:val="24"/>
          <w:szCs w:val="24"/>
        </w:rPr>
        <w:t>ejemplo d</w:t>
      </w:r>
      <w:r>
        <w:rPr>
          <w:rFonts w:ascii="Times New Roman" w:hAnsi="Times New Roman" w:cs="Times New Roman"/>
          <w:sz w:val="24"/>
          <w:szCs w:val="24"/>
        </w:rPr>
        <w:t xml:space="preserve">e la armonización de normativas </w:t>
      </w:r>
      <w:r w:rsidRPr="00285F5E">
        <w:rPr>
          <w:rFonts w:ascii="Times New Roman" w:hAnsi="Times New Roman" w:cs="Times New Roman"/>
          <w:sz w:val="24"/>
          <w:szCs w:val="24"/>
        </w:rPr>
        <w:t>q</w:t>
      </w:r>
      <w:r>
        <w:rPr>
          <w:rFonts w:ascii="Times New Roman" w:hAnsi="Times New Roman" w:cs="Times New Roman"/>
          <w:sz w:val="24"/>
          <w:szCs w:val="24"/>
        </w:rPr>
        <w:t xml:space="preserve">ue dificultan la exportación de muchas </w:t>
      </w:r>
      <w:r w:rsidRPr="00285F5E">
        <w:rPr>
          <w:rFonts w:ascii="Times New Roman" w:hAnsi="Times New Roman" w:cs="Times New Roman"/>
          <w:sz w:val="24"/>
          <w:szCs w:val="24"/>
        </w:rPr>
        <w:t>especialidade</w:t>
      </w:r>
      <w:r>
        <w:rPr>
          <w:rFonts w:ascii="Times New Roman" w:hAnsi="Times New Roman" w:cs="Times New Roman"/>
          <w:sz w:val="24"/>
          <w:szCs w:val="24"/>
        </w:rPr>
        <w:t xml:space="preserve">s españolas al </w:t>
      </w:r>
      <w:r w:rsidRPr="00285F5E">
        <w:rPr>
          <w:rFonts w:ascii="Times New Roman" w:hAnsi="Times New Roman" w:cs="Times New Roman"/>
          <w:sz w:val="24"/>
          <w:szCs w:val="24"/>
        </w:rPr>
        <w:t>mercado de los Estados Unidos.</w:t>
      </w:r>
    </w:p>
    <w:p w:rsidR="000369FD" w:rsidRPr="00285F5E"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85F5E">
        <w:rPr>
          <w:rFonts w:ascii="Times New Roman" w:hAnsi="Times New Roman" w:cs="Times New Roman"/>
          <w:sz w:val="24"/>
          <w:szCs w:val="24"/>
        </w:rPr>
        <w:t>PUJANZA HIS</w:t>
      </w:r>
      <w:r>
        <w:rPr>
          <w:rFonts w:ascii="Times New Roman" w:hAnsi="Times New Roman" w:cs="Times New Roman"/>
          <w:sz w:val="24"/>
          <w:szCs w:val="24"/>
        </w:rPr>
        <w:t xml:space="preserve">PANA. Lo descrito anteriormente es solo una muestra de </w:t>
      </w:r>
      <w:r w:rsidRPr="00285F5E">
        <w:rPr>
          <w:rFonts w:ascii="Times New Roman" w:hAnsi="Times New Roman" w:cs="Times New Roman"/>
          <w:sz w:val="24"/>
          <w:szCs w:val="24"/>
        </w:rPr>
        <w:t>lo</w:t>
      </w:r>
      <w:r>
        <w:rPr>
          <w:rFonts w:ascii="Times New Roman" w:hAnsi="Times New Roman" w:cs="Times New Roman"/>
          <w:sz w:val="24"/>
          <w:szCs w:val="24"/>
        </w:rPr>
        <w:t xml:space="preserve">s beneficios que pueden obtener Europa y Estados Unidos con un acuerdo como el que estamos negociando. No obstante, </w:t>
      </w:r>
      <w:r w:rsidRPr="00285F5E">
        <w:rPr>
          <w:rFonts w:ascii="Times New Roman" w:hAnsi="Times New Roman" w:cs="Times New Roman"/>
          <w:sz w:val="24"/>
          <w:szCs w:val="24"/>
        </w:rPr>
        <w:t>el logro de una mayor aper</w:t>
      </w:r>
      <w:r>
        <w:rPr>
          <w:rFonts w:ascii="Times New Roman" w:hAnsi="Times New Roman" w:cs="Times New Roman"/>
          <w:sz w:val="24"/>
          <w:szCs w:val="24"/>
        </w:rPr>
        <w:t xml:space="preserve">tura a las empresas españolas y europeas a un mercado como el estadounidense, considerado como el más competitivo y exigente del mundo, demanda la debida reciprocidad. En este sentido debemos tener confianza y ser muy conscientes de que nuestras empresas </w:t>
      </w:r>
      <w:r w:rsidRPr="00285F5E">
        <w:rPr>
          <w:rFonts w:ascii="Times New Roman" w:hAnsi="Times New Roman" w:cs="Times New Roman"/>
          <w:sz w:val="24"/>
          <w:szCs w:val="24"/>
        </w:rPr>
        <w:t>h</w:t>
      </w:r>
      <w:r>
        <w:rPr>
          <w:rFonts w:ascii="Times New Roman" w:hAnsi="Times New Roman" w:cs="Times New Roman"/>
          <w:sz w:val="24"/>
          <w:szCs w:val="24"/>
        </w:rPr>
        <w:t xml:space="preserve">an mostrado una acreditada capacidad de competir en los mercados interior y exterior con firmas de otros países.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Especial</w:t>
      </w:r>
      <w:r w:rsidRPr="00F0271E">
        <w:rPr>
          <w:rFonts w:ascii="Times New Roman" w:hAnsi="Times New Roman" w:cs="Times New Roman"/>
          <w:sz w:val="24"/>
          <w:szCs w:val="24"/>
        </w:rPr>
        <w:t>mente en</w:t>
      </w:r>
      <w:r>
        <w:rPr>
          <w:rFonts w:ascii="Times New Roman" w:hAnsi="Times New Roman" w:cs="Times New Roman"/>
          <w:sz w:val="24"/>
          <w:szCs w:val="24"/>
        </w:rPr>
        <w:t xml:space="preserve"> los últimos años lo han estado </w:t>
      </w:r>
      <w:r w:rsidRPr="00F0271E">
        <w:rPr>
          <w:rFonts w:ascii="Times New Roman" w:hAnsi="Times New Roman" w:cs="Times New Roman"/>
          <w:sz w:val="24"/>
          <w:szCs w:val="24"/>
        </w:rPr>
        <w:t>h</w:t>
      </w:r>
      <w:r>
        <w:rPr>
          <w:rFonts w:ascii="Times New Roman" w:hAnsi="Times New Roman" w:cs="Times New Roman"/>
          <w:sz w:val="24"/>
          <w:szCs w:val="24"/>
        </w:rPr>
        <w:t xml:space="preserve">aciendo con gran éxito en otros </w:t>
      </w:r>
      <w:r w:rsidRPr="00F0271E">
        <w:rPr>
          <w:rFonts w:ascii="Times New Roman" w:hAnsi="Times New Roman" w:cs="Times New Roman"/>
          <w:sz w:val="24"/>
          <w:szCs w:val="24"/>
        </w:rPr>
        <w:t xml:space="preserve">países </w:t>
      </w:r>
      <w:r>
        <w:rPr>
          <w:rFonts w:ascii="Times New Roman" w:hAnsi="Times New Roman" w:cs="Times New Roman"/>
          <w:sz w:val="24"/>
          <w:szCs w:val="24"/>
        </w:rPr>
        <w:t xml:space="preserve">(por cierto, también en Estados </w:t>
      </w:r>
      <w:r w:rsidRPr="00F0271E">
        <w:rPr>
          <w:rFonts w:ascii="Times New Roman" w:hAnsi="Times New Roman" w:cs="Times New Roman"/>
          <w:sz w:val="24"/>
          <w:szCs w:val="24"/>
        </w:rPr>
        <w:t xml:space="preserve">Unidos). </w:t>
      </w:r>
      <w:r>
        <w:rPr>
          <w:rFonts w:ascii="Times New Roman" w:hAnsi="Times New Roman" w:cs="Times New Roman"/>
          <w:sz w:val="24"/>
          <w:szCs w:val="24"/>
        </w:rPr>
        <w:t xml:space="preserve">Me gustaría ilustrar este hecho </w:t>
      </w:r>
      <w:r w:rsidRPr="00F0271E">
        <w:rPr>
          <w:rFonts w:ascii="Times New Roman" w:hAnsi="Times New Roman" w:cs="Times New Roman"/>
          <w:sz w:val="24"/>
          <w:szCs w:val="24"/>
        </w:rPr>
        <w:t xml:space="preserve">con </w:t>
      </w:r>
      <w:r>
        <w:rPr>
          <w:rFonts w:ascii="Times New Roman" w:hAnsi="Times New Roman" w:cs="Times New Roman"/>
          <w:sz w:val="24"/>
          <w:szCs w:val="24"/>
        </w:rPr>
        <w:t xml:space="preserve">la última actualización mensual </w:t>
      </w:r>
      <w:r w:rsidRPr="00F0271E">
        <w:rPr>
          <w:rFonts w:ascii="Times New Roman" w:hAnsi="Times New Roman" w:cs="Times New Roman"/>
          <w:sz w:val="24"/>
          <w:szCs w:val="24"/>
        </w:rPr>
        <w:t>d</w:t>
      </w:r>
      <w:r>
        <w:rPr>
          <w:rFonts w:ascii="Times New Roman" w:hAnsi="Times New Roman" w:cs="Times New Roman"/>
          <w:sz w:val="24"/>
          <w:szCs w:val="24"/>
        </w:rPr>
        <w:t xml:space="preserve">e datos de comercio exterior de </w:t>
      </w:r>
      <w:r w:rsidRPr="00F0271E">
        <w:rPr>
          <w:rFonts w:ascii="Times New Roman" w:hAnsi="Times New Roman" w:cs="Times New Roman"/>
          <w:sz w:val="24"/>
          <w:szCs w:val="24"/>
        </w:rPr>
        <w:t>la Or</w:t>
      </w:r>
      <w:r>
        <w:rPr>
          <w:rFonts w:ascii="Times New Roman" w:hAnsi="Times New Roman" w:cs="Times New Roman"/>
          <w:sz w:val="24"/>
          <w:szCs w:val="24"/>
        </w:rPr>
        <w:t xml:space="preserve">ganización Mundial del Comercio </w:t>
      </w:r>
      <w:r w:rsidRPr="00F0271E">
        <w:rPr>
          <w:rFonts w:ascii="Times New Roman" w:hAnsi="Times New Roman" w:cs="Times New Roman"/>
          <w:sz w:val="24"/>
          <w:szCs w:val="24"/>
        </w:rPr>
        <w:t xml:space="preserve">para los </w:t>
      </w:r>
      <w:r>
        <w:rPr>
          <w:rFonts w:ascii="Times New Roman" w:hAnsi="Times New Roman" w:cs="Times New Roman"/>
          <w:sz w:val="24"/>
          <w:szCs w:val="24"/>
        </w:rPr>
        <w:t xml:space="preserve">70 mayores países exportadores, que representan aproximadamente el 90% del comercio mundial, </w:t>
      </w:r>
      <w:r w:rsidRPr="00F0271E">
        <w:rPr>
          <w:rFonts w:ascii="Times New Roman" w:hAnsi="Times New Roman" w:cs="Times New Roman"/>
          <w:sz w:val="24"/>
          <w:szCs w:val="24"/>
        </w:rPr>
        <w:t>cor</w:t>
      </w:r>
      <w:r>
        <w:rPr>
          <w:rFonts w:ascii="Times New Roman" w:hAnsi="Times New Roman" w:cs="Times New Roman"/>
          <w:sz w:val="24"/>
          <w:szCs w:val="24"/>
        </w:rPr>
        <w:t xml:space="preserve">respondiente al primer semestre </w:t>
      </w:r>
      <w:r w:rsidRPr="00F0271E">
        <w:rPr>
          <w:rFonts w:ascii="Times New Roman" w:hAnsi="Times New Roman" w:cs="Times New Roman"/>
          <w:sz w:val="24"/>
          <w:szCs w:val="24"/>
        </w:rPr>
        <w:t>del presente año: en el periodo enero</w:t>
      </w:r>
      <w:r>
        <w:rPr>
          <w:rFonts w:ascii="Times New Roman" w:hAnsi="Times New Roman" w:cs="Times New Roman"/>
          <w:sz w:val="24"/>
          <w:szCs w:val="24"/>
        </w:rPr>
        <w:t xml:space="preserve">-junio de 2013, España ha sido uno de </w:t>
      </w:r>
      <w:r w:rsidRPr="00F0271E">
        <w:rPr>
          <w:rFonts w:ascii="Times New Roman" w:hAnsi="Times New Roman" w:cs="Times New Roman"/>
          <w:sz w:val="24"/>
          <w:szCs w:val="24"/>
        </w:rPr>
        <w:t>los país</w:t>
      </w:r>
      <w:r>
        <w:rPr>
          <w:rFonts w:ascii="Times New Roman" w:hAnsi="Times New Roman" w:cs="Times New Roman"/>
          <w:sz w:val="24"/>
          <w:szCs w:val="24"/>
        </w:rPr>
        <w:t>es del mundo con más favora</w:t>
      </w:r>
      <w:r w:rsidRPr="00F0271E">
        <w:rPr>
          <w:rFonts w:ascii="Times New Roman" w:hAnsi="Times New Roman" w:cs="Times New Roman"/>
          <w:sz w:val="24"/>
          <w:szCs w:val="24"/>
        </w:rPr>
        <w:t>ble evolución en su</w:t>
      </w:r>
      <w:r>
        <w:rPr>
          <w:rFonts w:ascii="Times New Roman" w:hAnsi="Times New Roman" w:cs="Times New Roman"/>
          <w:sz w:val="24"/>
          <w:szCs w:val="24"/>
        </w:rPr>
        <w:t xml:space="preserve"> sector exterior, incrementando el valor de sus exportaciones en más de un 7% respecto del </w:t>
      </w:r>
      <w:r w:rsidRPr="00F0271E">
        <w:rPr>
          <w:rFonts w:ascii="Times New Roman" w:hAnsi="Times New Roman" w:cs="Times New Roman"/>
          <w:sz w:val="24"/>
          <w:szCs w:val="24"/>
        </w:rPr>
        <w:t>mismo periodo de 2012, cuando globalmente</w:t>
      </w:r>
      <w:r>
        <w:rPr>
          <w:rFonts w:ascii="Times New Roman" w:hAnsi="Times New Roman" w:cs="Times New Roman"/>
          <w:sz w:val="24"/>
          <w:szCs w:val="24"/>
        </w:rPr>
        <w:t xml:space="preserve"> </w:t>
      </w:r>
      <w:r w:rsidRPr="00F0271E">
        <w:rPr>
          <w:rFonts w:ascii="Times New Roman" w:hAnsi="Times New Roman" w:cs="Times New Roman"/>
          <w:sz w:val="24"/>
          <w:szCs w:val="24"/>
        </w:rPr>
        <w:t>las exportaciones apenas se</w:t>
      </w:r>
      <w:r>
        <w:rPr>
          <w:rFonts w:ascii="Times New Roman" w:hAnsi="Times New Roman" w:cs="Times New Roman"/>
          <w:sz w:val="24"/>
          <w:szCs w:val="24"/>
        </w:rPr>
        <w:t xml:space="preserve"> </w:t>
      </w:r>
      <w:r w:rsidRPr="00F0271E">
        <w:rPr>
          <w:rFonts w:ascii="Times New Roman" w:hAnsi="Times New Roman" w:cs="Times New Roman"/>
          <w:sz w:val="24"/>
          <w:szCs w:val="24"/>
        </w:rPr>
        <w:t>han incrementado en un 1,5%. Además,</w:t>
      </w:r>
      <w:r>
        <w:rPr>
          <w:rFonts w:ascii="Times New Roman" w:hAnsi="Times New Roman" w:cs="Times New Roman"/>
          <w:sz w:val="24"/>
          <w:szCs w:val="24"/>
        </w:rPr>
        <w:t xml:space="preserve"> </w:t>
      </w:r>
      <w:r w:rsidRPr="00F0271E">
        <w:rPr>
          <w:rFonts w:ascii="Times New Roman" w:hAnsi="Times New Roman" w:cs="Times New Roman"/>
          <w:sz w:val="24"/>
          <w:szCs w:val="24"/>
        </w:rPr>
        <w:t xml:space="preserve">España fue </w:t>
      </w:r>
      <w:r>
        <w:rPr>
          <w:rFonts w:ascii="Times New Roman" w:hAnsi="Times New Roman" w:cs="Times New Roman"/>
          <w:sz w:val="24"/>
          <w:szCs w:val="24"/>
        </w:rPr>
        <w:t xml:space="preserve">la única gran economía </w:t>
      </w:r>
      <w:r w:rsidRPr="00F0271E">
        <w:rPr>
          <w:rFonts w:ascii="Times New Roman" w:hAnsi="Times New Roman" w:cs="Times New Roman"/>
          <w:sz w:val="24"/>
          <w:szCs w:val="24"/>
        </w:rPr>
        <w:t>mund</w:t>
      </w:r>
      <w:r>
        <w:rPr>
          <w:rFonts w:ascii="Times New Roman" w:hAnsi="Times New Roman" w:cs="Times New Roman"/>
          <w:sz w:val="24"/>
          <w:szCs w:val="24"/>
        </w:rPr>
        <w:t xml:space="preserve">ial que logró dichos resultados sin recurrir a controles de la </w:t>
      </w:r>
      <w:r w:rsidRPr="00F0271E">
        <w:rPr>
          <w:rFonts w:ascii="Times New Roman" w:hAnsi="Times New Roman" w:cs="Times New Roman"/>
          <w:sz w:val="24"/>
          <w:szCs w:val="24"/>
        </w:rPr>
        <w:t>mone</w:t>
      </w:r>
      <w:r>
        <w:rPr>
          <w:rFonts w:ascii="Times New Roman" w:hAnsi="Times New Roman" w:cs="Times New Roman"/>
          <w:sz w:val="24"/>
          <w:szCs w:val="24"/>
        </w:rPr>
        <w:t xml:space="preserve">da, solo a base de competir con </w:t>
      </w:r>
      <w:r w:rsidRPr="00F0271E">
        <w:rPr>
          <w:rFonts w:ascii="Times New Roman" w:hAnsi="Times New Roman" w:cs="Times New Roman"/>
          <w:sz w:val="24"/>
          <w:szCs w:val="24"/>
        </w:rPr>
        <w:t xml:space="preserve">éxito </w:t>
      </w:r>
      <w:r>
        <w:rPr>
          <w:rFonts w:ascii="Times New Roman" w:hAnsi="Times New Roman" w:cs="Times New Roman"/>
          <w:sz w:val="24"/>
          <w:szCs w:val="24"/>
        </w:rPr>
        <w:t xml:space="preserve">en el exterior. Unos resultados </w:t>
      </w:r>
      <w:r w:rsidRPr="00F0271E">
        <w:rPr>
          <w:rFonts w:ascii="Times New Roman" w:hAnsi="Times New Roman" w:cs="Times New Roman"/>
          <w:sz w:val="24"/>
          <w:szCs w:val="24"/>
        </w:rPr>
        <w:t>que nos po</w:t>
      </w:r>
      <w:r>
        <w:rPr>
          <w:rFonts w:ascii="Times New Roman" w:hAnsi="Times New Roman" w:cs="Times New Roman"/>
          <w:sz w:val="24"/>
          <w:szCs w:val="24"/>
        </w:rPr>
        <w:t xml:space="preserve">nen delante de tradicionalmente grandes potencias exportadoras, </w:t>
      </w:r>
      <w:r w:rsidRPr="00F0271E">
        <w:rPr>
          <w:rFonts w:ascii="Times New Roman" w:hAnsi="Times New Roman" w:cs="Times New Roman"/>
          <w:sz w:val="24"/>
          <w:szCs w:val="24"/>
        </w:rPr>
        <w:t>como Alemania, Ita</w:t>
      </w:r>
      <w:r>
        <w:rPr>
          <w:rFonts w:ascii="Times New Roman" w:hAnsi="Times New Roman" w:cs="Times New Roman"/>
          <w:sz w:val="24"/>
          <w:szCs w:val="24"/>
        </w:rPr>
        <w:t xml:space="preserve">lia, Francia, y </w:t>
      </w:r>
      <w:r w:rsidRPr="00F0271E">
        <w:rPr>
          <w:rFonts w:ascii="Times New Roman" w:hAnsi="Times New Roman" w:cs="Times New Roman"/>
          <w:sz w:val="24"/>
          <w:szCs w:val="24"/>
        </w:rPr>
        <w:t xml:space="preserve">de </w:t>
      </w:r>
      <w:r w:rsidRPr="00F0271E">
        <w:rPr>
          <w:rFonts w:ascii="Times New Roman" w:hAnsi="Times New Roman" w:cs="Times New Roman"/>
          <w:sz w:val="24"/>
          <w:szCs w:val="24"/>
        </w:rPr>
        <w:lastRenderedPageBreak/>
        <w:t>al</w:t>
      </w:r>
      <w:r>
        <w:rPr>
          <w:rFonts w:ascii="Times New Roman" w:hAnsi="Times New Roman" w:cs="Times New Roman"/>
          <w:sz w:val="24"/>
          <w:szCs w:val="24"/>
        </w:rPr>
        <w:t xml:space="preserve">gunas potencias desarrolladas y </w:t>
      </w:r>
      <w:r w:rsidRPr="00F0271E">
        <w:rPr>
          <w:rFonts w:ascii="Times New Roman" w:hAnsi="Times New Roman" w:cs="Times New Roman"/>
          <w:sz w:val="24"/>
          <w:szCs w:val="24"/>
        </w:rPr>
        <w:t>emergen</w:t>
      </w:r>
      <w:r>
        <w:rPr>
          <w:rFonts w:ascii="Times New Roman" w:hAnsi="Times New Roman" w:cs="Times New Roman"/>
          <w:sz w:val="24"/>
          <w:szCs w:val="24"/>
        </w:rPr>
        <w:t xml:space="preserve">tes, como Brasil, India, Corea, </w:t>
      </w:r>
      <w:r w:rsidRPr="00F0271E">
        <w:rPr>
          <w:rFonts w:ascii="Times New Roman" w:hAnsi="Times New Roman" w:cs="Times New Roman"/>
          <w:sz w:val="24"/>
          <w:szCs w:val="24"/>
        </w:rPr>
        <w:t>Rusia, Canadá, o Japón.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256DEC19" wp14:editId="05073395">
            <wp:extent cx="5391150" cy="43815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91150" cy="4381500"/>
                    </a:xfrm>
                    <a:prstGeom prst="rect">
                      <a:avLst/>
                    </a:prstGeom>
                    <a:noFill/>
                    <a:ln>
                      <a:noFill/>
                    </a:ln>
                  </pic:spPr>
                </pic:pic>
              </a:graphicData>
            </a:graphic>
          </wp:inline>
        </w:drawing>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F0271E" w:rsidRDefault="000369FD" w:rsidP="000369FD">
      <w:pPr>
        <w:autoSpaceDE w:val="0"/>
        <w:autoSpaceDN w:val="0"/>
        <w:adjustRightInd w:val="0"/>
        <w:spacing w:after="0" w:line="240" w:lineRule="auto"/>
        <w:jc w:val="both"/>
        <w:rPr>
          <w:rFonts w:ascii="Times New Roman" w:hAnsi="Times New Roman" w:cs="Times New Roman"/>
          <w:sz w:val="24"/>
          <w:szCs w:val="24"/>
        </w:rPr>
      </w:pPr>
      <w:r w:rsidRPr="00F0271E">
        <w:rPr>
          <w:rFonts w:ascii="Times New Roman" w:hAnsi="Times New Roman" w:cs="Times New Roman"/>
          <w:sz w:val="24"/>
          <w:szCs w:val="24"/>
        </w:rPr>
        <w:t>UN MUN</w:t>
      </w:r>
      <w:r>
        <w:rPr>
          <w:rFonts w:ascii="Times New Roman" w:hAnsi="Times New Roman" w:cs="Times New Roman"/>
          <w:sz w:val="24"/>
          <w:szCs w:val="24"/>
        </w:rPr>
        <w:t xml:space="preserve">DO MULTIPOLAR. Estados Unidos y </w:t>
      </w:r>
      <w:r w:rsidRPr="00F0271E">
        <w:rPr>
          <w:rFonts w:ascii="Times New Roman" w:hAnsi="Times New Roman" w:cs="Times New Roman"/>
          <w:sz w:val="24"/>
          <w:szCs w:val="24"/>
        </w:rPr>
        <w:t>Euro</w:t>
      </w:r>
      <w:r>
        <w:rPr>
          <w:rFonts w:ascii="Times New Roman" w:hAnsi="Times New Roman" w:cs="Times New Roman"/>
          <w:sz w:val="24"/>
          <w:szCs w:val="24"/>
        </w:rPr>
        <w:t xml:space="preserve">pa han sido dos grandes bloques </w:t>
      </w:r>
      <w:r w:rsidRPr="00F0271E">
        <w:rPr>
          <w:rFonts w:ascii="Times New Roman" w:hAnsi="Times New Roman" w:cs="Times New Roman"/>
          <w:sz w:val="24"/>
          <w:szCs w:val="24"/>
        </w:rPr>
        <w:t>económ</w:t>
      </w:r>
      <w:r>
        <w:rPr>
          <w:rFonts w:ascii="Times New Roman" w:hAnsi="Times New Roman" w:cs="Times New Roman"/>
          <w:sz w:val="24"/>
          <w:szCs w:val="24"/>
        </w:rPr>
        <w:t xml:space="preserve">icos muchas veces rivales, pero </w:t>
      </w:r>
      <w:r w:rsidRPr="00F0271E">
        <w:rPr>
          <w:rFonts w:ascii="Times New Roman" w:hAnsi="Times New Roman" w:cs="Times New Roman"/>
          <w:sz w:val="24"/>
          <w:szCs w:val="24"/>
        </w:rPr>
        <w:t>tenemos que avanzar juntos en</w:t>
      </w:r>
      <w:r>
        <w:rPr>
          <w:rFonts w:ascii="Times New Roman" w:hAnsi="Times New Roman" w:cs="Times New Roman"/>
          <w:sz w:val="24"/>
          <w:szCs w:val="24"/>
        </w:rPr>
        <w:t xml:space="preserve"> el proceso de reformas y eliminar aquellas </w:t>
      </w:r>
      <w:r w:rsidRPr="00F0271E">
        <w:rPr>
          <w:rFonts w:ascii="Times New Roman" w:hAnsi="Times New Roman" w:cs="Times New Roman"/>
          <w:sz w:val="24"/>
          <w:szCs w:val="24"/>
        </w:rPr>
        <w:t>diferenc</w:t>
      </w:r>
      <w:r>
        <w:rPr>
          <w:rFonts w:ascii="Times New Roman" w:hAnsi="Times New Roman" w:cs="Times New Roman"/>
          <w:sz w:val="24"/>
          <w:szCs w:val="24"/>
        </w:rPr>
        <w:t xml:space="preserve">ias que solo se explican porque </w:t>
      </w:r>
      <w:r w:rsidRPr="00F0271E">
        <w:rPr>
          <w:rFonts w:ascii="Times New Roman" w:hAnsi="Times New Roman" w:cs="Times New Roman"/>
          <w:sz w:val="24"/>
          <w:szCs w:val="24"/>
        </w:rPr>
        <w:t>hemos te</w:t>
      </w:r>
      <w:r>
        <w:rPr>
          <w:rFonts w:ascii="Times New Roman" w:hAnsi="Times New Roman" w:cs="Times New Roman"/>
          <w:sz w:val="24"/>
          <w:szCs w:val="24"/>
        </w:rPr>
        <w:t xml:space="preserve">nido distintas administraciones públicas; reformar para que </w:t>
      </w:r>
      <w:r w:rsidRPr="00F0271E">
        <w:rPr>
          <w:rFonts w:ascii="Times New Roman" w:hAnsi="Times New Roman" w:cs="Times New Roman"/>
          <w:sz w:val="24"/>
          <w:szCs w:val="24"/>
        </w:rPr>
        <w:t>po</w:t>
      </w:r>
      <w:r>
        <w:rPr>
          <w:rFonts w:ascii="Times New Roman" w:hAnsi="Times New Roman" w:cs="Times New Roman"/>
          <w:sz w:val="24"/>
          <w:szCs w:val="24"/>
        </w:rPr>
        <w:t xml:space="preserve">damos seguir siendo prósperos y </w:t>
      </w:r>
      <w:r w:rsidRPr="00F0271E">
        <w:rPr>
          <w:rFonts w:ascii="Times New Roman" w:hAnsi="Times New Roman" w:cs="Times New Roman"/>
          <w:sz w:val="24"/>
          <w:szCs w:val="24"/>
        </w:rPr>
        <w:t>contribuyendo al crecimiento mundial.</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F0271E">
        <w:rPr>
          <w:rFonts w:ascii="Times New Roman" w:hAnsi="Times New Roman" w:cs="Times New Roman"/>
          <w:sz w:val="24"/>
          <w:szCs w:val="24"/>
        </w:rPr>
        <w:t>Europa y E</w:t>
      </w:r>
      <w:r>
        <w:rPr>
          <w:rFonts w:ascii="Times New Roman" w:hAnsi="Times New Roman" w:cs="Times New Roman"/>
          <w:sz w:val="24"/>
          <w:szCs w:val="24"/>
        </w:rPr>
        <w:t xml:space="preserve">stados Unidos somos diferentes, y lo seguiremos siendo, pero </w:t>
      </w:r>
      <w:r w:rsidRPr="00F0271E">
        <w:rPr>
          <w:rFonts w:ascii="Times New Roman" w:hAnsi="Times New Roman" w:cs="Times New Roman"/>
          <w:sz w:val="24"/>
          <w:szCs w:val="24"/>
        </w:rPr>
        <w:t>gracias a una hist</w:t>
      </w:r>
      <w:r>
        <w:rPr>
          <w:rFonts w:ascii="Times New Roman" w:hAnsi="Times New Roman" w:cs="Times New Roman"/>
          <w:sz w:val="24"/>
          <w:szCs w:val="24"/>
        </w:rPr>
        <w:t xml:space="preserve">oria y cultura indisolublemente ligadas, lo que nos une </w:t>
      </w:r>
      <w:r w:rsidRPr="00F0271E">
        <w:rPr>
          <w:rFonts w:ascii="Times New Roman" w:hAnsi="Times New Roman" w:cs="Times New Roman"/>
          <w:sz w:val="24"/>
          <w:szCs w:val="24"/>
        </w:rPr>
        <w:t>es muc</w:t>
      </w:r>
      <w:r>
        <w:rPr>
          <w:rFonts w:ascii="Times New Roman" w:hAnsi="Times New Roman" w:cs="Times New Roman"/>
          <w:sz w:val="24"/>
          <w:szCs w:val="24"/>
        </w:rPr>
        <w:t xml:space="preserve">ho más que lo que nos separa. Y </w:t>
      </w:r>
      <w:r w:rsidRPr="00F0271E">
        <w:rPr>
          <w:rFonts w:ascii="Times New Roman" w:hAnsi="Times New Roman" w:cs="Times New Roman"/>
          <w:sz w:val="24"/>
          <w:szCs w:val="24"/>
        </w:rPr>
        <w:t>esta af</w:t>
      </w:r>
      <w:r>
        <w:rPr>
          <w:rFonts w:ascii="Times New Roman" w:hAnsi="Times New Roman" w:cs="Times New Roman"/>
          <w:sz w:val="24"/>
          <w:szCs w:val="24"/>
        </w:rPr>
        <w:t xml:space="preserve">irmación seguirá siendo vigente </w:t>
      </w:r>
      <w:r w:rsidRPr="00F0271E">
        <w:rPr>
          <w:rFonts w:ascii="Times New Roman" w:hAnsi="Times New Roman" w:cs="Times New Roman"/>
          <w:sz w:val="24"/>
          <w:szCs w:val="24"/>
        </w:rPr>
        <w:t xml:space="preserve">durante muchos años y en relación </w:t>
      </w:r>
      <w:r>
        <w:rPr>
          <w:rFonts w:ascii="Times New Roman" w:hAnsi="Times New Roman" w:cs="Times New Roman"/>
          <w:sz w:val="24"/>
          <w:szCs w:val="24"/>
        </w:rPr>
        <w:t xml:space="preserve">a </w:t>
      </w:r>
      <w:r w:rsidRPr="00F0271E">
        <w:rPr>
          <w:rFonts w:ascii="Times New Roman" w:hAnsi="Times New Roman" w:cs="Times New Roman"/>
          <w:sz w:val="24"/>
          <w:szCs w:val="24"/>
        </w:rPr>
        <w:t>terce</w:t>
      </w:r>
      <w:r>
        <w:rPr>
          <w:rFonts w:ascii="Times New Roman" w:hAnsi="Times New Roman" w:cs="Times New Roman"/>
          <w:sz w:val="24"/>
          <w:szCs w:val="24"/>
        </w:rPr>
        <w:t xml:space="preserve">ros países y bloques económicos de este mundo multipolar al que </w:t>
      </w:r>
      <w:r w:rsidRPr="00F0271E">
        <w:rPr>
          <w:rFonts w:ascii="Times New Roman" w:hAnsi="Times New Roman" w:cs="Times New Roman"/>
          <w:sz w:val="24"/>
          <w:szCs w:val="24"/>
        </w:rPr>
        <w:t>nos encaminamos.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456F9B">
        <w:rPr>
          <w:rFonts w:ascii="Times New Roman" w:hAnsi="Times New Roman" w:cs="Times New Roman"/>
          <w:sz w:val="24"/>
          <w:szCs w:val="24"/>
          <w:u w:val="single"/>
        </w:rPr>
        <w:t>TTIP: protección de los servicios públicos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456F9B">
        <w:rPr>
          <w:rFonts w:ascii="Times New Roman" w:hAnsi="Times New Roman" w:cs="Times New Roman"/>
          <w:sz w:val="24"/>
          <w:szCs w:val="24"/>
        </w:rPr>
        <w:t>http://ec.europa.eu/spain/sobre-la-ue/ttip/servicios-publicos-acuerdos_es.htm</w:t>
      </w:r>
      <w:r>
        <w:rPr>
          <w:rFonts w:ascii="Times New Roman" w:hAnsi="Times New Roman" w:cs="Times New Roman"/>
          <w:sz w:val="24"/>
          <w:szCs w:val="24"/>
        </w:rPr>
        <w:t>)</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Esta página tiene como objetivo aclarar que en ningún  momento las actuales n</w:t>
      </w:r>
      <w:r w:rsidR="000A5C64">
        <w:rPr>
          <w:rFonts w:ascii="Times New Roman" w:hAnsi="Times New Roman" w:cs="Times New Roman"/>
          <w:color w:val="FF0000"/>
          <w:sz w:val="24"/>
          <w:szCs w:val="24"/>
        </w:rPr>
        <w:t>egociaciones comerciales con EEUU</w:t>
      </w:r>
      <w:r w:rsidRPr="00A517E5">
        <w:rPr>
          <w:rFonts w:ascii="Times New Roman" w:hAnsi="Times New Roman" w:cs="Times New Roman"/>
          <w:color w:val="FF0000"/>
          <w:sz w:val="24"/>
          <w:szCs w:val="24"/>
        </w:rPr>
        <w:t xml:space="preserve"> (TTIP) pondrán en peligro los  servicios públicos ni supondrán  su privatización.  En otras palabras: el debate sobre si privatizar o no un servicio público es y seguirá siendo un tema que se decide a nivel nacional o local.</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lastRenderedPageBreak/>
        <w:t xml:space="preserve">La UE tiene servicios públicos tales como los de sanidad y educación que están entre los mejores del mundo. Su papel es especial, y como tal lo valoran los ciudadanos y se reconoce en la legislación europea. Por eso </w:t>
      </w:r>
      <w:r w:rsidRPr="00A517E5">
        <w:rPr>
          <w:rFonts w:ascii="Times New Roman" w:hAnsi="Times New Roman" w:cs="Times New Roman"/>
          <w:color w:val="FF0000"/>
          <w:sz w:val="24"/>
          <w:szCs w:val="24"/>
        </w:rPr>
        <w:t>la UE y cada uno de sus países miembros tienen la obligación de salvaguardar los servicios públicos en cualquier nueva normativa o política. Eso incluye los acuerdos comerciales con otros países.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 xml:space="preserve">Todos ellos contemplan tres importantes garantías en materia de servicios públicos. Se refieren a la reglamentación, </w:t>
      </w:r>
      <w:r>
        <w:rPr>
          <w:rFonts w:ascii="Times New Roman" w:hAnsi="Times New Roman" w:cs="Times New Roman"/>
          <w:sz w:val="24"/>
          <w:szCs w:val="24"/>
        </w:rPr>
        <w:t>los monopolios y el denominado “trato nacional”</w:t>
      </w:r>
      <w:r w:rsidRPr="00E32ACB">
        <w:rPr>
          <w:rFonts w:ascii="Times New Roman" w:hAnsi="Times New Roman" w:cs="Times New Roman"/>
          <w:sz w:val="24"/>
          <w:szCs w:val="24"/>
        </w:rPr>
        <w:t xml:space="preserve">. Por tanto, </w:t>
      </w:r>
      <w:r w:rsidRPr="00A517E5">
        <w:rPr>
          <w:rFonts w:ascii="Times New Roman" w:hAnsi="Times New Roman" w:cs="Times New Roman"/>
          <w:color w:val="FF0000"/>
          <w:sz w:val="24"/>
          <w:szCs w:val="24"/>
        </w:rPr>
        <w:t>el acuerdo TTIP contemplará las mismas garantías en materia de servicios públicos.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El objetivo de estas garantías es que los gobiernos de la UE sigan teniendo plena libertad a la hora de administrar los servicios públicos. Las negociaciones sobre el TTIP no tendrán las más mínima incidencia sobre esto.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1. </w:t>
      </w:r>
      <w:r w:rsidRPr="00A517E5">
        <w:rPr>
          <w:rFonts w:ascii="Times New Roman" w:hAnsi="Times New Roman" w:cs="Times New Roman"/>
          <w:color w:val="FF0000"/>
          <w:sz w:val="24"/>
          <w:szCs w:val="24"/>
        </w:rPr>
        <w:t>Monopolios: si lo desean, los gobiernos de la UE pueden organizar los servicios públicos de modo que los preste un solo proveedor. Es lo que en economía se llama monopolio</w:t>
      </w:r>
      <w:r w:rsidRPr="00E32ACB">
        <w:rPr>
          <w:rFonts w:ascii="Times New Roman" w:hAnsi="Times New Roman" w:cs="Times New Roman"/>
          <w:sz w:val="24"/>
          <w:szCs w:val="24"/>
        </w:rPr>
        <w:t>. Ese único proveedor puede ser:</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◦bien de titularidad pública, es decir, un monopolio público. Es el caso de la Sanidad Pública en España o  Reino Unido, por ejemplo.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 xml:space="preserve">bien una empresa privada con derecho exclusivo a prestar un determinado servicio </w:t>
      </w:r>
      <w:r w:rsidRPr="00E32ACB">
        <w:rPr>
          <w:rFonts w:ascii="Times New Roman" w:hAnsi="Times New Roman" w:cs="Times New Roman"/>
          <w:sz w:val="24"/>
          <w:szCs w:val="24"/>
        </w:rPr>
        <w:t>(es lo que pasa en otros países de la UE. Es el resultado de diferentes tradiciones de servicio público y de cómo se ha concebido el Estado de bienestar en cada país. La mayoría de los países combinan los dos sistemas).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ese monopolio puede operar a cualquier nivel: local, regional o nacional.</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24C29"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 xml:space="preserve">2. </w:t>
      </w:r>
      <w:r w:rsidRPr="00A517E5">
        <w:rPr>
          <w:rFonts w:ascii="Times New Roman" w:hAnsi="Times New Roman" w:cs="Times New Roman"/>
          <w:color w:val="FF0000"/>
          <w:sz w:val="24"/>
          <w:szCs w:val="24"/>
        </w:rPr>
        <w:t>Trato nacional y acceso al mercado: en el caso de los servicios de financiación pública en el campo de la sanidad, la asistencia social, la educación o el agua, los gobiernos de la UE no tienen obligación de abrir sus mercados ni de dar a las empresas o personas de fuera de la UE el mismo trato que a las de dentro</w:t>
      </w:r>
      <w:r w:rsidRPr="00A24C29">
        <w:rPr>
          <w:rFonts w:ascii="Times New Roman" w:hAnsi="Times New Roman" w:cs="Times New Roman"/>
          <w:color w:val="FF0000"/>
          <w:sz w:val="24"/>
          <w:szCs w:val="24"/>
        </w:rPr>
        <w:t>. Es más, los gobiernos pueden: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favorecer a las empresas europeas frente a las extranjeras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impedir que las empresas extranjeras presten o inviertan en estos servicios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revocar cualquier decisión previa que autorizara a empresas extranjeras a prestar o invertir en un determinado servicio.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 xml:space="preserve">3. </w:t>
      </w:r>
      <w:r w:rsidRPr="00A517E5">
        <w:rPr>
          <w:rFonts w:ascii="Times New Roman" w:hAnsi="Times New Roman" w:cs="Times New Roman"/>
          <w:color w:val="FF0000"/>
          <w:sz w:val="24"/>
          <w:szCs w:val="24"/>
        </w:rPr>
        <w:t>Reglamentación: los acuerdos comerciales de la UE dan libertad a los gobiernos para regular cualquier actividad que consideren servicio público. Por tanto, los países de la UE siguen siendo soberanos en este ámbito y un acuerdo comercial no les puede  forzar, por ejemplo, a privatizar un servicio.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517E5">
        <w:rPr>
          <w:rFonts w:ascii="Times New Roman" w:hAnsi="Times New Roman" w:cs="Times New Roman"/>
          <w:color w:val="FF0000"/>
          <w:sz w:val="24"/>
          <w:szCs w:val="24"/>
        </w:rPr>
        <w:t xml:space="preserve">En el caso de que algún gobierno haya decidido encargar la gestión de un servicio a una entidad privada </w:t>
      </w:r>
      <w:r w:rsidRPr="00A24C29">
        <w:rPr>
          <w:rFonts w:ascii="Times New Roman" w:hAnsi="Times New Roman" w:cs="Times New Roman"/>
          <w:color w:val="FF0000"/>
          <w:sz w:val="24"/>
          <w:szCs w:val="24"/>
        </w:rPr>
        <w:t>(decisión soberana totalmente independiente del TTIP o de cualquier otro acuerdo internacional) pueden hacerlo: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24C29"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del modo que prefieran</w:t>
      </w:r>
      <w:r w:rsidRPr="00A24C29">
        <w:rPr>
          <w:rFonts w:ascii="Times New Roman" w:hAnsi="Times New Roman" w:cs="Times New Roman"/>
          <w:color w:val="FF0000"/>
          <w:sz w:val="24"/>
          <w:szCs w:val="24"/>
        </w:rPr>
        <w:t>, por ejemplo: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al dar licencias a los proveedores para prestar un determinado servicio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al fijar las normas de calidad que deben cumplir los proveedores</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en cualquier nivel de la administración: nacional, regional o local.</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Solo hay una condición en el caso de aquellas empresas de fuera de la UE que el gobierno ya haya autorizado a operar en su territorio: se las debe tratar del mismo modo que a las europeas.</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¿Qué significa esto? Que si un gobierno decide de manera soberana que un servicio público puede ser prestado por un proveedor privado, tiene la potestad de incluirlo en un acuerdo comercial con un país tercero y, por tanto, abrirlo a empresas de ese país. Pero en ningún momento el acuerdo (en este caso, el TTIP) podrá forzarlo a dar este paso y privatizar. Eso seguirá siendo una decisión soberana.</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 xml:space="preserve">En otras palabras: el debate sobre si privatizar o no un servicio público es y seguirá siendo un tema que se decide a nivel nacional o local. La UE es consciente de que es un tema sensible y conviene pues que lo decida cada país de forma soberana.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¿CÓMO SE FORMULA TODO LO ANTERIOR EN UN ACUERDO COMERCIAL?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Como cualquier otra medida, los acuerdos comerciales pueden ser complejos. Juristas y negociadores emplean a veces tecnicismos que, con ser muy precisos, pueden no resultar fáciles de entender para el profano. Veamos a continuación: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•textos sobre servicios públicos entresacados de acuerdos comerciales vigentes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•su significado en palabras sencillas.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Texto en los acuerdos comerciales europeos: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Los servicios considerados servicios públicos a nivel nacional o local pueden estar sujetos a monopolio público o a derechos exclusivos otorgados a empresarios privados.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Explicado en palabras sencillas: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Los gobiernos de la UE son libres de decidir qué servicios consideran públicos.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Si quieren, pueden organizarlos de modo que los preste un solo proveedor: lo que en economía se llama monopolio. Ese proveedor único puede ser:</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•bien de propiedad pública (monopolio público, como en el caso de España)</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•bien una empresa privada que tiene derecho a prestar un determinado servicio (derechos exclusivo, como es el caso en otros países de la UE)</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A5C64"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Eso es el resultado de decisiones de los propios Estados. Así, en la UE, hay países como España donde la sanidad es un monopolio público y otros en los que proveedores privados prestan servicios.</w:t>
      </w:r>
    </w:p>
    <w:p w:rsidR="000369FD" w:rsidRPr="000A5C64"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517E5">
        <w:rPr>
          <w:rFonts w:ascii="Times New Roman" w:hAnsi="Times New Roman" w:cs="Times New Roman"/>
          <w:color w:val="FF0000"/>
          <w:sz w:val="24"/>
          <w:szCs w:val="24"/>
        </w:rPr>
        <w:lastRenderedPageBreak/>
        <w:t xml:space="preserve">Texto en los acuerdos comerciales europeos: </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 xml:space="preserve">La UE se reserva el derecho de adoptar o mantener cualquier medida con respecto a: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 xml:space="preserve">• </w:t>
      </w:r>
      <w:r w:rsidRPr="00A517E5">
        <w:rPr>
          <w:rFonts w:ascii="Times New Roman" w:hAnsi="Times New Roman" w:cs="Times New Roman"/>
          <w:color w:val="FF0000"/>
          <w:sz w:val="24"/>
          <w:szCs w:val="24"/>
        </w:rPr>
        <w:t xml:space="preserve">servicios de enseñanza de financiación pública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 xml:space="preserve">• </w:t>
      </w:r>
      <w:r w:rsidRPr="00A517E5">
        <w:rPr>
          <w:rFonts w:ascii="Times New Roman" w:hAnsi="Times New Roman" w:cs="Times New Roman"/>
          <w:color w:val="FF0000"/>
          <w:sz w:val="24"/>
          <w:szCs w:val="24"/>
        </w:rPr>
        <w:t xml:space="preserve">la prestación de todos los servicios sanitarios y sociales que reciban financiación pública o cualquier forma de apoyo estatal y por tanto no se consideren de financiación privada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 </w:t>
      </w:r>
      <w:r w:rsidRPr="00A517E5">
        <w:rPr>
          <w:rFonts w:ascii="Times New Roman" w:hAnsi="Times New Roman" w:cs="Times New Roman"/>
          <w:color w:val="FF0000"/>
          <w:sz w:val="24"/>
          <w:szCs w:val="24"/>
        </w:rPr>
        <w:t xml:space="preserve">servicios relativos a la recogida, depuración, distribución y gestión de agua para todos los tipos de usuarios.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 xml:space="preserve">Explicado en palabras sencillas: </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517E5">
        <w:rPr>
          <w:rFonts w:ascii="Times New Roman" w:hAnsi="Times New Roman" w:cs="Times New Roman"/>
          <w:color w:val="FF0000"/>
          <w:sz w:val="24"/>
          <w:szCs w:val="24"/>
        </w:rPr>
        <w:t>Sobre una serie de servicios públicos, más allá de la Sanidad, los gobiernos de la UE pueden tomar las medidas que crean oportunas</w:t>
      </w:r>
      <w:r w:rsidRPr="00E32ACB">
        <w:rPr>
          <w:rFonts w:ascii="Times New Roman" w:hAnsi="Times New Roman" w:cs="Times New Roman"/>
          <w:sz w:val="24"/>
          <w:szCs w:val="24"/>
        </w:rPr>
        <w:t xml:space="preserve">. Por ejemplo, </w:t>
      </w:r>
      <w:r w:rsidRPr="00A517E5">
        <w:rPr>
          <w:rFonts w:ascii="Times New Roman" w:hAnsi="Times New Roman" w:cs="Times New Roman"/>
          <w:color w:val="FF0000"/>
          <w:sz w:val="24"/>
          <w:szCs w:val="24"/>
        </w:rPr>
        <w:t>pueden: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financiarlos con fondos públicos o la ayuda del Estado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decidir quién puede operar o invertir en su mercado.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A517E5">
        <w:rPr>
          <w:rFonts w:ascii="Times New Roman" w:hAnsi="Times New Roman" w:cs="Times New Roman"/>
          <w:color w:val="FF0000"/>
          <w:sz w:val="24"/>
          <w:szCs w:val="24"/>
        </w:rPr>
        <w:t>Y pueden hacerlo aunque eso signifique tratar a sus inversores o proveedores de la UE de manera distinta que a los del país con el que la UE firma el acuerdo comercial</w:t>
      </w:r>
      <w:r w:rsidRPr="00E32ACB">
        <w:rPr>
          <w:rFonts w:ascii="Times New Roman" w:hAnsi="Times New Roman" w:cs="Times New Roman"/>
          <w:sz w:val="24"/>
          <w:szCs w:val="24"/>
        </w:rPr>
        <w:t xml:space="preserve">. </w:t>
      </w:r>
      <w:r w:rsidRPr="00A517E5">
        <w:rPr>
          <w:rFonts w:ascii="Times New Roman" w:hAnsi="Times New Roman" w:cs="Times New Roman"/>
          <w:color w:val="FF0000"/>
          <w:sz w:val="24"/>
          <w:szCs w:val="24"/>
        </w:rPr>
        <w:t>Estos servicios incluyen</w:t>
      </w:r>
      <w:r>
        <w:rPr>
          <w:rFonts w:ascii="Times New Roman" w:hAnsi="Times New Roman" w:cs="Times New Roman"/>
          <w:color w:val="FF0000"/>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la enseñanza financiada con dinero público: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◦centros de enseñanza primaria y secundaria</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◦escuelas superiores y universidades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servicios sanitarios y sociales financiados con dinero público:</w:t>
      </w: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◦hospitales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◦ambulancias</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◦servicios de instituciones residenciales de salud</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◦servicios de bienestar social para niños, ancianos y otros colectivos vulnerables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r w:rsidRPr="00E32ACB">
        <w:rPr>
          <w:rFonts w:ascii="Times New Roman" w:hAnsi="Times New Roman" w:cs="Times New Roman"/>
          <w:sz w:val="24"/>
          <w:szCs w:val="24"/>
        </w:rPr>
        <w:t>◦prestaciones para personas con discapacidad</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A517E5"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E32ACB">
        <w:rPr>
          <w:rFonts w:ascii="Times New Roman" w:hAnsi="Times New Roman" w:cs="Times New Roman"/>
          <w:sz w:val="24"/>
          <w:szCs w:val="24"/>
        </w:rPr>
        <w:t>•</w:t>
      </w:r>
      <w:r w:rsidRPr="00A517E5">
        <w:rPr>
          <w:rFonts w:ascii="Times New Roman" w:hAnsi="Times New Roman" w:cs="Times New Roman"/>
          <w:color w:val="FF0000"/>
          <w:sz w:val="24"/>
          <w:szCs w:val="24"/>
        </w:rPr>
        <w:t>suministro de agua.</w:t>
      </w:r>
    </w:p>
    <w:p w:rsidR="000369FD" w:rsidRPr="00E32ACB"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517E5">
        <w:rPr>
          <w:rFonts w:ascii="Times New Roman" w:hAnsi="Times New Roman" w:cs="Times New Roman"/>
          <w:color w:val="FF0000"/>
          <w:sz w:val="24"/>
          <w:szCs w:val="24"/>
        </w:rPr>
        <w:t>Además, si deciden subcontratar parte de los servicios públicos, los gobiernos pueden libremente elegir contratista, siempre y cuando cumplan las normas de contratación pública. Como es lógico, incluso pueden cambiar de opinión más adelante y revocar cualquier decisión de externalizar (o privatizar) servicios</w:t>
      </w:r>
      <w:r w:rsidRPr="00E32ACB">
        <w:rPr>
          <w:rFonts w:ascii="Times New Roman" w:hAnsi="Times New Roman" w:cs="Times New Roman"/>
          <w:sz w:val="24"/>
          <w:szCs w:val="24"/>
        </w:rPr>
        <w:t>. Estas cuestiones suelen tratarse en el capítulo dedicado a la contratación pública.</w:t>
      </w:r>
    </w:p>
    <w:p w:rsidR="000A5C64" w:rsidRDefault="000A5C64" w:rsidP="000369FD">
      <w:pPr>
        <w:pStyle w:val="notapie"/>
        <w:shd w:val="clear" w:color="auto" w:fill="FFFFFF"/>
        <w:jc w:val="both"/>
        <w:rPr>
          <w:rFonts w:eastAsiaTheme="minorHAnsi"/>
          <w:lang w:eastAsia="en-US"/>
        </w:rPr>
      </w:pPr>
    </w:p>
    <w:p w:rsidR="000369FD" w:rsidRPr="00D86BFF" w:rsidRDefault="000369FD" w:rsidP="000369FD">
      <w:pPr>
        <w:pStyle w:val="notapie"/>
        <w:shd w:val="clear" w:color="auto" w:fill="FFFFFF"/>
        <w:jc w:val="both"/>
        <w:rPr>
          <w:b/>
          <w:lang w:val="en-US"/>
        </w:rPr>
      </w:pPr>
      <w:r w:rsidRPr="00D86BFF">
        <w:rPr>
          <w:b/>
          <w:lang w:val="en-US"/>
        </w:rPr>
        <w:lastRenderedPageBreak/>
        <w:t xml:space="preserve">Global Economic Dynamics  </w:t>
      </w:r>
    </w:p>
    <w:p w:rsidR="000369FD" w:rsidRDefault="000369FD" w:rsidP="000369FD">
      <w:pPr>
        <w:pStyle w:val="notapie"/>
        <w:shd w:val="clear" w:color="auto" w:fill="FFFFFF"/>
        <w:jc w:val="both"/>
        <w:rPr>
          <w:b/>
          <w:lang w:val="en-US"/>
        </w:rPr>
      </w:pPr>
      <w:r w:rsidRPr="00D86BFF">
        <w:rPr>
          <w:b/>
          <w:lang w:val="en-US"/>
        </w:rPr>
        <w:t xml:space="preserve">New Perspectives on Globalization and Economics </w:t>
      </w:r>
      <w:r>
        <w:rPr>
          <w:b/>
          <w:lang w:val="en-US"/>
        </w:rPr>
        <w:t>(17/12/14)</w:t>
      </w:r>
    </w:p>
    <w:p w:rsidR="000369FD" w:rsidRDefault="000369FD" w:rsidP="000369FD">
      <w:pPr>
        <w:pStyle w:val="notapie"/>
        <w:shd w:val="clear" w:color="auto" w:fill="FFFFFF"/>
        <w:jc w:val="both"/>
        <w:rPr>
          <w:lang w:val="en-US"/>
        </w:rPr>
      </w:pPr>
      <w:r>
        <w:rPr>
          <w:lang w:val="en-US"/>
        </w:rPr>
        <w:t xml:space="preserve">(A project of </w:t>
      </w:r>
      <w:r w:rsidRPr="00A24C29">
        <w:rPr>
          <w:b/>
          <w:lang w:val="en-US"/>
        </w:rPr>
        <w:t>Bertelsmann Stiftung</w:t>
      </w:r>
      <w:r>
        <w:rPr>
          <w:lang w:val="en-US"/>
        </w:rPr>
        <w:t>)</w:t>
      </w:r>
    </w:p>
    <w:p w:rsidR="000369FD" w:rsidRDefault="000369FD" w:rsidP="000369FD">
      <w:pPr>
        <w:pStyle w:val="notapie"/>
        <w:shd w:val="clear" w:color="auto" w:fill="FFFFFF"/>
        <w:jc w:val="both"/>
        <w:rPr>
          <w:lang w:val="en-US"/>
        </w:rPr>
      </w:pPr>
    </w:p>
    <w:p w:rsidR="000369FD" w:rsidRPr="00D86BFF" w:rsidRDefault="000369FD" w:rsidP="000369FD">
      <w:pPr>
        <w:pStyle w:val="notapie"/>
        <w:shd w:val="clear" w:color="auto" w:fill="FFFFFF"/>
        <w:jc w:val="both"/>
        <w:rPr>
          <w:b/>
          <w:lang w:val="en-US"/>
        </w:rPr>
      </w:pPr>
      <w:r w:rsidRPr="00D86BFF">
        <w:rPr>
          <w:b/>
          <w:lang w:val="en-US"/>
        </w:rPr>
        <w:t>Part I: Why TTIP is about more than “Just Europe and The U.S.”</w:t>
      </w:r>
    </w:p>
    <w:p w:rsidR="000369FD" w:rsidRPr="00D86BFF" w:rsidRDefault="000369FD" w:rsidP="000369FD">
      <w:pPr>
        <w:pStyle w:val="notapie"/>
        <w:shd w:val="clear" w:color="auto" w:fill="FFFFFF"/>
        <w:jc w:val="both"/>
        <w:rPr>
          <w:lang w:val="en-US"/>
        </w:rPr>
      </w:pPr>
    </w:p>
    <w:p w:rsidR="000369FD" w:rsidRPr="00D86BFF" w:rsidRDefault="000369FD" w:rsidP="000369FD">
      <w:pPr>
        <w:pStyle w:val="NormalWeb"/>
        <w:jc w:val="both"/>
        <w:rPr>
          <w:rFonts w:ascii="Lato" w:hAnsi="Lato" w:cs="Arial"/>
          <w:lang w:val="en-US"/>
        </w:rPr>
      </w:pPr>
      <w:r w:rsidRPr="00D86BFF">
        <w:rPr>
          <w:rFonts w:ascii="Lato" w:hAnsi="Lato" w:cs="Arial"/>
          <w:lang w:val="en-US"/>
        </w:rPr>
        <w:t xml:space="preserve">For “the most contested acronym in Europe”, </w:t>
      </w:r>
      <w:r w:rsidRPr="00A517E5">
        <w:rPr>
          <w:rFonts w:ascii="Lato" w:hAnsi="Lato" w:cs="Arial"/>
          <w:color w:val="FF0000"/>
          <w:lang w:val="en-US"/>
        </w:rPr>
        <w:t>2015 could be a chance for a fresh start for TTIP.</w:t>
      </w:r>
      <w:r w:rsidRPr="00D86BFF">
        <w:rPr>
          <w:rFonts w:ascii="Lato" w:hAnsi="Lato" w:cs="Arial"/>
          <w:lang w:val="en-US"/>
        </w:rPr>
        <w:t xml:space="preserve"> At least new EU Trade Commissioner Cecilia Malmström hopes so. Aware that the fierce controversies around TTIP risk running the whole deal into the ground, she has announced a greater emphasis on transparency communication around the negotiations in the New Year. Such tactics would represent a most-welcomed effort to counter what US ambassador to the UK Matthew Barzun has described as “scaremongering” and “myth”.</w:t>
      </w:r>
    </w:p>
    <w:p w:rsidR="000369FD" w:rsidRPr="00D86BFF" w:rsidRDefault="000369FD" w:rsidP="000369FD">
      <w:pPr>
        <w:pStyle w:val="NormalWeb"/>
        <w:jc w:val="both"/>
        <w:rPr>
          <w:rFonts w:ascii="Lato" w:hAnsi="Lato" w:cs="Arial"/>
          <w:lang w:val="en-US"/>
        </w:rPr>
      </w:pPr>
      <w:r w:rsidRPr="00D86BFF">
        <w:rPr>
          <w:rFonts w:ascii="Lato" w:hAnsi="Lato" w:cs="Arial"/>
          <w:lang w:val="en-US"/>
        </w:rPr>
        <w:t> </w:t>
      </w:r>
    </w:p>
    <w:p w:rsidR="000369FD" w:rsidRDefault="000369FD" w:rsidP="000369FD">
      <w:pPr>
        <w:pStyle w:val="NormalWeb"/>
        <w:jc w:val="both"/>
        <w:rPr>
          <w:rFonts w:ascii="Lato" w:hAnsi="Lato" w:cs="Arial"/>
          <w:lang w:val="en-US"/>
        </w:rPr>
      </w:pPr>
      <w:r w:rsidRPr="00D86BFF">
        <w:rPr>
          <w:rFonts w:ascii="Lato" w:hAnsi="Lato" w:cs="Arial"/>
          <w:lang w:val="en-US"/>
        </w:rPr>
        <w:t>However, to lift the current gridlock around TTIP, proponents must do far more than simply assuaging European fears on food safety and environmental standards. If the Commission truly hopes to give TTIP a fresh start, it must demonstrate that there is more to TTIP than Europe and the United States. In this two-post series, we will see that the real stakes of a transatlantic partnership are not regional but global; they are historic rather than anecdotic.</w:t>
      </w:r>
    </w:p>
    <w:p w:rsidR="000369FD" w:rsidRDefault="000369FD" w:rsidP="000369FD">
      <w:pPr>
        <w:pStyle w:val="Ttulo4"/>
        <w:jc w:val="both"/>
        <w:rPr>
          <w:rFonts w:cs="Arial"/>
          <w:lang w:val="en-US"/>
        </w:rPr>
      </w:pPr>
      <w:r w:rsidRPr="00D86BFF">
        <w:rPr>
          <w:rFonts w:cs="Arial"/>
          <w:lang w:val="en-US"/>
        </w:rPr>
        <w:t>TTIP Could Drive Trade Liberalization Globally</w:t>
      </w:r>
    </w:p>
    <w:p w:rsidR="000369FD" w:rsidRPr="00172F72" w:rsidRDefault="000369FD" w:rsidP="000369FD">
      <w:pPr>
        <w:pStyle w:val="Ttulo4"/>
        <w:jc w:val="both"/>
        <w:rPr>
          <w:rFonts w:ascii="inherit" w:hAnsi="inherit" w:cs="Arial"/>
          <w:lang w:val="en-US"/>
        </w:rPr>
      </w:pPr>
      <w:r w:rsidRPr="00D86BFF">
        <w:rPr>
          <w:rFonts w:ascii="Lato" w:hAnsi="Lato" w:cs="Arial"/>
          <w:lang w:val="en-US"/>
        </w:rPr>
        <w:t>Most of the debate so far has focused on TTIP’s impact on European growth, but this may be missing the point. If signed into law, the deal’s effect would spread far beyond the European and American economies. In fact, TTIP has the potential to transform current patterns of trade, acting as a springboard for deeper global trade liberalization. To understand how, we must get a closer look at one side effect of free trade agreements: trade diversion.</w:t>
      </w:r>
    </w:p>
    <w:p w:rsidR="000369FD" w:rsidRDefault="000369FD" w:rsidP="000369FD">
      <w:pPr>
        <w:pStyle w:val="NormalWeb"/>
        <w:jc w:val="both"/>
        <w:rPr>
          <w:rFonts w:ascii="Lato" w:hAnsi="Lato" w:cs="Arial"/>
          <w:lang w:val="en-US"/>
        </w:rPr>
      </w:pPr>
      <w:r w:rsidRPr="00D86BFF">
        <w:rPr>
          <w:rFonts w:ascii="Lato" w:hAnsi="Lato" w:cs="Arial"/>
          <w:lang w:val="en-US"/>
        </w:rPr>
        <w:t>If TTIP would intensify exchanges between Europe and the United States, lowering trade barriers across the Atlantic could also imply some economic losses for third party countries not privy to the deal. In other words, if a certain parties (in this case, the US and EU) tear down trade barriers between them but maintain tariff and non-tariff barriers against countries outside the agreement, this would promote trade (and welfare gains) for the partners. But at the same time, it would divert trade away from with third parties. For instance, a German SME currently importing from Russia could decide to start trading with an American company instead because the removal of trade barriers would make the American firm more competitive than the Russian firm that must still pay tariffs.</w:t>
      </w:r>
    </w:p>
    <w:p w:rsidR="000369FD" w:rsidRPr="00D86BFF" w:rsidRDefault="000369FD" w:rsidP="000369FD">
      <w:pPr>
        <w:pStyle w:val="NormalWeb"/>
        <w:jc w:val="both"/>
        <w:rPr>
          <w:rFonts w:ascii="Lato" w:hAnsi="Lato" w:cs="Arial"/>
          <w:lang w:val="en-US"/>
        </w:rPr>
      </w:pPr>
    </w:p>
    <w:p w:rsidR="000369FD" w:rsidRPr="00D86BFF" w:rsidRDefault="000369FD" w:rsidP="000369FD">
      <w:pPr>
        <w:pStyle w:val="NormalWeb"/>
        <w:jc w:val="both"/>
        <w:rPr>
          <w:rFonts w:ascii="Lato" w:hAnsi="Lato" w:cs="Arial"/>
          <w:lang w:val="en-US"/>
        </w:rPr>
      </w:pPr>
      <w:r w:rsidRPr="00D86BFF">
        <w:rPr>
          <w:rFonts w:ascii="Lato" w:hAnsi="Lato" w:cs="Arial"/>
          <w:lang w:val="en-US"/>
        </w:rPr>
        <w:t>As far as TTIP is concerned, such trade diversion effects can be tentatively measured. A study we conducted in 2013 quantified this potential trade diversion, concluding that: “liberalization of trade between the EU and USA leads to trade creation between the partners but to evident trade diversion in trade with third countries. With pure tariff elimination, the countries of West Africa, which traditionally trade a lot wi</w:t>
      </w:r>
      <w:r w:rsidR="00FE1124">
        <w:rPr>
          <w:rFonts w:ascii="Lato" w:hAnsi="Lato" w:cs="Arial"/>
          <w:lang w:val="en-US"/>
        </w:rPr>
        <w:t>th Europe, lose up to about 7%”.</w:t>
      </w:r>
    </w:p>
    <w:p w:rsidR="000369FD" w:rsidRPr="00D86BFF" w:rsidRDefault="000369FD" w:rsidP="000369FD">
      <w:pPr>
        <w:pStyle w:val="Ttulo1"/>
        <w:spacing w:line="240" w:lineRule="auto"/>
        <w:jc w:val="both"/>
        <w:rPr>
          <w:rFonts w:ascii="inherit" w:hAnsi="inherit" w:cs="Arial"/>
          <w:color w:val="auto"/>
          <w:lang w:val="en-US"/>
        </w:rPr>
      </w:pPr>
      <w:r w:rsidRPr="00D86BFF">
        <w:rPr>
          <w:rFonts w:cs="Arial"/>
          <w:noProof/>
          <w:color w:val="auto"/>
          <w:lang w:eastAsia="es-ES"/>
        </w:rPr>
        <w:lastRenderedPageBreak/>
        <w:drawing>
          <wp:inline distT="0" distB="0" distL="0" distR="0" wp14:anchorId="00528CF6" wp14:editId="79F664D3">
            <wp:extent cx="5397500" cy="3644900"/>
            <wp:effectExtent l="0" t="0" r="0" b="0"/>
            <wp:docPr id="9" name="Imagen 9" descr="Illustration showing the change in global real per capita income ">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llustration showing the change in global real per capita income ">
                      <a:hlinkClick r:id="rId9" tgtFrame="&quot;_blank&quo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7500" cy="3644900"/>
                    </a:xfrm>
                    <a:prstGeom prst="rect">
                      <a:avLst/>
                    </a:prstGeom>
                    <a:noFill/>
                    <a:ln>
                      <a:noFill/>
                    </a:ln>
                  </pic:spPr>
                </pic:pic>
              </a:graphicData>
            </a:graphic>
          </wp:inline>
        </w:drawing>
      </w:r>
    </w:p>
    <w:p w:rsidR="000369FD" w:rsidRPr="00D86BFF" w:rsidRDefault="000369FD" w:rsidP="000369FD">
      <w:pPr>
        <w:pStyle w:val="Ttulo4"/>
        <w:jc w:val="both"/>
        <w:rPr>
          <w:rFonts w:cs="Arial"/>
          <w:lang w:val="en-US"/>
        </w:rPr>
      </w:pPr>
      <w:r w:rsidRPr="00D86BFF">
        <w:rPr>
          <w:rFonts w:cs="Arial"/>
          <w:lang w:val="en-US"/>
        </w:rPr>
        <w:t>TTIP Would Cause a Chain Reaction in Trade Negotiations</w:t>
      </w:r>
    </w:p>
    <w:p w:rsidR="000369FD" w:rsidRDefault="000369FD" w:rsidP="000369FD">
      <w:pPr>
        <w:pStyle w:val="NormalWeb"/>
        <w:jc w:val="both"/>
        <w:rPr>
          <w:rFonts w:ascii="Lato" w:hAnsi="Lato" w:cs="Arial"/>
          <w:lang w:val="en-US"/>
        </w:rPr>
      </w:pPr>
      <w:r w:rsidRPr="00D86BFF">
        <w:rPr>
          <w:rFonts w:ascii="Lato" w:hAnsi="Lato" w:cs="Arial"/>
          <w:lang w:val="en-US"/>
        </w:rPr>
        <w:t>Traditionally, trade diversion is mentioned to warn negotiators about the damaging effect of FTAs on third-party weak economies. Such concerns clearly apply in the case of TTIP. But apart from this detrimental impact, how could trade diversion trigger a free trade spillover? Well, with the WTO’s Doha round still frozen, that the threat of potential trade diversion could incentive third-party countries to revive negotiations around global trade liberalization. After all, Europe and the United States together account for 50% of world output. If India, Russia and other global economies do not want to see their trade revenues plummet, they will have to lower trade barriers with the Atlantic partners. The precise extent of this chain-reaction is impossible to measure, but considering how WTO talks remain at a standstill, even a small spillover would be an improvement.</w:t>
      </w:r>
    </w:p>
    <w:p w:rsidR="000369FD" w:rsidRPr="00D86BFF" w:rsidRDefault="000369FD" w:rsidP="000369FD">
      <w:pPr>
        <w:pStyle w:val="NormalWeb"/>
        <w:jc w:val="both"/>
        <w:rPr>
          <w:rFonts w:ascii="Lato" w:hAnsi="Lato" w:cs="Arial"/>
          <w:lang w:val="en-US"/>
        </w:rPr>
      </w:pPr>
    </w:p>
    <w:p w:rsidR="000369FD" w:rsidRDefault="000369FD" w:rsidP="000369FD">
      <w:pPr>
        <w:pStyle w:val="NormalWeb"/>
        <w:jc w:val="both"/>
        <w:rPr>
          <w:rFonts w:ascii="Lato" w:hAnsi="Lato" w:cs="Arial"/>
          <w:lang w:val="en-US"/>
        </w:rPr>
      </w:pPr>
      <w:r w:rsidRPr="00D86BFF">
        <w:rPr>
          <w:rFonts w:ascii="Lato" w:hAnsi="Lato" w:cs="Arial"/>
          <w:lang w:val="en-US"/>
        </w:rPr>
        <w:t>Of course, this is not to say that discussing the potential benefits and drawbacks of TTIP for the European economy is a futile dispute. The debate is crucial and, a month ago, we interviewed experts and EU commission officials to get a better understanding on this matter. Their insights were diverse, sometimes controversial, and you should definitely check out their comments in the video below.</w:t>
      </w:r>
    </w:p>
    <w:p w:rsidR="000369FD" w:rsidRPr="00D86BFF" w:rsidRDefault="000369FD" w:rsidP="000369FD">
      <w:pPr>
        <w:pStyle w:val="NormalWeb"/>
        <w:jc w:val="both"/>
        <w:rPr>
          <w:rFonts w:ascii="Lato" w:hAnsi="Lato" w:cs="Arial"/>
          <w:lang w:val="en-US"/>
        </w:rPr>
      </w:pPr>
    </w:p>
    <w:p w:rsidR="000369FD" w:rsidRDefault="000369FD" w:rsidP="000369FD">
      <w:pPr>
        <w:pStyle w:val="NormalWeb"/>
        <w:jc w:val="both"/>
        <w:rPr>
          <w:rFonts w:ascii="Lato" w:hAnsi="Lato" w:cs="Arial"/>
          <w:lang w:val="en-US"/>
        </w:rPr>
      </w:pPr>
      <w:r w:rsidRPr="00D86BFF">
        <w:rPr>
          <w:rFonts w:ascii="Lato" w:hAnsi="Lato" w:cs="Arial"/>
          <w:lang w:val="en-US"/>
        </w:rPr>
        <w:t>Still, a broader picture is just as important. More about this on Thursday!</w:t>
      </w:r>
    </w:p>
    <w:p w:rsidR="000369FD" w:rsidRPr="00D86BFF" w:rsidRDefault="000369FD" w:rsidP="000369FD">
      <w:pPr>
        <w:pStyle w:val="Ttulo2"/>
        <w:rPr>
          <w:rFonts w:ascii="Times New Roman" w:hAnsi="Times New Roman" w:cs="Times New Roman"/>
          <w:color w:val="auto"/>
          <w:sz w:val="24"/>
          <w:szCs w:val="24"/>
          <w:lang w:val="en-US"/>
        </w:rPr>
      </w:pPr>
      <w:r w:rsidRPr="00D86BFF">
        <w:rPr>
          <w:rStyle w:val="Textoennegrita"/>
          <w:rFonts w:ascii="Times New Roman" w:hAnsi="Times New Roman" w:cs="Times New Roman"/>
          <w:color w:val="auto"/>
          <w:sz w:val="24"/>
          <w:szCs w:val="24"/>
          <w:lang w:val="en-US"/>
        </w:rPr>
        <w:t>Part II: Why TTIP is about more than “Just Europe and The U.S.”</w:t>
      </w:r>
    </w:p>
    <w:p w:rsidR="000369FD" w:rsidRDefault="000369FD" w:rsidP="000369FD">
      <w:pPr>
        <w:pStyle w:val="NormalWeb"/>
        <w:rPr>
          <w:lang w:val="en-US"/>
        </w:rPr>
      </w:pPr>
    </w:p>
    <w:p w:rsidR="000369FD" w:rsidRDefault="000369FD" w:rsidP="000369FD">
      <w:pPr>
        <w:pStyle w:val="NormalWeb"/>
        <w:jc w:val="both"/>
        <w:rPr>
          <w:lang w:val="en-US"/>
        </w:rPr>
      </w:pPr>
      <w:r w:rsidRPr="00D86BFF">
        <w:rPr>
          <w:lang w:val="en-US"/>
        </w:rPr>
        <w:t>This is the second part of our blog series exploring the global stakes behind TTIP. The potential “free trade spillover” we addressed in our previous blog post on Wednesday is one of them, but there’s more to it.</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p>
    <w:p w:rsidR="000369FD" w:rsidRPr="00D86BFF" w:rsidRDefault="000369FD" w:rsidP="000369FD">
      <w:pPr>
        <w:pStyle w:val="Ttulo4"/>
        <w:jc w:val="both"/>
        <w:rPr>
          <w:lang w:val="en-US"/>
        </w:rPr>
      </w:pPr>
      <w:r>
        <w:rPr>
          <w:lang w:val="en-US"/>
        </w:rPr>
        <w:lastRenderedPageBreak/>
        <w:t>Life Goes On -</w:t>
      </w:r>
      <w:r w:rsidRPr="00D86BFF">
        <w:rPr>
          <w:lang w:val="en-US"/>
        </w:rPr>
        <w:t xml:space="preserve"> Global Trade Will Grow With or Without TTIP</w:t>
      </w:r>
    </w:p>
    <w:p w:rsidR="000369FD" w:rsidRPr="00D86BFF" w:rsidRDefault="00BA209C" w:rsidP="000369FD">
      <w:pPr>
        <w:pStyle w:val="NormalWeb"/>
        <w:jc w:val="both"/>
        <w:rPr>
          <w:lang w:val="en-US"/>
        </w:rPr>
      </w:pPr>
      <w:hyperlink r:id="rId11" w:history="1">
        <w:r w:rsidR="000369FD" w:rsidRPr="000A5C64">
          <w:rPr>
            <w:rStyle w:val="Hipervnculo"/>
            <w:rFonts w:eastAsiaTheme="majorEastAsia"/>
            <w:color w:val="auto"/>
            <w:u w:val="none"/>
            <w:lang w:val="en-US"/>
          </w:rPr>
          <w:t>In our first post</w:t>
        </w:r>
      </w:hyperlink>
      <w:r w:rsidR="000369FD" w:rsidRPr="000A5C64">
        <w:rPr>
          <w:lang w:val="en-US"/>
        </w:rPr>
        <w:t xml:space="preserve">, </w:t>
      </w:r>
      <w:r w:rsidR="000369FD" w:rsidRPr="00D86BFF">
        <w:rPr>
          <w:lang w:val="en-US"/>
        </w:rPr>
        <w:t>we did our best to answer a fairly broad question: “What effect would TTIP have on the structure of our global trade economy?” Now, how about reversing the perspective to ask “How would different patterns and structures of global trade impact TTIP’s benefits for Europe and the United States?” Using different examples makes the answer rather intuitive. For instance, let’s assume that TTIP gets rejected but, in the meantime, the US Congress signs into law the Trans-Pacific Partnership, a broad agreement between the United States and, among others, Singapore, Vietnam and Australia.</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r w:rsidRPr="00D86BFF">
        <w:rPr>
          <w:lang w:val="en-US"/>
        </w:rPr>
        <w:t>In that case, because of trade diversion, the opportunity costs of TPP, but no TTIP would be great for Europe. However, if both TPP and TTIP fall dead, then the costs of rejecting a partnership with the United States will be minimum.</w:t>
      </w:r>
    </w:p>
    <w:p w:rsidR="000369FD" w:rsidRDefault="000369FD" w:rsidP="000369FD">
      <w:pPr>
        <w:pStyle w:val="NormalWeb"/>
        <w:jc w:val="both"/>
        <w:rPr>
          <w:lang w:val="en-US"/>
        </w:rPr>
      </w:pPr>
    </w:p>
    <w:p w:rsidR="000369FD" w:rsidRDefault="000369FD" w:rsidP="000369FD">
      <w:pPr>
        <w:pStyle w:val="NormalWeb"/>
        <w:jc w:val="both"/>
        <w:rPr>
          <w:lang w:val="en-US"/>
        </w:rPr>
      </w:pPr>
      <w:r w:rsidRPr="00D86BFF">
        <w:rPr>
          <w:lang w:val="en-US"/>
        </w:rPr>
        <w:t>TTIP supporters and opponents alike should thus always remember that transatlantic trade does not take place in a vacuum (if needed, a quick look at our visualization of all the FTAs currently in action should convince you). Trade patterns among and across continents are rapidly changing and TTIP’s effect will depend on the future shape of the global economy. The Global Economic Dynamics team is exploring this approach at the moment and we will get some results of different mega-regional impact scenarios quite soon: stay tuned for more!</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p>
    <w:p w:rsidR="000369FD" w:rsidRPr="00D86BFF" w:rsidRDefault="000369FD" w:rsidP="000369FD">
      <w:pPr>
        <w:jc w:val="both"/>
        <w:rPr>
          <w:rFonts w:ascii="Times New Roman" w:hAnsi="Times New Roman" w:cs="Times New Roman"/>
          <w:sz w:val="24"/>
          <w:szCs w:val="24"/>
          <w:lang w:val="en-US"/>
        </w:rPr>
      </w:pPr>
      <w:r w:rsidRPr="00D86BFF">
        <w:rPr>
          <w:rFonts w:ascii="Times New Roman" w:hAnsi="Times New Roman" w:cs="Times New Roman"/>
          <w:noProof/>
          <w:sz w:val="24"/>
          <w:szCs w:val="24"/>
          <w:lang w:eastAsia="es-ES"/>
        </w:rPr>
        <w:drawing>
          <wp:inline distT="0" distB="0" distL="0" distR="0" wp14:anchorId="7C86D9FA" wp14:editId="5C6546A0">
            <wp:extent cx="5715000" cy="2965450"/>
            <wp:effectExtent l="0" t="0" r="0" b="6350"/>
            <wp:docPr id="10" name="Imagen 10" descr="Interactive Graph Showing the Evolution of Trade Agreements">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nteractive Graph Showing the Evolution of Trade Agreements">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15000" cy="2965450"/>
                    </a:xfrm>
                    <a:prstGeom prst="rect">
                      <a:avLst/>
                    </a:prstGeom>
                    <a:noFill/>
                    <a:ln>
                      <a:noFill/>
                    </a:ln>
                  </pic:spPr>
                </pic:pic>
              </a:graphicData>
            </a:graphic>
          </wp:inline>
        </w:drawing>
      </w:r>
    </w:p>
    <w:p w:rsidR="000369FD" w:rsidRPr="00D86BFF" w:rsidRDefault="000369FD" w:rsidP="000369FD">
      <w:pPr>
        <w:pStyle w:val="Ttulo4"/>
        <w:jc w:val="both"/>
        <w:rPr>
          <w:lang w:val="en-US"/>
        </w:rPr>
      </w:pPr>
      <w:r w:rsidRPr="00D86BFF">
        <w:rPr>
          <w:lang w:val="en-US"/>
        </w:rPr>
        <w:t>The Once in a Century Chance</w:t>
      </w:r>
    </w:p>
    <w:p w:rsidR="000369FD" w:rsidRPr="00D86BFF" w:rsidRDefault="000369FD" w:rsidP="000369FD">
      <w:pPr>
        <w:pStyle w:val="NormalWeb"/>
        <w:jc w:val="both"/>
        <w:rPr>
          <w:lang w:val="en-US"/>
        </w:rPr>
      </w:pPr>
      <w:r w:rsidRPr="00D86BFF">
        <w:rPr>
          <w:lang w:val="en-US"/>
        </w:rPr>
        <w:t xml:space="preserve">This “trade scenario” argument, however, is merely an extension of our previous blog post on the impact of trade diversion and it’s now time to go further. TTIP is not only about more than the European and American economies, it is also about more than trade liberalization. The deal is a once-in-a-century chance to promote high-end economic standards across the globe. As Elmar Brok, Chairman of the European Parliament Committee on Foreign Affairs, told us during our Rome conference, “The European </w:t>
      </w:r>
      <w:r w:rsidRPr="00D86BFF">
        <w:rPr>
          <w:lang w:val="en-US"/>
        </w:rPr>
        <w:lastRenderedPageBreak/>
        <w:t>Union and the United States together can put standards which are fair, which are progressive, for better economic develop</w:t>
      </w:r>
      <w:r>
        <w:rPr>
          <w:lang w:val="en-US"/>
        </w:rPr>
        <w:t>ment but also social standards”.</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r w:rsidRPr="00D86BFF">
        <w:rPr>
          <w:lang w:val="en-US"/>
        </w:rPr>
        <w:t>Such standards could apply to food safety, environmental protection or intellectual property, giving us the opportunity to set rules while we still have the means to do so. Today, Europe and the United States account for 45% of world GDP. Twenty years ago, our combined production was nearly two-thirds. In 2050, it should be about 30%. If this increasing spread of economic power around the world should be welcomed as a wealth rebalancing, it also signals that, if the Atlantic partners wish to weigh on such global negotiations, now is a good time to act.</w:t>
      </w:r>
    </w:p>
    <w:p w:rsidR="000369FD" w:rsidRPr="00D86BFF" w:rsidRDefault="000369FD" w:rsidP="000369FD">
      <w:pPr>
        <w:pStyle w:val="Ttulo4"/>
        <w:jc w:val="both"/>
        <w:rPr>
          <w:lang w:val="en-US"/>
        </w:rPr>
      </w:pPr>
      <w:r w:rsidRPr="00D86BFF">
        <w:rPr>
          <w:lang w:val="en-US"/>
        </w:rPr>
        <w:t>The Contentious “Right To Sue” provision might not be so bad</w:t>
      </w:r>
    </w:p>
    <w:p w:rsidR="000369FD" w:rsidRPr="00D86BFF" w:rsidRDefault="000369FD" w:rsidP="000369FD">
      <w:pPr>
        <w:pStyle w:val="NormalWeb"/>
        <w:jc w:val="both"/>
        <w:rPr>
          <w:lang w:val="en-US"/>
        </w:rPr>
      </w:pPr>
      <w:r w:rsidRPr="00D86BFF">
        <w:rPr>
          <w:lang w:val="en-US"/>
        </w:rPr>
        <w:t>Among other things, this perspective sheds a new light on the much debated right-to-sue provision. Surely, there is room for improvement and a lot has already been done in the trade deal Europe concluded with Canada earlier this year. But the stakes of including an investor protection chapter in TTIP go beyond trade relations between Europe and the United States. First of all, if both countries hope to persuade China to adopt proper investor protection clauses in future trade deals, they better agree on one for themselves. Doing otherwise would make convincing China to embrace ISDS mechanisms tricky, at best.</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r w:rsidRPr="00D86BFF">
        <w:rPr>
          <w:lang w:val="en-US"/>
        </w:rPr>
        <w:t>On the other hand, although right-to-sue mechanisms are in many ways insufficient and sometimes inadequate for developed economies, they are far from obsolete and TTIP would offer a good occasion to set better standards for future ISDS provisions. Now is the chance to substantially improve this “transition instrument” so it that it can protect investors efficiently from state arbitrariness while retaining governments’ sovereignty when setting progressive and forward-looking legislation.</w:t>
      </w:r>
    </w:p>
    <w:p w:rsidR="000369FD" w:rsidRDefault="000369FD" w:rsidP="000369FD">
      <w:pPr>
        <w:pStyle w:val="NormalWeb"/>
        <w:jc w:val="both"/>
        <w:rPr>
          <w:lang w:val="en-US"/>
        </w:rPr>
      </w:pPr>
    </w:p>
    <w:p w:rsidR="000369FD" w:rsidRPr="00D86BFF" w:rsidRDefault="000369FD" w:rsidP="000369FD">
      <w:pPr>
        <w:pStyle w:val="NormalWeb"/>
        <w:jc w:val="both"/>
        <w:rPr>
          <w:lang w:val="en-US"/>
        </w:rPr>
      </w:pPr>
      <w:r w:rsidRPr="00D86BFF">
        <w:rPr>
          <w:lang w:val="en-US"/>
        </w:rPr>
        <w:t xml:space="preserve">Both Europe and the United States should nonetheless be careful if they decide to use TTIP as a way to set global standards. As Marietje Schaake, vice-chair of the Delegation for relations with the United States, told the GED Team a month ago, “If we join our economies in the sense of setting standards, it is not so much about forcing others but rather in terms of seeking a leadership position in setting standards according to the values that we cherish. And if we are the first, and we do it for the largest markets … then we </w:t>
      </w:r>
      <w:r>
        <w:rPr>
          <w:lang w:val="en-US"/>
        </w:rPr>
        <w:t>can lead in the global economy”.</w:t>
      </w:r>
    </w:p>
    <w:p w:rsidR="000369FD" w:rsidRDefault="000369FD" w:rsidP="000369FD">
      <w:pPr>
        <w:pStyle w:val="NormalWeb"/>
        <w:jc w:val="both"/>
        <w:rPr>
          <w:lang w:val="en-US"/>
        </w:rPr>
      </w:pPr>
    </w:p>
    <w:p w:rsidR="000369FD" w:rsidRDefault="000369FD" w:rsidP="000369FD">
      <w:pPr>
        <w:pStyle w:val="NormalWeb"/>
        <w:jc w:val="both"/>
        <w:rPr>
          <w:lang w:val="en-US"/>
        </w:rPr>
      </w:pPr>
      <w:r w:rsidRPr="00D86BFF">
        <w:rPr>
          <w:lang w:val="en-US"/>
        </w:rPr>
        <w:t>Looking at current events through a very narrow pipe is not just irritating for economists. It’s an issue for everyone, on both sides of the debate. At least for those eager to get this right. If a lack of transparency around TTIP’s negotiations indeed makes little sense in our connected democracies, a lack of foresight in a globalized world is just as problematic.</w:t>
      </w: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tapie"/>
        <w:shd w:val="clear" w:color="auto" w:fill="FFFFFF"/>
        <w:jc w:val="both"/>
        <w:rPr>
          <w:b/>
          <w:lang w:val="en-US"/>
        </w:rPr>
      </w:pPr>
      <w:r>
        <w:rPr>
          <w:b/>
          <w:lang w:val="en-US"/>
        </w:rPr>
        <w:lastRenderedPageBreak/>
        <w:t xml:space="preserve">Who profits most from </w:t>
      </w:r>
      <w:r w:rsidRPr="00965A91">
        <w:rPr>
          <w:b/>
          <w:lang w:val="en-US"/>
        </w:rPr>
        <w:t>globalization?</w:t>
      </w:r>
    </w:p>
    <w:p w:rsidR="000369FD" w:rsidRDefault="000369FD" w:rsidP="000369FD">
      <w:pPr>
        <w:pStyle w:val="notapie"/>
        <w:shd w:val="clear" w:color="auto" w:fill="FFFFFF"/>
        <w:jc w:val="both"/>
        <w:rPr>
          <w:b/>
          <w:lang w:val="en-US"/>
        </w:rPr>
      </w:pPr>
    </w:p>
    <w:p w:rsidR="000369FD" w:rsidRDefault="000369FD" w:rsidP="000369FD">
      <w:pPr>
        <w:pStyle w:val="notapie"/>
        <w:shd w:val="clear" w:color="auto" w:fill="FFFFFF"/>
        <w:jc w:val="both"/>
        <w:rPr>
          <w:b/>
          <w:lang w:val="en-US"/>
        </w:rPr>
      </w:pPr>
      <w:r w:rsidRPr="00965A91">
        <w:rPr>
          <w:b/>
          <w:lang w:val="en-US"/>
        </w:rPr>
        <w:t>Future Socia</w:t>
      </w:r>
      <w:r>
        <w:rPr>
          <w:b/>
          <w:lang w:val="en-US"/>
        </w:rPr>
        <w:t xml:space="preserve">l Market Economy Policy Brief # </w:t>
      </w:r>
      <w:r w:rsidRPr="00965A91">
        <w:rPr>
          <w:b/>
          <w:lang w:val="en-US"/>
        </w:rPr>
        <w:t>2014/01</w:t>
      </w:r>
    </w:p>
    <w:p w:rsidR="000369FD" w:rsidRDefault="000369FD" w:rsidP="000369FD">
      <w:pPr>
        <w:pStyle w:val="notapie"/>
        <w:shd w:val="clear" w:color="auto" w:fill="FFFFFF"/>
        <w:jc w:val="both"/>
        <w:rPr>
          <w:b/>
          <w:lang w:val="en-US"/>
        </w:rPr>
      </w:pPr>
    </w:p>
    <w:p w:rsidR="000369FD" w:rsidRDefault="000369FD" w:rsidP="000369FD">
      <w:pPr>
        <w:pStyle w:val="notapie"/>
        <w:shd w:val="clear" w:color="auto" w:fill="FFFFFF"/>
        <w:jc w:val="both"/>
        <w:rPr>
          <w:b/>
          <w:lang w:val="en-US"/>
        </w:rPr>
      </w:pPr>
      <w:r>
        <w:rPr>
          <w:b/>
          <w:lang w:val="en-US"/>
        </w:rPr>
        <w:t>Bertelsmann Stiftung</w:t>
      </w: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p>
    <w:p w:rsidR="000369FD" w:rsidRDefault="000369FD" w:rsidP="000369FD">
      <w:pPr>
        <w:pStyle w:val="NormalWeb"/>
        <w:jc w:val="both"/>
        <w:rPr>
          <w:lang w:val="en-US"/>
        </w:rPr>
      </w:pPr>
      <w:r>
        <w:rPr>
          <w:noProof/>
        </w:rPr>
        <w:drawing>
          <wp:inline distT="0" distB="0" distL="0" distR="0" wp14:anchorId="34535D3D" wp14:editId="7D2CC353">
            <wp:extent cx="5396230" cy="511175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1" cy="5115360"/>
                    </a:xfrm>
                    <a:prstGeom prst="rect">
                      <a:avLst/>
                    </a:prstGeom>
                    <a:noFill/>
                    <a:ln>
                      <a:noFill/>
                    </a:ln>
                  </pic:spPr>
                </pic:pic>
              </a:graphicData>
            </a:graphic>
          </wp:inline>
        </w:drawing>
      </w:r>
    </w:p>
    <w:p w:rsidR="000369FD" w:rsidRDefault="000369FD" w:rsidP="000369FD">
      <w:pPr>
        <w:pStyle w:val="notapie"/>
        <w:shd w:val="clear" w:color="auto" w:fill="FFFFFF"/>
        <w:jc w:val="both"/>
        <w:rPr>
          <w:b/>
          <w:color w:val="FF0000"/>
          <w:lang w:val="en-US"/>
        </w:rPr>
      </w:pPr>
      <w:r>
        <w:rPr>
          <w:b/>
          <w:noProof/>
          <w:color w:val="FF0000"/>
        </w:rPr>
        <w:lastRenderedPageBreak/>
        <w:drawing>
          <wp:inline distT="0" distB="0" distL="0" distR="0" wp14:anchorId="394E4302" wp14:editId="0A6D874F">
            <wp:extent cx="5397500" cy="86360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8640064"/>
                    </a:xfrm>
                    <a:prstGeom prst="rect">
                      <a:avLst/>
                    </a:prstGeom>
                    <a:noFill/>
                    <a:ln>
                      <a:noFill/>
                    </a:ln>
                  </pic:spPr>
                </pic:pic>
              </a:graphicData>
            </a:graphic>
          </wp:inline>
        </w:drawing>
      </w:r>
    </w:p>
    <w:p w:rsidR="000369FD" w:rsidRDefault="000369FD" w:rsidP="000369FD">
      <w:pPr>
        <w:pStyle w:val="notapie"/>
        <w:shd w:val="clear" w:color="auto" w:fill="FFFFFF"/>
        <w:jc w:val="both"/>
        <w:rPr>
          <w:b/>
          <w:lang w:val="en-US"/>
        </w:rPr>
      </w:pPr>
      <w:r>
        <w:rPr>
          <w:b/>
          <w:noProof/>
          <w:color w:val="FF0000"/>
        </w:rPr>
        <w:lastRenderedPageBreak/>
        <w:drawing>
          <wp:inline distT="0" distB="0" distL="0" distR="0" wp14:anchorId="26ECA48A" wp14:editId="5F70F682">
            <wp:extent cx="5400040" cy="903086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9030862"/>
                    </a:xfrm>
                    <a:prstGeom prst="rect">
                      <a:avLst/>
                    </a:prstGeom>
                    <a:noFill/>
                    <a:ln>
                      <a:noFill/>
                    </a:ln>
                  </pic:spPr>
                </pic:pic>
              </a:graphicData>
            </a:graphic>
          </wp:inline>
        </w:drawing>
      </w:r>
      <w:r w:rsidRPr="00C06EE5">
        <w:rPr>
          <w:b/>
          <w:lang w:val="en-US"/>
        </w:rPr>
        <w:lastRenderedPageBreak/>
        <w:t>R</w:t>
      </w:r>
      <w:r>
        <w:rPr>
          <w:b/>
          <w:lang w:val="en-US"/>
        </w:rPr>
        <w:t>eport of the eighth round of negotiations for transatlantic trade and investment partnership</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(Bruss</w:t>
      </w:r>
      <w:r>
        <w:rPr>
          <w:lang w:val="en-US"/>
        </w:rPr>
        <w:t xml:space="preserve">els, </w:t>
      </w:r>
      <w:r w:rsidRPr="00565E4D">
        <w:rPr>
          <w:b/>
          <w:lang w:val="en-US"/>
        </w:rPr>
        <w:t>2-6 February 2015</w:t>
      </w:r>
      <w:r w:rsidRPr="00C06EE5">
        <w:rPr>
          <w:lang w:val="en-US"/>
        </w:rPr>
        <w:t xml:space="preserve">)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Summary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The eighth round of TTIP negotiat</w:t>
      </w:r>
      <w:r>
        <w:rPr>
          <w:lang w:val="en-US"/>
        </w:rPr>
        <w:t>ions took place in Brussels (2-</w:t>
      </w:r>
      <w:r w:rsidRPr="00C06EE5">
        <w:rPr>
          <w:lang w:val="en-US"/>
        </w:rPr>
        <w:t xml:space="preserve">6 February). Discussions took place in nearly all the areas that will be covered in the agreement (except on ISDS/investment protection). There was steady progress at technical level on all three pillars.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 xml:space="preserve">On market access, the round allowed for useful clarifications on industrial tariffs and agricultural market access. On services, a comprehensive review of the respective offers has resulted on a better understanding on how to achieve an ambitious outcome, while respecting our sensitivities. The discussions on public procurement have allowed a better understanding on each side priorities and sensitivities and showed that there is a need to intensify discussions in order to move the negotiations forward.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 xml:space="preserve">The horizontal regulatory pillar consisting of Technical Barriers to Trade (TBT), Sanitary and Phytosanitary (SPS) issues (food safety and animal and plant health) and Regulatory Co-operation/Coherence and Transparency was an important focus of this negotiating round. The EU submitted its text for a horizontal Regulatory Co-operation chapter1. On SPS, the two sides discussed in detail the US text proposal tabled in advance of this round and agreed to start working on developing a consolidated text. On TBT, the exchanges reflected a willingness to progress; however, further discussions will be needed to bridge the divergences between views.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 xml:space="preserve">Steady progress was achieved on sectors. However, the discussions highlighted the complexity of the issues and a need to intensify discussions over the next months. In the rules area, there was a common understanding that in TTIP both sides are seeking a high level of ambition for the Sustainable Development/Labour &amp; Environment chapter. Gradual progress was achieved on state-to-state dispute settlement, Customs and Trade Facilitation and SME's. On Intellectual Property Rights, discussions continued with a view to further fine-tune the shortlist of issues to be included in a future chapter.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 xml:space="preserve">As in previous rounds, the chief negotiators and their respective negotiating teams, had the opportunity to spend a day meeting and hearing from over 400 civil society representatives from business and industry, professional associations, consumer bodies, environmental groups and the labour movement.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lang w:val="en-US"/>
        </w:rPr>
      </w:pPr>
      <w:r w:rsidRPr="00C06EE5">
        <w:rPr>
          <w:lang w:val="en-US"/>
        </w:rPr>
        <w:t xml:space="preserve">The next negotiating round is scheduled for the week of April 20 in Washington DC. </w:t>
      </w:r>
    </w:p>
    <w:p w:rsidR="000369FD"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Details by negotiating area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b/>
          <w:lang w:val="en-US"/>
        </w:rPr>
      </w:pPr>
      <w:r w:rsidRPr="00C06EE5">
        <w:rPr>
          <w:b/>
          <w:lang w:val="en-US"/>
        </w:rPr>
        <w:t xml:space="preserve">1. Market Access </w:t>
      </w:r>
    </w:p>
    <w:p w:rsidR="000369FD" w:rsidRPr="00C06EE5" w:rsidRDefault="000369FD" w:rsidP="000369FD">
      <w:pPr>
        <w:pStyle w:val="notapie"/>
        <w:shd w:val="clear" w:color="auto" w:fill="FFFFFF"/>
        <w:jc w:val="both"/>
        <w:rPr>
          <w:b/>
          <w:lang w:val="en-US"/>
        </w:rPr>
      </w:pPr>
    </w:p>
    <w:p w:rsidR="000369FD" w:rsidRPr="00C06EE5" w:rsidRDefault="000369FD" w:rsidP="000369FD">
      <w:pPr>
        <w:pStyle w:val="notapie"/>
        <w:shd w:val="clear" w:color="auto" w:fill="FFFFFF"/>
        <w:jc w:val="both"/>
        <w:rPr>
          <w:b/>
          <w:lang w:val="en-US"/>
        </w:rPr>
      </w:pPr>
      <w:r w:rsidRPr="00C06EE5">
        <w:rPr>
          <w:b/>
          <w:lang w:val="en-US"/>
        </w:rPr>
        <w:t xml:space="preserve">Tariffs and Agriculture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lastRenderedPageBreak/>
        <w:t xml:space="preserve">The two sides started a discussion on sector-by-sector basis on industrial and fishery goods. Parties took stock of discussions held so far on agricultural issues, including on wine and non-tariff issues. On agricultural tariffs, the first offers were reviewed, starting with their structure and conditionalities. Further engagement is expected in the next round.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Trade in Goods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Negotiators engaged in productive discussions on a number or articles in the Trade in Goods chapter. While some brackets of a legal linguistic nature were removed, some others in particular relating to carve-outs in the article on National Treatment remained. Customs experts joined the session in order to discuss the customs related articles, such as temporary admission of goods and duty free treatment of goods returned after repair. With few exceptions, both sides share to a large extent the objectives set out in the chapter. Negotiators agreed to provide clarification on a number of issues under discussion in order to further advance the work in the next round in April.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Services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EU and the US continued the discussion of their services and investment offers with a focus on market access commitments (i.e. commitments related to non-discriminatory quotas). In addition, the negotiators had constructive discussions on a number of regulatory disciplines on telecommunications (concerning inter alia foreign equity caps, access to essential facilities, interconnection, access to essential facilities, authorisation procedures, scarce resources and the regulatory authority) based on a consolidated text. Good progress was made with regard to provisions on authorisation, the regulatory authority and scarce resources. The two sides also discussed briefly the US proposals on data flows and data localisation with the EU asking for further explanations.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Public Procurement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Further discussions were held on government procurement, in particular pertaining to the text of the chapter which establishes the disciplines applicable to public contracts covered by the agreement. Discussions also touched upon Public-Private Partnerships (PPPs), possibilities and challenges for a single point of access to procurement opportunities, and related transparency.</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2. Regulatory component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Food Safety and Animal and Plant Health (Sanitary and Phytosanitary Issues - SPS) </w:t>
      </w:r>
    </w:p>
    <w:p w:rsidR="000369FD" w:rsidRPr="00C06EE5" w:rsidRDefault="000369FD" w:rsidP="000369FD">
      <w:pPr>
        <w:pStyle w:val="notapie"/>
        <w:shd w:val="clear" w:color="auto" w:fill="FFFFFF"/>
        <w:jc w:val="both"/>
        <w:rPr>
          <w:b/>
          <w:lang w:val="en-US"/>
        </w:rPr>
      </w:pPr>
    </w:p>
    <w:p w:rsidR="000369FD" w:rsidRDefault="000369FD" w:rsidP="000369FD">
      <w:pPr>
        <w:pStyle w:val="notapie"/>
        <w:shd w:val="clear" w:color="auto" w:fill="FFFFFF"/>
        <w:jc w:val="both"/>
        <w:rPr>
          <w:lang w:val="en-US"/>
        </w:rPr>
      </w:pPr>
      <w:r w:rsidRPr="00C06EE5">
        <w:rPr>
          <w:lang w:val="en-US"/>
        </w:rPr>
        <w:t xml:space="preserve">The US textual proposal for an SPS Chapter was reviewed in detail. Several Member States attended the meeting in conformity with the rules of the Potsdam group. Several US agencies, such as the Department of Agriculture, the Food and Drug Administration and the Environmental Protection Agency were represented on the US side, which allowed for a deep discussion of the US proposal. Both the EU and the US text proposals confirmed that TTIP would not lower food safety standards or restrict the right of either Party to regulate. The common goal is to be able to improve regulatory procedures and seek means for trade facilitation by removing unnecessary barriers. The EU and the US are now preparing a consolidated version of the text to be discussed during the next round. </w:t>
      </w:r>
    </w:p>
    <w:p w:rsidR="000369FD" w:rsidRPr="003905AB" w:rsidRDefault="000369FD" w:rsidP="000369FD">
      <w:pPr>
        <w:pStyle w:val="notapie"/>
        <w:shd w:val="clear" w:color="auto" w:fill="FFFFFF"/>
        <w:jc w:val="both"/>
        <w:rPr>
          <w:lang w:val="en-US"/>
        </w:rPr>
      </w:pPr>
      <w:r w:rsidRPr="00C06EE5">
        <w:rPr>
          <w:b/>
          <w:lang w:val="en-US"/>
        </w:rPr>
        <w:lastRenderedPageBreak/>
        <w:t xml:space="preserve">Regulatory Coherence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EU side presented its draft on a Regulatory Coherence chapter and answered the other side's preliminary questions. The US also provided additional clarifications on parts of its textual proposal dating from July 2014 regarding good regulatory practices and transparency. The EU side reiterated its earlier concerns regarding the imbalance of the US proposal, which seeks to include only federal rulemaking on the US side while covering both EU and Member State legislation and regulations.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Technical barriers to Trade (TBT)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EU and the US delegations discussed issues regarding standardisation, transparency, conformity assessment and approach to third countries.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Cars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Parties exchanged information on the four baskets of work in the regulatory aspects of motor vehicles: regulatory equivalence, functioning of UN 1998 Agreement (global harmonisation), possible expedited harmonisation in specific areas and enhanced cooperation in research agendas of the two sides. The EU proposed a methodology for determining equivalence and a series of follow-up actions were agreed. An important part of the meeting was dedicated to data collection, treatment and use for the purpose of regulatory work in both sides. The EU underlined the commonalities regarding data collection. This was followed by an exchange on the four aspects on the table, in special on the approach for recognition of equivalence, with an EU proposal for a methodology to assess equivalence; harmonisation (UN 1998 Agreement and expedite bilateral harmonisation) and research cooperation. The two sides expressed the shared objective to make progress in inter-sessional work in preparation for the ninth and tenth rounds.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Chemicals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Discussions focused on the two pilot projects on prioritisation and assessment of substances and classification and labelling. Some progress was made regarding practical arrangements. The US proposed a further pilot project analysing commonalities and differences in safety data sheets.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Pharmaceuticals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Detailed discussions continued on the work of the task force in charge of assessing the equivalence of EU and US Good Manufacturing Practices (GMP) inspections. The US and the EU noted that extensive exchanges of information took place and agreed on key activities for the coming months. The US Food and Drug Administration (FDA) has been invited to observe audits of inspectorates of Member States throughout 2015. Similarly, an audit of the FDA by the EU is due to take place during the year. Both Parties agreed to inform each other on developments regarding the revision and adoption of guidelines on biosimilars and to further explore opportunities of collaboration on generics. </w:t>
      </w:r>
    </w:p>
    <w:p w:rsidR="000369FD"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lastRenderedPageBreak/>
        <w:t xml:space="preserve">Medical Devices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Both sides reiterated commitment to work on regulatory matters relating to medical devices. As regards Quality Management Systems audits, the next steps towards the participation of the EU as an observer in the Medical Devices Single Audit Pilot (MDSAP) were discussed. Both sides took also stock of progress on the other two TTIP priorities: Unique Device Identifier (UDI) and Regulated Product Submission (RPS).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Cosmetics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main EU objective for cosmetics remains the approximation of safety assessment methods and the streamlining of the authorisation procedure in the US for ingredients such as UV-filters. In this respect, both sides agreed that further technical discussions among scientists are necessary in order to approach requirements and methods for safety assessment of cosmetic ingredients. Fostering work at international level was also highlighted as an important strand of work. A number of actions were agreed and technical exchanges will continue over the next months.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Textiles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Technical discussions continued on labelling provisions, safety requirements and standards. Both sides are willing to step up regulatory cooperation on areas such as fibre names and standards. As regards rule of origin related aspects, both Parties mentioned the relationship between rule of origin and tariffs. On product specific rules, US described their approach to pursue a rule of origin that assures an appropriate level of US and EU content, while introducing flexibilities by using the short supply list method for non-available materials. On procedures, both Parties identified similarities on customs cooperation for verification purposes.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Information and Communication technologies (ICT)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Negotiators continued to discuss the issues of e-labelling, cooperation in market surveillance and encryption and they exchanged the latest information on the health IT roadmap. The US also updated the EU on the progress on their e-accessibility rulemaking, as the draft rule has not been published for comments, no substantial discussion took place.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Engineering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EU and the US discussed the proposals for cooperation already presented in previous rounds. The EU presented additional areas for cooperation, notably road safety of agricultural and construction machinery, exhaust emissions from non-road mobile machinery and risk assessment standards for machinery. The EU also provided analysis of the joint industry positions from the machinery industry. </w:t>
      </w:r>
    </w:p>
    <w:p w:rsidR="000369FD"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Pesticides </w:t>
      </w:r>
    </w:p>
    <w:p w:rsidR="000369FD"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two sides continued to exchange views on possible areas of collaboration, notably maximum residue limits for minor crops. Negotiators also agreed to further explore ideas </w:t>
      </w:r>
      <w:r w:rsidRPr="00C06EE5">
        <w:rPr>
          <w:lang w:val="en-US"/>
        </w:rPr>
        <w:lastRenderedPageBreak/>
        <w:t xml:space="preserve">on pre-export checks for key commodities and expressed interest in shaping a pilot project.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3. Rules Component </w:t>
      </w:r>
    </w:p>
    <w:p w:rsidR="000369FD" w:rsidRPr="00C06EE5" w:rsidRDefault="000369FD" w:rsidP="000369FD">
      <w:pPr>
        <w:pStyle w:val="notapie"/>
        <w:shd w:val="clear" w:color="auto" w:fill="FFFFFF"/>
        <w:jc w:val="both"/>
        <w:rPr>
          <w:b/>
          <w:lang w:val="en-US"/>
        </w:rPr>
      </w:pPr>
    </w:p>
    <w:p w:rsidR="000369FD" w:rsidRPr="00C06EE5" w:rsidRDefault="000369FD" w:rsidP="000369FD">
      <w:pPr>
        <w:pStyle w:val="notapie"/>
        <w:shd w:val="clear" w:color="auto" w:fill="FFFFFF"/>
        <w:jc w:val="both"/>
        <w:rPr>
          <w:b/>
          <w:lang w:val="en-US"/>
        </w:rPr>
      </w:pPr>
      <w:r w:rsidRPr="00C06EE5">
        <w:rPr>
          <w:b/>
          <w:lang w:val="en-US"/>
        </w:rPr>
        <w:t xml:space="preserve">Trade and Sustainable Development </w:t>
      </w:r>
    </w:p>
    <w:p w:rsidR="000369FD" w:rsidRPr="00C06EE5" w:rsidRDefault="000369FD" w:rsidP="000369FD">
      <w:pPr>
        <w:pStyle w:val="notapie"/>
        <w:shd w:val="clear" w:color="auto" w:fill="FFFFFF"/>
        <w:jc w:val="both"/>
        <w:rPr>
          <w:b/>
          <w:lang w:val="en-US"/>
        </w:rPr>
      </w:pPr>
    </w:p>
    <w:p w:rsidR="000369FD" w:rsidRDefault="000369FD" w:rsidP="000369FD">
      <w:pPr>
        <w:pStyle w:val="notapie"/>
        <w:shd w:val="clear" w:color="auto" w:fill="FFFFFF"/>
        <w:jc w:val="both"/>
        <w:rPr>
          <w:lang w:val="en-US"/>
        </w:rPr>
      </w:pPr>
      <w:r w:rsidRPr="00C06EE5">
        <w:rPr>
          <w:lang w:val="en-US"/>
        </w:rPr>
        <w:t>Discussions continued on trade and labour, for example on the parts of the EU’s paper on core labour standards and the four pillars of the Decent Work Agenda. Discussions continued on trade and environment, for example on the parts of the EU’s paper on multilateral environmental governance, biodiversity, sustainable management and use of natural resources and the fight against illegal logging, illegal, unregulated unreported fishing and wildlife trafficking, as well as climate change. There were also discussions on horizontal aspects such as the high level of protection and right to regulate, transparency and opportunities for public participations and Corporate Social Responsibility. Both sides shared the objective to have strong provisions on civil society involvement and discussed transparency mechanisms.</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Energy and Raw Materials</w:t>
      </w:r>
    </w:p>
    <w:p w:rsidR="000369FD" w:rsidRPr="00C06EE5" w:rsidRDefault="000369FD" w:rsidP="000369FD">
      <w:pPr>
        <w:pStyle w:val="notapie"/>
        <w:shd w:val="clear" w:color="auto" w:fill="FFFFFF"/>
        <w:jc w:val="both"/>
        <w:rPr>
          <w:lang w:val="en-US"/>
        </w:rPr>
      </w:pPr>
      <w:r w:rsidRPr="00C06EE5">
        <w:rPr>
          <w:lang w:val="en-US"/>
        </w:rPr>
        <w:t xml:space="preserve"> </w:t>
      </w:r>
    </w:p>
    <w:p w:rsidR="000369FD" w:rsidRDefault="000369FD" w:rsidP="000369FD">
      <w:pPr>
        <w:pStyle w:val="notapie"/>
        <w:shd w:val="clear" w:color="auto" w:fill="FFFFFF"/>
        <w:jc w:val="both"/>
        <w:rPr>
          <w:lang w:val="en-US"/>
        </w:rPr>
      </w:pPr>
      <w:r w:rsidRPr="00C06EE5">
        <w:rPr>
          <w:lang w:val="en-US"/>
        </w:rPr>
        <w:t xml:space="preserve">The EU and the US continued technical discussions involving experts on both sides in order to consider the scope of possible TTIP provisions on energy and raw materials. The focus during this round was on renewable energy and energy efficiency.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Customs and Trade Facilitation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Discussions confirmed progress of the previous rounds and focused on reviewing and further consolidating the text of the chapter. Progress was made on several articles, including internet publication, enquiry points, data and documentation, risk management, post-clearance audit and pre-shipment inspection. It was also agreed to continue exploring issues that lend themselves to longer term cooperation (Tier II aspects) through bilateral contacts between customs services.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Intellectual Property Rights (IPR)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Negotiators held short but extensive and productive discussions on IPR. As agreed in the previous round, the talks continued with a focus on issues where there is a potential for cooperation and building on positive narratives regarding Intellectual Property (IP) and innovation, IP and Small and Medium-Sized Enterprises and best practices. </w:t>
      </w:r>
    </w:p>
    <w:p w:rsidR="000369FD" w:rsidRPr="00C06EE5" w:rsidRDefault="000369FD" w:rsidP="000369FD">
      <w:pPr>
        <w:pStyle w:val="notapie"/>
        <w:shd w:val="clear" w:color="auto" w:fill="FFFFFF"/>
        <w:jc w:val="both"/>
        <w:rPr>
          <w:lang w:val="en-US"/>
        </w:rPr>
      </w:pPr>
    </w:p>
    <w:p w:rsidR="000369FD" w:rsidRPr="00C06EE5" w:rsidRDefault="003C7DEE" w:rsidP="000369FD">
      <w:pPr>
        <w:pStyle w:val="notapie"/>
        <w:shd w:val="clear" w:color="auto" w:fill="FFFFFF"/>
        <w:jc w:val="both"/>
        <w:rPr>
          <w:b/>
          <w:lang w:val="en-US"/>
        </w:rPr>
      </w:pPr>
      <w:r w:rsidRPr="00C06EE5">
        <w:rPr>
          <w:b/>
          <w:lang w:val="en-US"/>
        </w:rPr>
        <w:t>Geographical</w:t>
      </w:r>
      <w:r w:rsidR="000369FD" w:rsidRPr="00C06EE5">
        <w:rPr>
          <w:b/>
          <w:lang w:val="en-US"/>
        </w:rPr>
        <w:t xml:space="preserve"> Indications (GIs)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Parties took stock of discussions held so far, underlining substantive inputs from the EU and deepening conversations on legal alternatives to the trademark system for GI protection. The U.S. side remained non-committal.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Small and Medium-Sized Enterprises (SMEs)</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Discussions took place on the basis of a consolidated text. Progress was made on EU-US cooperation provisions. In-depth discussions were held on the type of information that </w:t>
      </w:r>
      <w:r w:rsidRPr="00C06EE5">
        <w:rPr>
          <w:lang w:val="en-US"/>
        </w:rPr>
        <w:lastRenderedPageBreak/>
        <w:t xml:space="preserve">would be helpful to SMEs trying to export to the other Party and how this information could be presented. Negotiators also discussed the renewal of the SME Memorandum of Understanding between DG GROW and the International Trade Administration of the United States Department of Commerce (ITA); the preparations for the US-EU SME best practices workshop; and outreach activities on TTIP SME issues.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Rules of Origin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 xml:space="preserve">The two sides discussed the partial textual proposals that have been tabled to date in order to move towards a consolidated text. Progress was made in identifying common positions in several areas of the text. Parties exchanged information on the proofs and verification procedures of Rules of Origin. Negotiators discussed the possibility to exchange all Product Specific Rules before summer. The EU made an initial presentation on the general EU anti-fraud policies. </w:t>
      </w:r>
    </w:p>
    <w:p w:rsidR="000369FD" w:rsidRPr="00C06EE5" w:rsidRDefault="000369FD" w:rsidP="000369FD">
      <w:pPr>
        <w:pStyle w:val="notapie"/>
        <w:shd w:val="clear" w:color="auto" w:fill="FFFFFF"/>
        <w:jc w:val="both"/>
        <w:rPr>
          <w:lang w:val="en-US"/>
        </w:rPr>
      </w:pPr>
    </w:p>
    <w:p w:rsidR="000369FD" w:rsidRPr="00C06EE5" w:rsidRDefault="000369FD" w:rsidP="000369FD">
      <w:pPr>
        <w:pStyle w:val="notapie"/>
        <w:shd w:val="clear" w:color="auto" w:fill="FFFFFF"/>
        <w:jc w:val="both"/>
        <w:rPr>
          <w:b/>
          <w:lang w:val="en-US"/>
        </w:rPr>
      </w:pPr>
      <w:r w:rsidRPr="00C06EE5">
        <w:rPr>
          <w:b/>
          <w:lang w:val="en-US"/>
        </w:rPr>
        <w:t xml:space="preserve">Dispute Settlement </w:t>
      </w:r>
    </w:p>
    <w:p w:rsidR="000369FD" w:rsidRPr="00C06EE5" w:rsidRDefault="000369FD" w:rsidP="000369FD">
      <w:pPr>
        <w:pStyle w:val="notapie"/>
        <w:shd w:val="clear" w:color="auto" w:fill="FFFFFF"/>
        <w:jc w:val="both"/>
        <w:rPr>
          <w:lang w:val="en-US"/>
        </w:rPr>
      </w:pPr>
    </w:p>
    <w:p w:rsidR="000369FD" w:rsidRDefault="000369FD" w:rsidP="000369FD">
      <w:pPr>
        <w:pStyle w:val="notapie"/>
        <w:shd w:val="clear" w:color="auto" w:fill="FFFFFF"/>
        <w:jc w:val="both"/>
        <w:rPr>
          <w:lang w:val="en-US"/>
        </w:rPr>
      </w:pPr>
      <w:r w:rsidRPr="00C06EE5">
        <w:rPr>
          <w:lang w:val="en-US"/>
        </w:rPr>
        <w:t>Constructive discussions continued on the state-to-state dispute settlement chapter, which aims at establishing an effective mechanism for resolving any disputes between the Parties on the interpretation and implementation of the Agreement. The EU's proposal is based on its standard approach to state-to-state dispute settlement as in its recent free trade agreements and similar to the WTO Dispute Settlement mechanism. During the eighth round both side made further progress on developing compromise text and continuing discussions on the compliance phase.</w:t>
      </w:r>
    </w:p>
    <w:p w:rsidR="000369FD" w:rsidRDefault="000369FD" w:rsidP="000369FD">
      <w:pPr>
        <w:pStyle w:val="notapie"/>
        <w:shd w:val="clear" w:color="auto" w:fill="FFFFFF"/>
        <w:jc w:val="both"/>
        <w:rPr>
          <w:lang w:val="en-US"/>
        </w:rPr>
      </w:pPr>
    </w:p>
    <w:p w:rsidR="000369FD" w:rsidRPr="00FE1124" w:rsidRDefault="000369FD" w:rsidP="000369FD">
      <w:pPr>
        <w:pStyle w:val="notapie"/>
        <w:shd w:val="clear" w:color="auto" w:fill="FFFFFF"/>
        <w:jc w:val="both"/>
        <w:rPr>
          <w:lang w:val="en-US"/>
        </w:rPr>
      </w:pPr>
      <w:r w:rsidRPr="00FE1124">
        <w:rPr>
          <w:lang w:val="en-US"/>
        </w:rPr>
        <w:t>(</w:t>
      </w:r>
      <w:hyperlink r:id="rId17" w:history="1">
        <w:r w:rsidRPr="00FE1124">
          <w:rPr>
            <w:rStyle w:val="Hipervnculo"/>
            <w:rFonts w:eastAsiaTheme="majorEastAsia"/>
            <w:color w:val="auto"/>
            <w:u w:val="none"/>
            <w:lang w:val="en-US"/>
          </w:rPr>
          <w:t>http://trade.ec.europa.eu/doclib/docs/2015/february/tradoc_153120.pdf</w:t>
        </w:r>
      </w:hyperlink>
      <w:r w:rsidRPr="00FE1124">
        <w:rPr>
          <w:lang w:val="en-US"/>
        </w:rPr>
        <w:t>)</w:t>
      </w:r>
    </w:p>
    <w:p w:rsidR="000369FD" w:rsidRPr="00FE1124" w:rsidRDefault="000369FD" w:rsidP="000369FD">
      <w:pPr>
        <w:pStyle w:val="notapie"/>
        <w:shd w:val="clear" w:color="auto" w:fill="FFFFFF"/>
        <w:jc w:val="both"/>
        <w:rPr>
          <w:b/>
        </w:rPr>
      </w:pPr>
      <w:r w:rsidRPr="00FE1124">
        <w:t xml:space="preserve">Date: </w:t>
      </w:r>
      <w:r w:rsidRPr="00FE1124">
        <w:rPr>
          <w:b/>
        </w:rPr>
        <w:t>24/02/15</w:t>
      </w:r>
    </w:p>
    <w:p w:rsidR="000369FD" w:rsidRPr="00080BA8" w:rsidRDefault="000369FD" w:rsidP="000369FD">
      <w:pPr>
        <w:pStyle w:val="notapie"/>
        <w:shd w:val="clear" w:color="auto" w:fill="FFFFFF"/>
        <w:jc w:val="both"/>
        <w:rPr>
          <w:b/>
        </w:rPr>
      </w:pPr>
    </w:p>
    <w:p w:rsidR="000369FD" w:rsidRPr="00565E4D" w:rsidRDefault="000369FD" w:rsidP="000369FD">
      <w:pPr>
        <w:pStyle w:val="notapie"/>
        <w:shd w:val="clear" w:color="auto" w:fill="FFFFFF"/>
        <w:jc w:val="both"/>
        <w:rPr>
          <w:b/>
        </w:rPr>
      </w:pPr>
      <w:r>
        <w:rPr>
          <w:b/>
        </w:rPr>
        <w:t xml:space="preserve">Proyecto de Informe </w:t>
      </w:r>
      <w:r w:rsidRPr="00565E4D">
        <w:rPr>
          <w:b/>
        </w:rPr>
        <w:t>sobre las recomendaciones del Parlamento Eu</w:t>
      </w:r>
      <w:r>
        <w:rPr>
          <w:b/>
        </w:rPr>
        <w:t xml:space="preserve">ropeo a la Comisión relativas a </w:t>
      </w:r>
      <w:r w:rsidRPr="00565E4D">
        <w:rPr>
          <w:b/>
        </w:rPr>
        <w:t>las negociaciones de la Asociación Transat</w:t>
      </w:r>
      <w:r>
        <w:rPr>
          <w:b/>
        </w:rPr>
        <w:t xml:space="preserve">lántica de Comercio e Inversión </w:t>
      </w:r>
      <w:r w:rsidRPr="00565E4D">
        <w:rPr>
          <w:b/>
        </w:rPr>
        <w:t>(ATCI)</w:t>
      </w:r>
    </w:p>
    <w:p w:rsidR="000369FD" w:rsidRPr="00565E4D" w:rsidRDefault="000369FD" w:rsidP="000369FD">
      <w:pPr>
        <w:pStyle w:val="notapie"/>
        <w:shd w:val="clear" w:color="auto" w:fill="FFFFFF"/>
        <w:jc w:val="both"/>
        <w:rPr>
          <w:b/>
        </w:rPr>
      </w:pPr>
      <w:r w:rsidRPr="00565E4D">
        <w:rPr>
          <w:b/>
        </w:rPr>
        <w:t>(2014/2228(INI))</w:t>
      </w:r>
    </w:p>
    <w:p w:rsidR="000369FD" w:rsidRDefault="000369FD" w:rsidP="000369FD">
      <w:pPr>
        <w:pStyle w:val="notapie"/>
        <w:shd w:val="clear" w:color="auto" w:fill="FFFFFF"/>
        <w:jc w:val="both"/>
        <w:rPr>
          <w:b/>
        </w:rPr>
      </w:pPr>
    </w:p>
    <w:p w:rsidR="000369FD" w:rsidRPr="00565E4D" w:rsidRDefault="000369FD" w:rsidP="000369FD">
      <w:pPr>
        <w:pStyle w:val="notapie"/>
        <w:shd w:val="clear" w:color="auto" w:fill="FFFFFF"/>
        <w:jc w:val="both"/>
        <w:rPr>
          <w:b/>
        </w:rPr>
      </w:pPr>
      <w:r w:rsidRPr="00565E4D">
        <w:rPr>
          <w:b/>
        </w:rPr>
        <w:t>Comisión de Comercio Internacional</w:t>
      </w:r>
      <w:r>
        <w:rPr>
          <w:b/>
        </w:rPr>
        <w:t xml:space="preserve"> del Parlamento Europeo</w:t>
      </w:r>
    </w:p>
    <w:p w:rsidR="000369FD" w:rsidRDefault="000369FD" w:rsidP="000369FD">
      <w:pPr>
        <w:pStyle w:val="notapie"/>
        <w:shd w:val="clear" w:color="auto" w:fill="FFFFFF"/>
        <w:jc w:val="both"/>
        <w:rPr>
          <w:b/>
        </w:rPr>
      </w:pPr>
    </w:p>
    <w:p w:rsidR="000369FD" w:rsidRDefault="000369FD" w:rsidP="000369FD">
      <w:pPr>
        <w:pStyle w:val="notapie"/>
        <w:shd w:val="clear" w:color="auto" w:fill="FFFFFF"/>
        <w:jc w:val="both"/>
      </w:pPr>
      <w:r>
        <w:t>(</w:t>
      </w:r>
      <w:r w:rsidRPr="00565E4D">
        <w:t>Ponente: Bernd Lange</w:t>
      </w:r>
      <w:r>
        <w:t xml:space="preserve"> - </w:t>
      </w:r>
      <w:r w:rsidRPr="00565E4D">
        <w:rPr>
          <w:b/>
        </w:rPr>
        <w:t>5/2/15</w:t>
      </w:r>
      <w:r>
        <w:t>)</w:t>
      </w:r>
    </w:p>
    <w:p w:rsidR="000369FD" w:rsidRDefault="000369FD" w:rsidP="000369FD">
      <w:pPr>
        <w:pStyle w:val="notapie"/>
        <w:shd w:val="clear" w:color="auto" w:fill="FFFFFF"/>
        <w:jc w:val="both"/>
      </w:pPr>
    </w:p>
    <w:p w:rsidR="000369FD" w:rsidRPr="00565E4D" w:rsidRDefault="000369FD" w:rsidP="000369FD">
      <w:pPr>
        <w:pStyle w:val="notapie"/>
        <w:shd w:val="clear" w:color="auto" w:fill="FFFFFF"/>
        <w:jc w:val="both"/>
      </w:pPr>
      <w:r>
        <w:t xml:space="preserve">Propuesta de Resolución del Parlamento Europeo </w:t>
      </w:r>
      <w:r w:rsidRPr="00565E4D">
        <w:t>sobre las recomendaciones del Parlamento Europeo a la Comisión relativas a las</w:t>
      </w:r>
      <w:r>
        <w:t xml:space="preserve"> </w:t>
      </w:r>
      <w:r w:rsidRPr="00565E4D">
        <w:t>negociaciones de la Asociación Transatlántica de Comercio e Inversión (ATCI)</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(2014/2228(INI))</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El Parlamento Europeo,</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Vistas las directrices de negociación de la UE relativas a la Asociación Transatlántica</w:t>
      </w:r>
      <w:r>
        <w:rPr>
          <w:rFonts w:ascii="Times New Roman" w:hAnsi="Times New Roman" w:cs="Times New Roman"/>
          <w:sz w:val="24"/>
          <w:szCs w:val="24"/>
        </w:rPr>
        <w:t xml:space="preserve"> </w:t>
      </w:r>
      <w:r w:rsidRPr="00565E4D">
        <w:rPr>
          <w:rFonts w:ascii="Times New Roman" w:hAnsi="Times New Roman" w:cs="Times New Roman"/>
          <w:sz w:val="24"/>
          <w:szCs w:val="24"/>
        </w:rPr>
        <w:t>de Comercio e Inversión (ATCI) entre la Unión Europea y los Estados Unidos,</w:t>
      </w:r>
      <w:r>
        <w:rPr>
          <w:rFonts w:ascii="Times New Roman" w:hAnsi="Times New Roman" w:cs="Times New Roman"/>
          <w:sz w:val="24"/>
          <w:szCs w:val="24"/>
        </w:rPr>
        <w:t xml:space="preserve"> </w:t>
      </w:r>
      <w:r w:rsidRPr="00565E4D">
        <w:rPr>
          <w:rFonts w:ascii="Times New Roman" w:hAnsi="Times New Roman" w:cs="Times New Roman"/>
          <w:sz w:val="24"/>
          <w:szCs w:val="24"/>
        </w:rPr>
        <w:t>aprobadas por el Consejo el 14 de junio de 20131 y de</w:t>
      </w:r>
      <w:r>
        <w:rPr>
          <w:rFonts w:ascii="Times New Roman" w:hAnsi="Times New Roman" w:cs="Times New Roman"/>
          <w:sz w:val="24"/>
          <w:szCs w:val="24"/>
        </w:rPr>
        <w:t xml:space="preserve">sclasificadas y hechas públicas </w:t>
      </w:r>
      <w:r w:rsidRPr="00565E4D">
        <w:rPr>
          <w:rFonts w:ascii="Times New Roman" w:hAnsi="Times New Roman" w:cs="Times New Roman"/>
          <w:sz w:val="24"/>
          <w:szCs w:val="24"/>
        </w:rPr>
        <w:t>por el Consejo el 9 de octubre de 2014,</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 la declaración conjunta de la Cumbre UE-Estados Unidos del 26 de marzo 2014,</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Vistas las conclusiones del Consejo Europeo de 26-27 de junio de 2014,</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lastRenderedPageBreak/>
        <w:t xml:space="preserve">– Vistas las directrices políticas del Presidente Juncker de </w:t>
      </w:r>
      <w:r>
        <w:rPr>
          <w:rFonts w:ascii="Times New Roman" w:hAnsi="Times New Roman" w:cs="Times New Roman"/>
          <w:sz w:val="24"/>
          <w:szCs w:val="24"/>
        </w:rPr>
        <w:t xml:space="preserve">15 de julio 2014 dirigidas a la </w:t>
      </w:r>
      <w:r w:rsidRPr="00565E4D">
        <w:rPr>
          <w:rFonts w:ascii="Times New Roman" w:hAnsi="Times New Roman" w:cs="Times New Roman"/>
          <w:sz w:val="24"/>
          <w:szCs w:val="24"/>
        </w:rPr>
        <w:t xml:space="preserve">próxima Comisión y titulada </w:t>
      </w:r>
      <w:r>
        <w:rPr>
          <w:rFonts w:ascii="Times New Roman" w:hAnsi="Times New Roman" w:cs="Times New Roman"/>
          <w:sz w:val="24"/>
          <w:szCs w:val="24"/>
        </w:rPr>
        <w:t>“</w:t>
      </w:r>
      <w:r w:rsidRPr="00565E4D">
        <w:rPr>
          <w:rFonts w:ascii="Times New Roman" w:hAnsi="Times New Roman" w:cs="Times New Roman"/>
          <w:sz w:val="24"/>
          <w:szCs w:val="24"/>
        </w:rPr>
        <w:t>Un nuevo comienzo pa</w:t>
      </w:r>
      <w:r>
        <w:rPr>
          <w:rFonts w:ascii="Times New Roman" w:hAnsi="Times New Roman" w:cs="Times New Roman"/>
          <w:sz w:val="24"/>
          <w:szCs w:val="24"/>
        </w:rPr>
        <w:t xml:space="preserve">ra Europa: Mi Agenda en materia </w:t>
      </w:r>
      <w:r w:rsidRPr="00565E4D">
        <w:rPr>
          <w:rFonts w:ascii="Times New Roman" w:hAnsi="Times New Roman" w:cs="Times New Roman"/>
          <w:sz w:val="24"/>
          <w:szCs w:val="24"/>
        </w:rPr>
        <w:t>de empleo, crecimient</w:t>
      </w:r>
      <w:r>
        <w:rPr>
          <w:rFonts w:ascii="Times New Roman" w:hAnsi="Times New Roman" w:cs="Times New Roman"/>
          <w:sz w:val="24"/>
          <w:szCs w:val="24"/>
        </w:rPr>
        <w:t>o, equidad y cambio democrático”</w:t>
      </w:r>
      <w:r w:rsidRPr="00565E4D">
        <w:rPr>
          <w:rFonts w:ascii="Times New Roman" w:hAnsi="Times New Roman" w:cs="Times New Roman"/>
          <w:sz w:val="24"/>
          <w:szCs w:val="24"/>
        </w:rPr>
        <w:t>,</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 la declaración conjunta de 16 de n</w:t>
      </w:r>
      <w:r>
        <w:rPr>
          <w:rFonts w:ascii="Times New Roman" w:hAnsi="Times New Roman" w:cs="Times New Roman"/>
          <w:sz w:val="24"/>
          <w:szCs w:val="24"/>
        </w:rPr>
        <w:t xml:space="preserve">oviembre de 2014 del presidente </w:t>
      </w:r>
      <w:r w:rsidRPr="00565E4D">
        <w:rPr>
          <w:rFonts w:ascii="Times New Roman" w:hAnsi="Times New Roman" w:cs="Times New Roman"/>
          <w:sz w:val="24"/>
          <w:szCs w:val="24"/>
        </w:rPr>
        <w:t>estadounidense, Barack Obama, el Presidente de la Comisión Jean-Claude Ju</w:t>
      </w:r>
      <w:r>
        <w:rPr>
          <w:rFonts w:ascii="Times New Roman" w:hAnsi="Times New Roman" w:cs="Times New Roman"/>
          <w:sz w:val="24"/>
          <w:szCs w:val="24"/>
        </w:rPr>
        <w:t xml:space="preserve">ncker, el </w:t>
      </w:r>
      <w:r w:rsidRPr="00565E4D">
        <w:rPr>
          <w:rFonts w:ascii="Times New Roman" w:hAnsi="Times New Roman" w:cs="Times New Roman"/>
          <w:sz w:val="24"/>
          <w:szCs w:val="24"/>
        </w:rPr>
        <w:t>Presidente del Consejo Europeo, Herman Van Rompuy</w:t>
      </w:r>
      <w:r>
        <w:rPr>
          <w:rFonts w:ascii="Times New Roman" w:hAnsi="Times New Roman" w:cs="Times New Roman"/>
          <w:sz w:val="24"/>
          <w:szCs w:val="24"/>
        </w:rPr>
        <w:t xml:space="preserve">, el primer ministro británico, </w:t>
      </w:r>
      <w:r w:rsidRPr="00565E4D">
        <w:rPr>
          <w:rFonts w:ascii="Times New Roman" w:hAnsi="Times New Roman" w:cs="Times New Roman"/>
          <w:sz w:val="24"/>
          <w:szCs w:val="24"/>
        </w:rPr>
        <w:t xml:space="preserve">David Cameron, la canciller alemana Angela Merkel, </w:t>
      </w:r>
      <w:r>
        <w:rPr>
          <w:rFonts w:ascii="Times New Roman" w:hAnsi="Times New Roman" w:cs="Times New Roman"/>
          <w:sz w:val="24"/>
          <w:szCs w:val="24"/>
        </w:rPr>
        <w:t xml:space="preserve">el presidente francés, François </w:t>
      </w:r>
      <w:r w:rsidRPr="00565E4D">
        <w:rPr>
          <w:rFonts w:ascii="Times New Roman" w:hAnsi="Times New Roman" w:cs="Times New Roman"/>
          <w:sz w:val="24"/>
          <w:szCs w:val="24"/>
        </w:rPr>
        <w:t>Hollande, el primer ministro italiano, Matteo Ren</w:t>
      </w:r>
      <w:r>
        <w:rPr>
          <w:rFonts w:ascii="Times New Roman" w:hAnsi="Times New Roman" w:cs="Times New Roman"/>
          <w:sz w:val="24"/>
          <w:szCs w:val="24"/>
        </w:rPr>
        <w:t xml:space="preserve">zi y el presidente del gobierno </w:t>
      </w:r>
      <w:r w:rsidRPr="00565E4D">
        <w:rPr>
          <w:rFonts w:ascii="Times New Roman" w:hAnsi="Times New Roman" w:cs="Times New Roman"/>
          <w:sz w:val="24"/>
          <w:szCs w:val="24"/>
        </w:rPr>
        <w:t xml:space="preserve">español, Mariano Rajoy, después de su reunión al </w:t>
      </w:r>
      <w:r>
        <w:rPr>
          <w:rFonts w:ascii="Times New Roman" w:hAnsi="Times New Roman" w:cs="Times New Roman"/>
          <w:sz w:val="24"/>
          <w:szCs w:val="24"/>
        </w:rPr>
        <w:t xml:space="preserve">margen de la Cumbre del G-20 en </w:t>
      </w:r>
      <w:r w:rsidRPr="00565E4D">
        <w:rPr>
          <w:rFonts w:ascii="Times New Roman" w:hAnsi="Times New Roman" w:cs="Times New Roman"/>
          <w:sz w:val="24"/>
          <w:szCs w:val="24"/>
        </w:rPr>
        <w:t>Brisbane, Australia,</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Vistas las conclusiones del Consejo Europeo sobr</w:t>
      </w:r>
      <w:r w:rsidR="00FE1124">
        <w:rPr>
          <w:rFonts w:ascii="Times New Roman" w:hAnsi="Times New Roman" w:cs="Times New Roman"/>
          <w:sz w:val="24"/>
          <w:szCs w:val="24"/>
        </w:rPr>
        <w:t xml:space="preserve">e el ATCI de 21 de noviembre de </w:t>
      </w:r>
      <w:r w:rsidRPr="00565E4D">
        <w:rPr>
          <w:rFonts w:ascii="Times New Roman" w:hAnsi="Times New Roman" w:cs="Times New Roman"/>
          <w:sz w:val="24"/>
          <w:szCs w:val="24"/>
        </w:rPr>
        <w:t>2014,</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 la Comunicación de la Comisión de la Comisión de 25 de no</w:t>
      </w:r>
      <w:r>
        <w:rPr>
          <w:rFonts w:ascii="Times New Roman" w:hAnsi="Times New Roman" w:cs="Times New Roman"/>
          <w:sz w:val="24"/>
          <w:szCs w:val="24"/>
        </w:rPr>
        <w:t xml:space="preserve">viembre de 2014, la </w:t>
      </w:r>
      <w:r w:rsidRPr="00565E4D">
        <w:rPr>
          <w:rFonts w:ascii="Times New Roman" w:hAnsi="Times New Roman" w:cs="Times New Roman"/>
          <w:sz w:val="24"/>
          <w:szCs w:val="24"/>
        </w:rPr>
        <w:t>transparencia en las negociaciones ATCI (C(2014)9052), así como a las decisiones de la</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Comisión de 25 de noviembre de 2014 relativa a la pu</w:t>
      </w:r>
      <w:r>
        <w:rPr>
          <w:rFonts w:ascii="Times New Roman" w:hAnsi="Times New Roman" w:cs="Times New Roman"/>
          <w:sz w:val="24"/>
          <w:szCs w:val="24"/>
        </w:rPr>
        <w:t xml:space="preserve">blicación de información acerca </w:t>
      </w:r>
      <w:r w:rsidRPr="00565E4D">
        <w:rPr>
          <w:rFonts w:ascii="Times New Roman" w:hAnsi="Times New Roman" w:cs="Times New Roman"/>
          <w:sz w:val="24"/>
          <w:szCs w:val="24"/>
        </w:rPr>
        <w:t xml:space="preserve">de las reuniones celebradas entre Directores Generales </w:t>
      </w:r>
      <w:r>
        <w:rPr>
          <w:rFonts w:ascii="Times New Roman" w:hAnsi="Times New Roman" w:cs="Times New Roman"/>
          <w:sz w:val="24"/>
          <w:szCs w:val="24"/>
        </w:rPr>
        <w:t xml:space="preserve">de la Comisión y organizaciones </w:t>
      </w:r>
      <w:r w:rsidRPr="00565E4D">
        <w:rPr>
          <w:rFonts w:ascii="Times New Roman" w:hAnsi="Times New Roman" w:cs="Times New Roman"/>
          <w:sz w:val="24"/>
          <w:szCs w:val="24"/>
        </w:rPr>
        <w:t>o personas que trabajan por cuenta propia (C</w:t>
      </w:r>
      <w:r>
        <w:rPr>
          <w:rFonts w:ascii="Times New Roman" w:hAnsi="Times New Roman" w:cs="Times New Roman"/>
          <w:sz w:val="24"/>
          <w:szCs w:val="24"/>
        </w:rPr>
        <w:t>(2014)</w:t>
      </w:r>
      <w:r w:rsidRPr="00565E4D">
        <w:rPr>
          <w:rFonts w:ascii="Times New Roman" w:hAnsi="Times New Roman" w:cs="Times New Roman"/>
          <w:sz w:val="24"/>
          <w:szCs w:val="24"/>
        </w:rPr>
        <w:t>90</w:t>
      </w:r>
      <w:r>
        <w:rPr>
          <w:rFonts w:ascii="Times New Roman" w:hAnsi="Times New Roman" w:cs="Times New Roman"/>
          <w:sz w:val="24"/>
          <w:szCs w:val="24"/>
        </w:rPr>
        <w:t xml:space="preserve">51) y la decisión relativa a la </w:t>
      </w:r>
      <w:r w:rsidRPr="00565E4D">
        <w:rPr>
          <w:rFonts w:ascii="Times New Roman" w:hAnsi="Times New Roman" w:cs="Times New Roman"/>
          <w:sz w:val="24"/>
          <w:szCs w:val="24"/>
        </w:rPr>
        <w:t>publicación de información acerca de las reunio</w:t>
      </w:r>
      <w:r>
        <w:rPr>
          <w:rFonts w:ascii="Times New Roman" w:hAnsi="Times New Roman" w:cs="Times New Roman"/>
          <w:sz w:val="24"/>
          <w:szCs w:val="24"/>
        </w:rPr>
        <w:t xml:space="preserve">nes celebradas entre Directores </w:t>
      </w:r>
      <w:r w:rsidRPr="00565E4D">
        <w:rPr>
          <w:rFonts w:ascii="Times New Roman" w:hAnsi="Times New Roman" w:cs="Times New Roman"/>
          <w:sz w:val="24"/>
          <w:szCs w:val="24"/>
        </w:rPr>
        <w:t>Generales de la Comisión y organizaciones o personas</w:t>
      </w:r>
      <w:r>
        <w:rPr>
          <w:rFonts w:ascii="Times New Roman" w:hAnsi="Times New Roman" w:cs="Times New Roman"/>
          <w:sz w:val="24"/>
          <w:szCs w:val="24"/>
        </w:rPr>
        <w:t xml:space="preserve"> que trabajan por cuenta propia </w:t>
      </w:r>
      <w:r w:rsidRPr="00565E4D">
        <w:rPr>
          <w:rFonts w:ascii="Times New Roman" w:hAnsi="Times New Roman" w:cs="Times New Roman"/>
          <w:sz w:val="24"/>
          <w:szCs w:val="24"/>
        </w:rPr>
        <w:t>(C (2014) 9048),</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 la declaración conjunta de 3 de diciembre</w:t>
      </w:r>
      <w:r>
        <w:rPr>
          <w:rFonts w:ascii="Times New Roman" w:hAnsi="Times New Roman" w:cs="Times New Roman"/>
          <w:sz w:val="24"/>
          <w:szCs w:val="24"/>
        </w:rPr>
        <w:t xml:space="preserve"> de 2014 del Consejo de Energía </w:t>
      </w:r>
      <w:r w:rsidRPr="00565E4D">
        <w:rPr>
          <w:rFonts w:ascii="Times New Roman" w:hAnsi="Times New Roman" w:cs="Times New Roman"/>
          <w:sz w:val="24"/>
          <w:szCs w:val="24"/>
        </w:rPr>
        <w:t>UE</w:t>
      </w:r>
      <w:r>
        <w:rPr>
          <w:rFonts w:ascii="Times New Roman" w:hAnsi="Times New Roman" w:cs="Times New Roman"/>
          <w:sz w:val="24"/>
          <w:szCs w:val="24"/>
        </w:rPr>
        <w:t xml:space="preserve"> </w:t>
      </w:r>
      <w:r w:rsidRPr="00565E4D">
        <w:rPr>
          <w:rFonts w:ascii="Times New Roman" w:hAnsi="Times New Roman" w:cs="Times New Roman"/>
          <w:sz w:val="24"/>
          <w:szCs w:val="24"/>
        </w:rPr>
        <w:t>Estados</w:t>
      </w:r>
      <w:r>
        <w:rPr>
          <w:rFonts w:ascii="Times New Roman" w:hAnsi="Times New Roman" w:cs="Times New Roman"/>
          <w:sz w:val="24"/>
          <w:szCs w:val="24"/>
        </w:rPr>
        <w:t xml:space="preserve"> </w:t>
      </w:r>
      <w:r w:rsidRPr="00565E4D">
        <w:rPr>
          <w:rFonts w:ascii="Times New Roman" w:hAnsi="Times New Roman" w:cs="Times New Roman"/>
          <w:sz w:val="24"/>
          <w:szCs w:val="24"/>
        </w:rPr>
        <w:t>Unidos,</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xml:space="preserve">– Visto el informe de la Comisión de 13 de enero de 2015 sobre </w:t>
      </w:r>
      <w:r>
        <w:rPr>
          <w:rFonts w:ascii="Times New Roman" w:hAnsi="Times New Roman" w:cs="Times New Roman"/>
          <w:sz w:val="24"/>
          <w:szCs w:val="24"/>
        </w:rPr>
        <w:t xml:space="preserve">la protección de las </w:t>
      </w:r>
      <w:r w:rsidRPr="00565E4D">
        <w:rPr>
          <w:rFonts w:ascii="Times New Roman" w:hAnsi="Times New Roman" w:cs="Times New Roman"/>
          <w:sz w:val="24"/>
          <w:szCs w:val="24"/>
        </w:rPr>
        <w:t>inversiones y la solución de diferencias entre invers</w:t>
      </w:r>
      <w:r>
        <w:rPr>
          <w:rFonts w:ascii="Times New Roman" w:hAnsi="Times New Roman" w:cs="Times New Roman"/>
          <w:sz w:val="24"/>
          <w:szCs w:val="24"/>
        </w:rPr>
        <w:t xml:space="preserve">ores y Estados en la Asociación </w:t>
      </w:r>
      <w:r w:rsidRPr="00565E4D">
        <w:rPr>
          <w:rFonts w:ascii="Times New Roman" w:hAnsi="Times New Roman" w:cs="Times New Roman"/>
          <w:sz w:val="24"/>
          <w:szCs w:val="24"/>
        </w:rPr>
        <w:t>Transatlántica de Comercio e Inversión (ATCI) (SWD</w:t>
      </w:r>
      <w:r>
        <w:rPr>
          <w:rFonts w:ascii="Times New Roman" w:hAnsi="Times New Roman" w:cs="Times New Roman"/>
          <w:sz w:val="24"/>
          <w:szCs w:val="24"/>
        </w:rPr>
        <w:t xml:space="preserve"> </w:t>
      </w:r>
      <w:r w:rsidRPr="00565E4D">
        <w:rPr>
          <w:rFonts w:ascii="Times New Roman" w:hAnsi="Times New Roman" w:cs="Times New Roman"/>
          <w:sz w:val="24"/>
          <w:szCs w:val="24"/>
        </w:rPr>
        <w:t>(2015)</w:t>
      </w:r>
      <w:r>
        <w:rPr>
          <w:rFonts w:ascii="Times New Roman" w:hAnsi="Times New Roman" w:cs="Times New Roman"/>
          <w:sz w:val="24"/>
          <w:szCs w:val="24"/>
        </w:rPr>
        <w:t xml:space="preserve"> </w:t>
      </w:r>
      <w:r w:rsidRPr="00565E4D">
        <w:rPr>
          <w:rFonts w:ascii="Times New Roman" w:hAnsi="Times New Roman" w:cs="Times New Roman"/>
          <w:sz w:val="24"/>
          <w:szCs w:val="24"/>
        </w:rPr>
        <w:t>0003),</w:t>
      </w:r>
    </w:p>
    <w:p w:rsidR="000369FD" w:rsidRPr="00565E4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65E4D">
        <w:rPr>
          <w:rFonts w:ascii="Times New Roman" w:hAnsi="Times New Roman" w:cs="Times New Roman"/>
          <w:sz w:val="24"/>
          <w:szCs w:val="24"/>
        </w:rPr>
        <w:t>– Vistas las propuestas textuales de la Unión Europea presentadas para su discusión con</w:t>
      </w:r>
      <w:r>
        <w:rPr>
          <w:rFonts w:ascii="Times New Roman" w:hAnsi="Times New Roman" w:cs="Times New Roman"/>
          <w:sz w:val="24"/>
          <w:szCs w:val="24"/>
        </w:rPr>
        <w:t xml:space="preserve"> </w:t>
      </w:r>
      <w:r w:rsidR="00382947">
        <w:rPr>
          <w:rFonts w:ascii="Times New Roman" w:hAnsi="Times New Roman" w:cs="Times New Roman"/>
          <w:sz w:val="24"/>
          <w:szCs w:val="24"/>
        </w:rPr>
        <w:t>los EEUU</w:t>
      </w:r>
      <w:r w:rsidRPr="00565E4D">
        <w:rPr>
          <w:rFonts w:ascii="Times New Roman" w:hAnsi="Times New Roman" w:cs="Times New Roman"/>
          <w:sz w:val="24"/>
          <w:szCs w:val="24"/>
        </w:rPr>
        <w:t xml:space="preserve"> en las rondas de negociación de la ATCI,</w:t>
      </w:r>
      <w:r>
        <w:rPr>
          <w:rFonts w:ascii="Times New Roman" w:hAnsi="Times New Roman" w:cs="Times New Roman"/>
          <w:sz w:val="24"/>
          <w:szCs w:val="24"/>
        </w:rPr>
        <w:t xml:space="preserve"> en particular las que han sido </w:t>
      </w:r>
      <w:r w:rsidRPr="00565E4D">
        <w:rPr>
          <w:rFonts w:ascii="Times New Roman" w:hAnsi="Times New Roman" w:cs="Times New Roman"/>
          <w:sz w:val="24"/>
          <w:szCs w:val="24"/>
        </w:rPr>
        <w:t>desclasificadas y hechas públicas por la Comisión,</w:t>
      </w:r>
      <w:r>
        <w:rPr>
          <w:rFonts w:ascii="Times New Roman" w:hAnsi="Times New Roman" w:cs="Times New Roman"/>
          <w:sz w:val="24"/>
          <w:szCs w:val="24"/>
        </w:rPr>
        <w:t xml:space="preserve"> entre otras, los documentos de posición de la UE titulados “</w:t>
      </w:r>
      <w:r w:rsidRPr="00565E4D">
        <w:rPr>
          <w:rFonts w:ascii="Times New Roman" w:hAnsi="Times New Roman" w:cs="Times New Roman"/>
          <w:sz w:val="24"/>
          <w:szCs w:val="24"/>
        </w:rPr>
        <w:t>cuestiones regl</w:t>
      </w:r>
      <w:r>
        <w:rPr>
          <w:rFonts w:ascii="Times New Roman" w:hAnsi="Times New Roman" w:cs="Times New Roman"/>
          <w:sz w:val="24"/>
          <w:szCs w:val="24"/>
        </w:rPr>
        <w:t>amentarias ATCI - Industrias de ingeniería”</w:t>
      </w:r>
      <w:r w:rsidRPr="00565E4D">
        <w:rPr>
          <w:rFonts w:ascii="Times New Roman" w:hAnsi="Times New Roman" w:cs="Times New Roman"/>
          <w:sz w:val="24"/>
          <w:szCs w:val="24"/>
        </w:rPr>
        <w:t xml:space="preserve">, </w:t>
      </w:r>
      <w:r>
        <w:rPr>
          <w:rFonts w:ascii="Times New Roman" w:hAnsi="Times New Roman" w:cs="Times New Roman"/>
          <w:sz w:val="24"/>
          <w:szCs w:val="24"/>
        </w:rPr>
        <w:t>“</w:t>
      </w:r>
      <w:r w:rsidRPr="00565E4D">
        <w:rPr>
          <w:rFonts w:ascii="Times New Roman" w:hAnsi="Times New Roman" w:cs="Times New Roman"/>
          <w:sz w:val="24"/>
          <w:szCs w:val="24"/>
        </w:rPr>
        <w:t>Caso de prueba sobre equivalencia funcio</w:t>
      </w:r>
      <w:r>
        <w:rPr>
          <w:rFonts w:ascii="Times New Roman" w:hAnsi="Times New Roman" w:cs="Times New Roman"/>
          <w:sz w:val="24"/>
          <w:szCs w:val="24"/>
        </w:rPr>
        <w:t xml:space="preserve">nal: metodología propuesta para </w:t>
      </w:r>
      <w:r w:rsidRPr="00565E4D">
        <w:rPr>
          <w:rFonts w:ascii="Times New Roman" w:hAnsi="Times New Roman" w:cs="Times New Roman"/>
          <w:sz w:val="24"/>
          <w:szCs w:val="24"/>
        </w:rPr>
        <w:t>equi</w:t>
      </w:r>
      <w:r>
        <w:rPr>
          <w:rFonts w:ascii="Times New Roman" w:hAnsi="Times New Roman" w:cs="Times New Roman"/>
          <w:sz w:val="24"/>
          <w:szCs w:val="24"/>
        </w:rPr>
        <w:t>valencia regulatoria automática”, y “</w:t>
      </w:r>
      <w:r w:rsidRPr="00565E4D">
        <w:rPr>
          <w:rFonts w:ascii="Times New Roman" w:hAnsi="Times New Roman" w:cs="Times New Roman"/>
          <w:sz w:val="24"/>
          <w:szCs w:val="24"/>
        </w:rPr>
        <w:t xml:space="preserve">Comercio y </w:t>
      </w:r>
      <w:r>
        <w:rPr>
          <w:rFonts w:ascii="Times New Roman" w:hAnsi="Times New Roman" w:cs="Times New Roman"/>
          <w:sz w:val="24"/>
          <w:szCs w:val="24"/>
        </w:rPr>
        <w:t xml:space="preserve">desarrollo sostenible/trabajo y </w:t>
      </w:r>
      <w:r w:rsidRPr="00565E4D">
        <w:rPr>
          <w:rFonts w:ascii="Times New Roman" w:hAnsi="Times New Roman" w:cs="Times New Roman"/>
          <w:sz w:val="24"/>
          <w:szCs w:val="24"/>
        </w:rPr>
        <w:t>medio ambiente: documento de la UE en el que se descr</w:t>
      </w:r>
      <w:r>
        <w:rPr>
          <w:rFonts w:ascii="Times New Roman" w:hAnsi="Times New Roman" w:cs="Times New Roman"/>
          <w:sz w:val="24"/>
          <w:szCs w:val="24"/>
        </w:rPr>
        <w:t>iben las cuestiones y elementos fundamentales de las disposiciones del ATCI”</w:t>
      </w:r>
      <w:r w:rsidRPr="00565E4D">
        <w:rPr>
          <w:rFonts w:ascii="Times New Roman" w:hAnsi="Times New Roman" w:cs="Times New Roman"/>
          <w:sz w:val="24"/>
          <w:szCs w:val="24"/>
        </w:rPr>
        <w:t>, y las pro</w:t>
      </w:r>
      <w:r>
        <w:rPr>
          <w:rFonts w:ascii="Times New Roman" w:hAnsi="Times New Roman" w:cs="Times New Roman"/>
          <w:sz w:val="24"/>
          <w:szCs w:val="24"/>
        </w:rPr>
        <w:t xml:space="preserve">puestas técnicas sobre barreras </w:t>
      </w:r>
      <w:r w:rsidRPr="00565E4D">
        <w:rPr>
          <w:rFonts w:ascii="Times New Roman" w:hAnsi="Times New Roman" w:cs="Times New Roman"/>
          <w:sz w:val="24"/>
          <w:szCs w:val="24"/>
        </w:rPr>
        <w:t>técnicas comerciales, medidas sanitarias y fitosanitarias</w:t>
      </w:r>
      <w:r>
        <w:rPr>
          <w:rFonts w:ascii="Times New Roman" w:hAnsi="Times New Roman" w:cs="Times New Roman"/>
          <w:sz w:val="24"/>
          <w:szCs w:val="24"/>
        </w:rPr>
        <w:t xml:space="preserve">, aduanas y facilitación </w:t>
      </w:r>
      <w:r w:rsidRPr="00565E4D">
        <w:rPr>
          <w:rFonts w:ascii="Times New Roman" w:hAnsi="Times New Roman" w:cs="Times New Roman"/>
          <w:sz w:val="24"/>
          <w:szCs w:val="24"/>
        </w:rPr>
        <w:t>comercial, pequeñas y medianas empresas (PYME)</w:t>
      </w:r>
      <w:r>
        <w:rPr>
          <w:rFonts w:ascii="Times New Roman" w:hAnsi="Times New Roman" w:cs="Times New Roman"/>
          <w:sz w:val="24"/>
          <w:szCs w:val="24"/>
        </w:rPr>
        <w:t xml:space="preserve">, posibles disposiciones sobre </w:t>
      </w:r>
      <w:r w:rsidRPr="00565E4D">
        <w:rPr>
          <w:rFonts w:ascii="Times New Roman" w:hAnsi="Times New Roman" w:cs="Times New Roman"/>
          <w:sz w:val="24"/>
          <w:szCs w:val="24"/>
        </w:rPr>
        <w:t>competencia, posibles disposiciones sobre empresas p</w:t>
      </w:r>
      <w:r>
        <w:rPr>
          <w:rFonts w:ascii="Times New Roman" w:hAnsi="Times New Roman" w:cs="Times New Roman"/>
          <w:sz w:val="24"/>
          <w:szCs w:val="24"/>
        </w:rPr>
        <w:t xml:space="preserve">úblicas y empresas a las que se </w:t>
      </w:r>
      <w:r w:rsidRPr="00565E4D">
        <w:rPr>
          <w:rFonts w:ascii="Times New Roman" w:hAnsi="Times New Roman" w:cs="Times New Roman"/>
          <w:sz w:val="24"/>
          <w:szCs w:val="24"/>
        </w:rPr>
        <w:t>les ha concedido derechos o privilegios especiales o exclusivos</w:t>
      </w:r>
      <w:r>
        <w:rPr>
          <w:rFonts w:ascii="Times New Roman" w:hAnsi="Times New Roman" w:cs="Times New Roman"/>
          <w:sz w:val="24"/>
          <w:szCs w:val="24"/>
        </w:rPr>
        <w:t xml:space="preserve">, posibles disposiciones sobre </w:t>
      </w:r>
      <w:r w:rsidRPr="00565E4D">
        <w:rPr>
          <w:rFonts w:ascii="Times New Roman" w:hAnsi="Times New Roman" w:cs="Times New Roman"/>
          <w:sz w:val="24"/>
          <w:szCs w:val="24"/>
        </w:rPr>
        <w:t>subvenciones, y solución de disputas,</w:t>
      </w:r>
    </w:p>
    <w:p w:rsidR="000369FD" w:rsidRPr="005958C9"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958C9">
        <w:rPr>
          <w:rFonts w:ascii="Times New Roman" w:hAnsi="Times New Roman" w:cs="Times New Roman"/>
          <w:sz w:val="24"/>
          <w:szCs w:val="24"/>
        </w:rPr>
        <w:t xml:space="preserve">– Visto el informe final de 28 de abril de 2014 elaborado por ECORYS para la Comisión titulado “Trade Sustainability Impact Assessment (Trade SIA) in support of negotiations of a comprehensive trade and investment agreement between the European Union and the United States of America” (“Evaluación de impacto sobre la </w:t>
      </w:r>
      <w:r w:rsidRPr="00565E4D">
        <w:rPr>
          <w:rFonts w:ascii="Times New Roman" w:hAnsi="Times New Roman" w:cs="Times New Roman"/>
          <w:sz w:val="24"/>
          <w:szCs w:val="24"/>
        </w:rPr>
        <w:t>sostenibilidad comercial (EIS comercial) en apoyo de las negociaciones de un acuerdo</w:t>
      </w:r>
      <w:r>
        <w:rPr>
          <w:rFonts w:ascii="Times New Roman" w:hAnsi="Times New Roman" w:cs="Times New Roman"/>
          <w:sz w:val="24"/>
          <w:szCs w:val="24"/>
        </w:rPr>
        <w:t xml:space="preserve"> </w:t>
      </w:r>
      <w:r w:rsidRPr="00565E4D">
        <w:rPr>
          <w:rFonts w:ascii="Times New Roman" w:hAnsi="Times New Roman" w:cs="Times New Roman"/>
          <w:sz w:val="24"/>
          <w:szCs w:val="24"/>
        </w:rPr>
        <w:t xml:space="preserve">global de comercio e inversión entre la Unión </w:t>
      </w:r>
      <w:r>
        <w:rPr>
          <w:rFonts w:ascii="Times New Roman" w:hAnsi="Times New Roman" w:cs="Times New Roman"/>
          <w:sz w:val="24"/>
          <w:szCs w:val="24"/>
        </w:rPr>
        <w:t>Europea y los Estados Unidos de América”</w:t>
      </w:r>
      <w:r w:rsidRPr="005958C9">
        <w:rPr>
          <w:rFonts w:ascii="Times New Roman" w:hAnsi="Times New Roman" w:cs="Times New Roman"/>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958C9">
        <w:rPr>
          <w:rFonts w:ascii="Times New Roman" w:hAnsi="Times New Roman" w:cs="Times New Roman"/>
          <w:sz w:val="24"/>
          <w:szCs w:val="24"/>
        </w:rPr>
        <w:t>– Visto el documento “Detailed Appraisal of the European Commission’s Impact Assessment on EU-US Transatlantic Trade and In</w:t>
      </w:r>
      <w:r>
        <w:rPr>
          <w:rFonts w:ascii="Times New Roman" w:hAnsi="Times New Roman" w:cs="Times New Roman"/>
          <w:sz w:val="24"/>
          <w:szCs w:val="24"/>
        </w:rPr>
        <w:t>vestment Partnership” (“</w:t>
      </w:r>
      <w:r w:rsidRPr="005958C9">
        <w:rPr>
          <w:rFonts w:ascii="Times New Roman" w:hAnsi="Times New Roman" w:cs="Times New Roman"/>
          <w:sz w:val="24"/>
          <w:szCs w:val="24"/>
        </w:rPr>
        <w:t xml:space="preserve">Balance </w:t>
      </w:r>
      <w:r w:rsidRPr="00565E4D">
        <w:rPr>
          <w:rFonts w:ascii="Times New Roman" w:hAnsi="Times New Roman" w:cs="Times New Roman"/>
          <w:sz w:val="24"/>
          <w:szCs w:val="24"/>
        </w:rPr>
        <w:t>detallado de la evaluación de impacto de la Comisión Europea sobre la Asociación</w:t>
      </w:r>
      <w:r>
        <w:rPr>
          <w:rFonts w:ascii="Times New Roman" w:hAnsi="Times New Roman" w:cs="Times New Roman"/>
          <w:sz w:val="24"/>
          <w:szCs w:val="24"/>
        </w:rPr>
        <w:t xml:space="preserve"> </w:t>
      </w:r>
      <w:r w:rsidRPr="00565E4D">
        <w:rPr>
          <w:rFonts w:ascii="Times New Roman" w:hAnsi="Times New Roman" w:cs="Times New Roman"/>
          <w:sz w:val="24"/>
          <w:szCs w:val="24"/>
        </w:rPr>
        <w:t>Transatlántica de comercio e inv</w:t>
      </w:r>
      <w:r w:rsidR="003C7DEE">
        <w:rPr>
          <w:rFonts w:ascii="Times New Roman" w:hAnsi="Times New Roman" w:cs="Times New Roman"/>
          <w:sz w:val="24"/>
          <w:szCs w:val="24"/>
        </w:rPr>
        <w:t>ersión entre la UE y los EEUU</w:t>
      </w:r>
      <w:r>
        <w:rPr>
          <w:rFonts w:ascii="Times New Roman" w:hAnsi="Times New Roman" w:cs="Times New Roman"/>
          <w:sz w:val="24"/>
          <w:szCs w:val="24"/>
        </w:rPr>
        <w:t xml:space="preserve">”), publicado en abril </w:t>
      </w:r>
      <w:r w:rsidRPr="00565E4D">
        <w:rPr>
          <w:rFonts w:ascii="Times New Roman" w:hAnsi="Times New Roman" w:cs="Times New Roman"/>
          <w:sz w:val="24"/>
          <w:szCs w:val="24"/>
        </w:rPr>
        <w:t>de 2014 por CEPS para el Parlamento,</w:t>
      </w:r>
    </w:p>
    <w:p w:rsidR="000369FD" w:rsidRPr="005958C9"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958C9">
        <w:rPr>
          <w:rFonts w:ascii="Times New Roman" w:hAnsi="Times New Roman" w:cs="Times New Roman"/>
          <w:sz w:val="24"/>
          <w:szCs w:val="24"/>
        </w:rPr>
        <w:lastRenderedPageBreak/>
        <w:t>– Vistas sus anteriores resoluciones, en particular las del 23 de octubre de 2012 sobre las</w:t>
      </w:r>
      <w:r>
        <w:rPr>
          <w:rFonts w:ascii="Times New Roman" w:hAnsi="Times New Roman" w:cs="Times New Roman"/>
          <w:sz w:val="24"/>
          <w:szCs w:val="24"/>
        </w:rPr>
        <w:t xml:space="preserve"> </w:t>
      </w:r>
      <w:r w:rsidRPr="005958C9">
        <w:rPr>
          <w:rFonts w:ascii="Times New Roman" w:hAnsi="Times New Roman" w:cs="Times New Roman"/>
          <w:sz w:val="24"/>
          <w:szCs w:val="24"/>
        </w:rPr>
        <w:t>relaciones económicas y comerciales con los Estados Unidos, 23</w:t>
      </w:r>
      <w:r>
        <w:rPr>
          <w:rFonts w:ascii="Times New Roman" w:hAnsi="Times New Roman" w:cs="Times New Roman"/>
          <w:sz w:val="24"/>
          <w:szCs w:val="24"/>
        </w:rPr>
        <w:t xml:space="preserve"> de mayo de 2013 </w:t>
      </w:r>
      <w:r w:rsidRPr="005958C9">
        <w:rPr>
          <w:rFonts w:ascii="Times New Roman" w:hAnsi="Times New Roman" w:cs="Times New Roman"/>
          <w:sz w:val="24"/>
          <w:szCs w:val="24"/>
        </w:rPr>
        <w:t>sobre las negociaciones en materia de comercio e inve</w:t>
      </w:r>
      <w:r>
        <w:rPr>
          <w:rFonts w:ascii="Times New Roman" w:hAnsi="Times New Roman" w:cs="Times New Roman"/>
          <w:sz w:val="24"/>
          <w:szCs w:val="24"/>
        </w:rPr>
        <w:t xml:space="preserve">rsión entre la UE y los Estados </w:t>
      </w:r>
      <w:r w:rsidRPr="005958C9">
        <w:rPr>
          <w:rFonts w:ascii="Times New Roman" w:hAnsi="Times New Roman" w:cs="Times New Roman"/>
          <w:sz w:val="24"/>
          <w:szCs w:val="24"/>
        </w:rPr>
        <w:t xml:space="preserve">Unidos de América, 12 de marzo de 2014 sobre </w:t>
      </w:r>
      <w:r>
        <w:rPr>
          <w:rFonts w:ascii="Times New Roman" w:hAnsi="Times New Roman" w:cs="Times New Roman"/>
          <w:sz w:val="24"/>
          <w:szCs w:val="24"/>
        </w:rPr>
        <w:t xml:space="preserve">el programa de vigilancia de la </w:t>
      </w:r>
      <w:r w:rsidRPr="005958C9">
        <w:rPr>
          <w:rFonts w:ascii="Times New Roman" w:hAnsi="Times New Roman" w:cs="Times New Roman"/>
          <w:sz w:val="24"/>
          <w:szCs w:val="24"/>
        </w:rPr>
        <w:t xml:space="preserve">Agencia </w:t>
      </w:r>
      <w:r w:rsidR="00382947">
        <w:rPr>
          <w:rFonts w:ascii="Times New Roman" w:hAnsi="Times New Roman" w:cs="Times New Roman"/>
          <w:sz w:val="24"/>
          <w:szCs w:val="24"/>
        </w:rPr>
        <w:t>Nacional de Seguridad de los EEUU</w:t>
      </w:r>
      <w:r w:rsidRPr="005958C9">
        <w:rPr>
          <w:rFonts w:ascii="Times New Roman" w:hAnsi="Times New Roman" w:cs="Times New Roman"/>
          <w:sz w:val="24"/>
          <w:szCs w:val="24"/>
        </w:rPr>
        <w:t>, los órganos de vigilancia en di</w:t>
      </w:r>
      <w:r>
        <w:rPr>
          <w:rFonts w:ascii="Times New Roman" w:hAnsi="Times New Roman" w:cs="Times New Roman"/>
          <w:sz w:val="24"/>
          <w:szCs w:val="24"/>
        </w:rPr>
        <w:t xml:space="preserve">versos </w:t>
      </w:r>
      <w:r w:rsidRPr="005958C9">
        <w:rPr>
          <w:rFonts w:ascii="Times New Roman" w:hAnsi="Times New Roman" w:cs="Times New Roman"/>
          <w:sz w:val="24"/>
          <w:szCs w:val="24"/>
        </w:rPr>
        <w:t>Estados miembros y su impacto en los derechos fundam</w:t>
      </w:r>
      <w:r>
        <w:rPr>
          <w:rFonts w:ascii="Times New Roman" w:hAnsi="Times New Roman" w:cs="Times New Roman"/>
          <w:sz w:val="24"/>
          <w:szCs w:val="24"/>
        </w:rPr>
        <w:t xml:space="preserve">entales de los ciudadanos de la </w:t>
      </w:r>
      <w:r w:rsidRPr="005958C9">
        <w:rPr>
          <w:rFonts w:ascii="Times New Roman" w:hAnsi="Times New Roman" w:cs="Times New Roman"/>
          <w:sz w:val="24"/>
          <w:szCs w:val="24"/>
        </w:rPr>
        <w:t>UE y en la cooperación transatlántica en materia de justicia y asuntos de interior</w:t>
      </w:r>
      <w:r>
        <w:rPr>
          <w:rFonts w:ascii="Times New Roman" w:hAnsi="Times New Roman" w:cs="Times New Roman"/>
          <w:sz w:val="24"/>
          <w:szCs w:val="24"/>
        </w:rPr>
        <w:t xml:space="preserve">, y de </w:t>
      </w:r>
      <w:r w:rsidRPr="005958C9">
        <w:rPr>
          <w:rFonts w:ascii="Times New Roman" w:hAnsi="Times New Roman" w:cs="Times New Roman"/>
          <w:sz w:val="24"/>
          <w:szCs w:val="24"/>
        </w:rPr>
        <w:t>15 de enero de 2015 sobre el Informe anual relativo a las actividades del D</w:t>
      </w:r>
      <w:r>
        <w:rPr>
          <w:rFonts w:ascii="Times New Roman" w:hAnsi="Times New Roman" w:cs="Times New Roman"/>
          <w:sz w:val="24"/>
          <w:szCs w:val="24"/>
        </w:rPr>
        <w:t xml:space="preserve">efensor del </w:t>
      </w:r>
      <w:r w:rsidRPr="005958C9">
        <w:rPr>
          <w:rFonts w:ascii="Times New Roman" w:hAnsi="Times New Roman" w:cs="Times New Roman"/>
          <w:sz w:val="24"/>
          <w:szCs w:val="24"/>
        </w:rPr>
        <w:t>Pueblo en 2013,</w:t>
      </w:r>
    </w:p>
    <w:p w:rsidR="000369FD" w:rsidRPr="005958C9"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958C9">
        <w:rPr>
          <w:rFonts w:ascii="Times New Roman" w:hAnsi="Times New Roman" w:cs="Times New Roman"/>
          <w:sz w:val="24"/>
          <w:szCs w:val="24"/>
        </w:rPr>
        <w:t>– Vistos los artículos 108, apartado 4, y 52 de su Reglamento,</w:t>
      </w:r>
    </w:p>
    <w:p w:rsidR="000369FD" w:rsidRPr="005958C9" w:rsidRDefault="000369FD" w:rsidP="000369FD">
      <w:pPr>
        <w:autoSpaceDE w:val="0"/>
        <w:autoSpaceDN w:val="0"/>
        <w:adjustRightInd w:val="0"/>
        <w:spacing w:after="0" w:line="240" w:lineRule="auto"/>
        <w:jc w:val="both"/>
        <w:rPr>
          <w:rFonts w:ascii="Times New Roman" w:hAnsi="Times New Roman" w:cs="Times New Roman"/>
          <w:sz w:val="24"/>
          <w:szCs w:val="24"/>
        </w:rPr>
      </w:pPr>
      <w:r w:rsidRPr="005958C9">
        <w:rPr>
          <w:rFonts w:ascii="Times New Roman" w:hAnsi="Times New Roman" w:cs="Times New Roman"/>
          <w:sz w:val="24"/>
          <w:szCs w:val="24"/>
        </w:rPr>
        <w:t>– Visto el informe de la Comisión de Comercio Inte</w:t>
      </w:r>
      <w:r w:rsidR="00382947">
        <w:rPr>
          <w:rFonts w:ascii="Times New Roman" w:hAnsi="Times New Roman" w:cs="Times New Roman"/>
          <w:sz w:val="24"/>
          <w:szCs w:val="24"/>
        </w:rPr>
        <w:t xml:space="preserve">rnacional y las opiniones de la </w:t>
      </w:r>
      <w:r w:rsidRPr="005958C9">
        <w:rPr>
          <w:rFonts w:ascii="Times New Roman" w:hAnsi="Times New Roman" w:cs="Times New Roman"/>
          <w:sz w:val="24"/>
          <w:szCs w:val="24"/>
        </w:rPr>
        <w:t>Comisión de Asuntos Exteriores, la Comisión de Des</w:t>
      </w:r>
      <w:r>
        <w:rPr>
          <w:rFonts w:ascii="Times New Roman" w:hAnsi="Times New Roman" w:cs="Times New Roman"/>
          <w:sz w:val="24"/>
          <w:szCs w:val="24"/>
        </w:rPr>
        <w:t xml:space="preserve">arrollo, la Comisión de Asuntos </w:t>
      </w:r>
      <w:r w:rsidRPr="005958C9">
        <w:rPr>
          <w:rFonts w:ascii="Times New Roman" w:hAnsi="Times New Roman" w:cs="Times New Roman"/>
          <w:sz w:val="24"/>
          <w:szCs w:val="24"/>
        </w:rPr>
        <w:t xml:space="preserve">Económicos y Monetarios, de la Comisión de Empleo </w:t>
      </w:r>
      <w:r>
        <w:rPr>
          <w:rFonts w:ascii="Times New Roman" w:hAnsi="Times New Roman" w:cs="Times New Roman"/>
          <w:sz w:val="24"/>
          <w:szCs w:val="24"/>
        </w:rPr>
        <w:t xml:space="preserve">y Asuntos Sociales, la Comisión </w:t>
      </w:r>
      <w:r w:rsidRPr="005958C9">
        <w:rPr>
          <w:rFonts w:ascii="Times New Roman" w:hAnsi="Times New Roman" w:cs="Times New Roman"/>
          <w:sz w:val="24"/>
          <w:szCs w:val="24"/>
        </w:rPr>
        <w:t>de Medio Ambiente, Salud Pública y Seguridad Aliment</w:t>
      </w:r>
      <w:r>
        <w:rPr>
          <w:rFonts w:ascii="Times New Roman" w:hAnsi="Times New Roman" w:cs="Times New Roman"/>
          <w:sz w:val="24"/>
          <w:szCs w:val="24"/>
        </w:rPr>
        <w:t xml:space="preserve">aria, la Comisión de Industria, </w:t>
      </w:r>
      <w:r w:rsidRPr="005958C9">
        <w:rPr>
          <w:rFonts w:ascii="Times New Roman" w:hAnsi="Times New Roman" w:cs="Times New Roman"/>
          <w:sz w:val="24"/>
          <w:szCs w:val="24"/>
        </w:rPr>
        <w:t>Investigación y Energía, la Comisión de Mercado Interi</w:t>
      </w:r>
      <w:r>
        <w:rPr>
          <w:rFonts w:ascii="Times New Roman" w:hAnsi="Times New Roman" w:cs="Times New Roman"/>
          <w:sz w:val="24"/>
          <w:szCs w:val="24"/>
        </w:rPr>
        <w:t xml:space="preserve">or y Protección del Consumidor, </w:t>
      </w:r>
      <w:r w:rsidRPr="005958C9">
        <w:rPr>
          <w:rFonts w:ascii="Times New Roman" w:hAnsi="Times New Roman" w:cs="Times New Roman"/>
          <w:sz w:val="24"/>
          <w:szCs w:val="24"/>
        </w:rPr>
        <w:t xml:space="preserve">la Comisión de Transportes y Turismo, la Comisión de </w:t>
      </w:r>
      <w:r>
        <w:rPr>
          <w:rFonts w:ascii="Times New Roman" w:hAnsi="Times New Roman" w:cs="Times New Roman"/>
          <w:sz w:val="24"/>
          <w:szCs w:val="24"/>
        </w:rPr>
        <w:t xml:space="preserve">Agricultura y Desarrollo Rural, </w:t>
      </w:r>
      <w:r w:rsidRPr="005958C9">
        <w:rPr>
          <w:rFonts w:ascii="Times New Roman" w:hAnsi="Times New Roman" w:cs="Times New Roman"/>
          <w:sz w:val="24"/>
          <w:szCs w:val="24"/>
        </w:rPr>
        <w:t>la Comisión de Cultura y Educación, la Comisión de As</w:t>
      </w:r>
      <w:r w:rsidR="00382947">
        <w:rPr>
          <w:rFonts w:ascii="Times New Roman" w:hAnsi="Times New Roman" w:cs="Times New Roman"/>
          <w:sz w:val="24"/>
          <w:szCs w:val="24"/>
        </w:rPr>
        <w:t xml:space="preserve">untos Jurídicos, la Comisión de </w:t>
      </w:r>
      <w:r w:rsidRPr="005958C9">
        <w:rPr>
          <w:rFonts w:ascii="Times New Roman" w:hAnsi="Times New Roman" w:cs="Times New Roman"/>
          <w:sz w:val="24"/>
          <w:szCs w:val="24"/>
        </w:rPr>
        <w:t>Libertades Civiles, Justicia y Asuntos de I</w:t>
      </w:r>
      <w:r>
        <w:rPr>
          <w:rFonts w:ascii="Times New Roman" w:hAnsi="Times New Roman" w:cs="Times New Roman"/>
          <w:sz w:val="24"/>
          <w:szCs w:val="24"/>
        </w:rPr>
        <w:t xml:space="preserve">nterior, la Comisión de Asuntos </w:t>
      </w:r>
      <w:r w:rsidRPr="005958C9">
        <w:rPr>
          <w:rFonts w:ascii="Times New Roman" w:hAnsi="Times New Roman" w:cs="Times New Roman"/>
          <w:sz w:val="24"/>
          <w:szCs w:val="24"/>
        </w:rPr>
        <w:t>Constitucionales y la Comisión de Peticiones (A80000/2015),</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A. </w:t>
      </w:r>
      <w:r w:rsidRPr="0086393F">
        <w:rPr>
          <w:rFonts w:ascii="Times New Roman" w:hAnsi="Times New Roman" w:cs="Times New Roman"/>
          <w:color w:val="FF0000"/>
          <w:sz w:val="24"/>
          <w:szCs w:val="24"/>
        </w:rPr>
        <w:t>Considerando que un acuerdo ambicioso con lo</w:t>
      </w:r>
      <w:r>
        <w:rPr>
          <w:rFonts w:ascii="Times New Roman" w:hAnsi="Times New Roman" w:cs="Times New Roman"/>
          <w:color w:val="FF0000"/>
          <w:sz w:val="24"/>
          <w:szCs w:val="24"/>
        </w:rPr>
        <w:t>s EEUU</w:t>
      </w:r>
      <w:r w:rsidRPr="0086393F">
        <w:rPr>
          <w:rFonts w:ascii="Times New Roman" w:hAnsi="Times New Roman" w:cs="Times New Roman"/>
          <w:color w:val="FF0000"/>
          <w:sz w:val="24"/>
          <w:szCs w:val="24"/>
        </w:rPr>
        <w:t xml:space="preserve"> podría contribuir a la reindustrialización de Europa y a hacer que el objetivo de que la industria genere el 15 % del PIB de la UE para 2020, aumente al 20 %; que tiene el potencial para generar oportunidades, en especial para las PYME, que se ven más afectadas por las barreras no arancelarias que las empresas más grandes; que el acuerdo entre los dos grandes bloques económicos del mundo ofrece, además, la posibilidad de crear estándares, normas y reglas que se adoptarían a nivel mundial, lo que beneficiaría incluso a terceros países;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B. </w:t>
      </w:r>
      <w:r w:rsidRPr="0086393F">
        <w:rPr>
          <w:rFonts w:ascii="Times New Roman" w:hAnsi="Times New Roman" w:cs="Times New Roman"/>
          <w:color w:val="FF0000"/>
          <w:sz w:val="24"/>
          <w:szCs w:val="24"/>
        </w:rPr>
        <w:t>Considerando que, dada la creciente interconexión de los mercados mundiales (hasta un 40 % de los productos industriales europeos se fabrican a partir de productos transformados importados), es crucial que los políticos configuren la manera de interactuar de estos mercados; que contar con reglas comerciales adecuadas es fundamental para la creación de valor añadido en Europa, ya que la producción industrial se lleva a cabo en las cadenas de valor mundiales;</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C. </w:t>
      </w:r>
      <w:r w:rsidRPr="0086393F">
        <w:rPr>
          <w:rFonts w:ascii="Times New Roman" w:hAnsi="Times New Roman" w:cs="Times New Roman"/>
          <w:color w:val="FF0000"/>
          <w:sz w:val="24"/>
          <w:szCs w:val="24"/>
        </w:rPr>
        <w:t>Considerando que nos encontramos ante una imagen de la globalización sin regulación y un acuerdo comercial bien diseñado podría contribuir al aprovechamiento de la liberalización; que un acuerdo de este tipo no solo debe centrarse en la reducción de los aranceles y de las barreras no arancelarias, sino también debe representar una herramienta que permita proteger a los trabajadores, los consumidores y el medio ambiente; que un acuerdo comercial fuerte y ambicioso constituye una oportunidad para crear un marco mediante el fortalecimiento de la regulación conforme a los más altos estándares a nivel mundial con el fin de evitar el dumping social y ambiental;</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D. </w:t>
      </w:r>
      <w:r w:rsidRPr="0086393F">
        <w:rPr>
          <w:rFonts w:ascii="Times New Roman" w:hAnsi="Times New Roman" w:cs="Times New Roman"/>
          <w:color w:val="FF0000"/>
          <w:sz w:val="24"/>
          <w:szCs w:val="24"/>
        </w:rPr>
        <w:t>Considerando que, a pesar de que unas normas comunes exigentes benefician a los consumidores, hay que señalar que también tienen sentido desde el punto de vista económico, ya que los mayores costes derivados de unos estándares más estrictos se ven compensados por el aumento de las economías de escala en un mercado de 850 millones de consumidores;</w:t>
      </w:r>
    </w:p>
    <w:p w:rsidR="000369FD" w:rsidRPr="002C673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lastRenderedPageBreak/>
        <w:t xml:space="preserve">E. </w:t>
      </w:r>
      <w:r w:rsidRPr="0086393F">
        <w:rPr>
          <w:rFonts w:ascii="Times New Roman" w:hAnsi="Times New Roman" w:cs="Times New Roman"/>
          <w:color w:val="FF0000"/>
          <w:sz w:val="24"/>
          <w:szCs w:val="24"/>
        </w:rPr>
        <w:t>Considerando que muchos de los estudios de impacto económico sobre la ATCI deben tomarse con cautela, ya que se basan en modelos económicos de equilibrio general computables con predicciones muy optimistas sobre</w:t>
      </w:r>
      <w:r>
        <w:rPr>
          <w:rFonts w:ascii="Times New Roman" w:hAnsi="Times New Roman" w:cs="Times New Roman"/>
          <w:color w:val="FF0000"/>
          <w:sz w:val="24"/>
          <w:szCs w:val="24"/>
        </w:rPr>
        <w:t xml:space="preserve"> la capacidad de la UE y los EEUU</w:t>
      </w:r>
      <w:r w:rsidRPr="0086393F">
        <w:rPr>
          <w:rFonts w:ascii="Times New Roman" w:hAnsi="Times New Roman" w:cs="Times New Roman"/>
          <w:color w:val="FF0000"/>
          <w:sz w:val="24"/>
          <w:szCs w:val="24"/>
        </w:rPr>
        <w:t xml:space="preserve"> para reducir las barreras regulatorias al comercio; que el ATCI por sí sola no va a resolver los problemas económicos de la UE y que no se deben suscitar falsas esperanzas y expectativas en ese sentido;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F. </w:t>
      </w:r>
      <w:r w:rsidRPr="0086393F">
        <w:rPr>
          <w:rFonts w:ascii="Times New Roman" w:hAnsi="Times New Roman" w:cs="Times New Roman"/>
          <w:color w:val="FF0000"/>
          <w:sz w:val="24"/>
          <w:szCs w:val="24"/>
        </w:rPr>
        <w:t>Considerando que el bienestar de los ciudadanos comunes, los trabajadores y los consumidores tiene que ser el punto de referencia para un acuerdo comercial; que el ATCI debe ser un modelo para un buen acuerdo comercial que responda a estas necesidades;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G. </w:t>
      </w:r>
      <w:r w:rsidRPr="00B520CE">
        <w:rPr>
          <w:rFonts w:ascii="Times New Roman" w:hAnsi="Times New Roman" w:cs="Times New Roman"/>
          <w:color w:val="FF0000"/>
          <w:sz w:val="24"/>
          <w:szCs w:val="24"/>
        </w:rPr>
        <w:t>Considerando que el carácter secreto de las negociaciones, como se han realizado en el pasado, ha dado lugar a deficiencias en términos de control democrático del proceso de negociación;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H. </w:t>
      </w:r>
      <w:r w:rsidRPr="00B520CE">
        <w:rPr>
          <w:rFonts w:ascii="Times New Roman" w:hAnsi="Times New Roman" w:cs="Times New Roman"/>
          <w:color w:val="FF0000"/>
          <w:sz w:val="24"/>
          <w:szCs w:val="24"/>
        </w:rPr>
        <w:t>Considerando que el Presidente Juncker ha reiterado claramente en sus directrices polít</w:t>
      </w:r>
      <w:r>
        <w:rPr>
          <w:rFonts w:ascii="Times New Roman" w:hAnsi="Times New Roman" w:cs="Times New Roman"/>
          <w:color w:val="FF0000"/>
          <w:sz w:val="24"/>
          <w:szCs w:val="24"/>
        </w:rPr>
        <w:t>icas que, aunque la UE y los EEUU</w:t>
      </w:r>
      <w:r w:rsidRPr="00B520CE">
        <w:rPr>
          <w:rFonts w:ascii="Times New Roman" w:hAnsi="Times New Roman" w:cs="Times New Roman"/>
          <w:color w:val="FF0000"/>
          <w:sz w:val="24"/>
          <w:szCs w:val="24"/>
        </w:rPr>
        <w:t xml:space="preserve"> pueden avanzar significativamente en el reconocimiento de las respectivas normas de producto y en la elaboración de normas transatlánticas, la UE no va a sacrificar sus normas en materia de seguridad, salud, ámbito social y protección de datos o nuestra diversidad cultural, recordando que la seguridad alimentaria y la protección de los datos personales de los europeos no son negociables;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 </w:t>
      </w:r>
      <w:r w:rsidRPr="00B520CE">
        <w:rPr>
          <w:rFonts w:ascii="Times New Roman" w:hAnsi="Times New Roman" w:cs="Times New Roman"/>
          <w:color w:val="FF0000"/>
          <w:sz w:val="24"/>
          <w:szCs w:val="24"/>
        </w:rPr>
        <w:t>Considerando que el Presidente Juncker también ha especificado claramente en sus directrices políticas que no aceptará que la competencia de los órganos jurisdiccionales de los Estados miembros quede limitada por regímenes especiales para los litigios entre inversores; que ahora que los resultados de la consulta pública sobre la protección de las inversiones y la solución de diferencias entre inversores y Estados están disponibles (teniendo en cuenta las aportaciones críticas y constructivas presentadas), se necesita un proceso de reflexión entre las tres instituciones europeas y dentro de ellas sobre la mejor manera de lograr la protección de las inversiones y la igualdad de trato de los inversores,</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J. </w:t>
      </w:r>
      <w:r w:rsidRPr="00B520CE">
        <w:rPr>
          <w:rFonts w:ascii="Times New Roman" w:hAnsi="Times New Roman" w:cs="Times New Roman"/>
          <w:color w:val="FF0000"/>
          <w:sz w:val="24"/>
          <w:szCs w:val="24"/>
        </w:rPr>
        <w:t>Considerando que hay muchas voces críticas en el debate público que han demostrado que es necesario que las negociaciones del ATCI se efectúen de forma más transparente e inclusiva, teniendo en cuenta las preocupaciones manifestadas por los ciudadanos europeos; que el Parlamento apoya plenamente la decisión del Consejo de desclasificar las directrices de negociación y la iniciativa de transparencia de la Comisión.</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K. </w:t>
      </w:r>
      <w:r w:rsidRPr="00B520CE">
        <w:rPr>
          <w:rFonts w:ascii="Times New Roman" w:hAnsi="Times New Roman" w:cs="Times New Roman"/>
          <w:color w:val="FF0000"/>
          <w:sz w:val="24"/>
          <w:szCs w:val="24"/>
        </w:rPr>
        <w:t>Considerando que, desde julio de 2013, hay en marcha</w:t>
      </w:r>
      <w:r>
        <w:rPr>
          <w:rFonts w:ascii="Times New Roman" w:hAnsi="Times New Roman" w:cs="Times New Roman"/>
          <w:color w:val="FF0000"/>
          <w:sz w:val="24"/>
          <w:szCs w:val="24"/>
        </w:rPr>
        <w:t xml:space="preserve"> conversaciones entre los EEUU</w:t>
      </w:r>
      <w:r w:rsidRPr="00B520CE">
        <w:rPr>
          <w:rFonts w:ascii="Times New Roman" w:hAnsi="Times New Roman" w:cs="Times New Roman"/>
          <w:color w:val="FF0000"/>
          <w:sz w:val="24"/>
          <w:szCs w:val="24"/>
        </w:rPr>
        <w:t xml:space="preserve"> y la UE, pero que hasta el momento no se ha acordado ningún texto común y ahora es el momento adecuado para llevar a cabo una reflexión sobre el estado de la situación;</w:t>
      </w:r>
    </w:p>
    <w:p w:rsidR="00382947" w:rsidRPr="00B520CE" w:rsidRDefault="00382947"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2C6736">
        <w:rPr>
          <w:rFonts w:ascii="Times New Roman" w:hAnsi="Times New Roman" w:cs="Times New Roman"/>
          <w:sz w:val="24"/>
          <w:szCs w:val="24"/>
        </w:rPr>
        <w:t>1. Dirige, en el contexto de las negociaciones en curs</w:t>
      </w:r>
      <w:r>
        <w:rPr>
          <w:rFonts w:ascii="Times New Roman" w:hAnsi="Times New Roman" w:cs="Times New Roman"/>
          <w:sz w:val="24"/>
          <w:szCs w:val="24"/>
        </w:rPr>
        <w:t xml:space="preserve">o sobre el ATCI, </w:t>
      </w:r>
      <w:r w:rsidRPr="00B520CE">
        <w:rPr>
          <w:rFonts w:ascii="Times New Roman" w:hAnsi="Times New Roman" w:cs="Times New Roman"/>
          <w:color w:val="FF0000"/>
          <w:sz w:val="24"/>
          <w:szCs w:val="24"/>
        </w:rPr>
        <w:t>las siguientes recomendaciones a la Comisión:</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C6736">
        <w:rPr>
          <w:rFonts w:ascii="Times New Roman" w:hAnsi="Times New Roman" w:cs="Times New Roman"/>
          <w:sz w:val="24"/>
          <w:szCs w:val="24"/>
        </w:rPr>
        <w:t>(a) en relación con el alcance y el contexto más amplio:</w:t>
      </w:r>
    </w:p>
    <w:p w:rsidR="000369FD" w:rsidRPr="002C673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 </w:t>
      </w:r>
      <w:r w:rsidRPr="00B520CE">
        <w:rPr>
          <w:rFonts w:ascii="Times New Roman" w:hAnsi="Times New Roman" w:cs="Times New Roman"/>
          <w:color w:val="FF0000"/>
          <w:sz w:val="24"/>
          <w:szCs w:val="24"/>
        </w:rPr>
        <w:t xml:space="preserve">asegurar que las negociaciones de la ATCI dan lugar a un acuerdo de comercio e inversión profundo, amplio, ambicioso, equilibrado y de alto nivel que promueva el crecimiento sostenible, fomente la creación de empleos de alta calidad para los trabajadores europeos, beneficie directamente a los consumidores europeos, aumente la </w:t>
      </w:r>
      <w:r w:rsidRPr="00B520CE">
        <w:rPr>
          <w:rFonts w:ascii="Times New Roman" w:hAnsi="Times New Roman" w:cs="Times New Roman"/>
          <w:color w:val="FF0000"/>
          <w:sz w:val="24"/>
          <w:szCs w:val="24"/>
        </w:rPr>
        <w:lastRenderedPageBreak/>
        <w:t>competitividad internacional, y abra nuevas oportunidades para las empresas de la UE, en particular las PYME; el contenido del acuerdo es más importante que la velocidad de las negociaciones;</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(ii) </w:t>
      </w:r>
      <w:r w:rsidRPr="00B520CE">
        <w:rPr>
          <w:rFonts w:ascii="Times New Roman" w:hAnsi="Times New Roman" w:cs="Times New Roman"/>
          <w:color w:val="FF0000"/>
          <w:sz w:val="24"/>
          <w:szCs w:val="24"/>
        </w:rPr>
        <w:t>hacer hincapié en que, si bien las negociaciones ATCI abordan tres áreas principales -una mejora ambiciosa del acceso recíproco a los mercados (bienes, servicios, inversiones y adquisiciones públicas en todos los niveles de gobierno), la reducción de los obstáculos no arancelarios y la mejora de la compatibilidad de los regímenes regulatorios, y el desarrollo de normas comunes para hacer frente a los desafíos y oportunidades comunes que representa el comercio mundial-, todas estas áreas son igualmente importantes y deben incluirse en un paquete integral; el acuerdo ATCI debe ser ambicioso y vinculante para todos los niveles de gobierno en ambos lados del Atlántico, el acuerdo debería tener como consecuencia una verdadera apertura duradera del mercado sobre una base recíproca y la facilitación del comercio sobre el terreno, y se debería prestar especial atención a los medios estructurales destinados a lograr una mayor cooperación transatlántica, manteniendo al mismo tiempo las normas reglamentarias y previniendo el dumping social y ambiental;</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(iii) </w:t>
      </w:r>
      <w:r w:rsidRPr="00B520CE">
        <w:rPr>
          <w:rFonts w:ascii="Times New Roman" w:hAnsi="Times New Roman" w:cs="Times New Roman"/>
          <w:color w:val="FF0000"/>
          <w:sz w:val="24"/>
          <w:szCs w:val="24"/>
        </w:rPr>
        <w:t>tener en cuenta la importancia estratégica de la relación económica entre la UE y Estados Unidos en general y de la ATCI, en particular, entre otras cosas, como una oportunidad para promover los principios y</w:t>
      </w:r>
      <w:r>
        <w:rPr>
          <w:rFonts w:ascii="Times New Roman" w:hAnsi="Times New Roman" w:cs="Times New Roman"/>
          <w:color w:val="FF0000"/>
          <w:sz w:val="24"/>
          <w:szCs w:val="24"/>
        </w:rPr>
        <w:t xml:space="preserve"> valores que la UE y los EEUU</w:t>
      </w:r>
      <w:r w:rsidRPr="00B520CE">
        <w:rPr>
          <w:rFonts w:ascii="Times New Roman" w:hAnsi="Times New Roman" w:cs="Times New Roman"/>
          <w:color w:val="FF0000"/>
          <w:sz w:val="24"/>
          <w:szCs w:val="24"/>
        </w:rPr>
        <w:t xml:space="preserve"> comparten y disfrutan, así como diseñar estrategias comunes con respecto al comercio, las inversiones y otras cuestiones relacionadas con el comercio a nivel mundial como unos estándares, normas y reglamentos exigentes, con el fin de desarrollar una visión transatlántica más amplia y un conjunto común de objetivos estratégicos;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(iv) </w:t>
      </w:r>
      <w:r w:rsidRPr="00B520CE">
        <w:rPr>
          <w:rFonts w:ascii="Times New Roman" w:hAnsi="Times New Roman" w:cs="Times New Roman"/>
          <w:color w:val="FF0000"/>
          <w:sz w:val="24"/>
          <w:szCs w:val="24"/>
        </w:rPr>
        <w:t>garantizar que un acuerdo con los Estados Unidos sirva para impulsar negociaciones comerciales mayores y que no se considere una alternativa al proceso de la OMC, sobre todo teniendo en cuenta los últimos avances positivos en la OMC; los acuerdos comerciales bilaterales solo son la segunda mejor opción y no deben constituir obstáculos a las mejoras en el nivel multilateral;</w:t>
      </w:r>
    </w:p>
    <w:p w:rsidR="000369FD" w:rsidRPr="002C673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2C6736">
        <w:rPr>
          <w:rFonts w:ascii="Times New Roman" w:hAnsi="Times New Roman" w:cs="Times New Roman"/>
          <w:sz w:val="24"/>
          <w:szCs w:val="24"/>
        </w:rPr>
        <w:t>(b) en relación con el acceso al mercado: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 </w:t>
      </w:r>
      <w:r w:rsidRPr="00B520CE">
        <w:rPr>
          <w:rFonts w:ascii="Times New Roman" w:hAnsi="Times New Roman" w:cs="Times New Roman"/>
          <w:color w:val="FF0000"/>
          <w:sz w:val="24"/>
          <w:szCs w:val="24"/>
        </w:rPr>
        <w:t>asegurar que las ofertas de acceso al mercado en las diferentes áreas son igualmente ambiciosas y reflejan las expectativas de ambas partes, dado que el acceso a los mercados para los bienes industriales, los productos agrícolas, los servicios y la contratación pública son igual de importantes y debe haber un equilibrio entre las diferentes propuestas para estas áreas;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(ii) </w:t>
      </w:r>
      <w:r w:rsidRPr="00B520CE">
        <w:rPr>
          <w:rFonts w:ascii="Times New Roman" w:hAnsi="Times New Roman" w:cs="Times New Roman"/>
          <w:color w:val="FF0000"/>
          <w:sz w:val="24"/>
          <w:szCs w:val="24"/>
        </w:rPr>
        <w:t>tener como objetivo la eliminación de todos los derechos arancelarios, respetando al mismo tiempo la mercancía problemática en ambos lados;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(iii) </w:t>
      </w:r>
      <w:r w:rsidRPr="00B520CE">
        <w:rPr>
          <w:rFonts w:ascii="Times New Roman" w:hAnsi="Times New Roman" w:cs="Times New Roman"/>
          <w:color w:val="FF0000"/>
          <w:sz w:val="24"/>
          <w:szCs w:val="24"/>
        </w:rPr>
        <w:t>tener en cuenta que existen importantes intereses ofensivos para la UE en el sector de los servicios, por ejemplo en las áreas de ingeniería, telecomunicaciones y los servicios de transporte;</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(iv) </w:t>
      </w:r>
      <w:r w:rsidRPr="00B520CE">
        <w:rPr>
          <w:rFonts w:ascii="Times New Roman" w:hAnsi="Times New Roman" w:cs="Times New Roman"/>
          <w:color w:val="FF0000"/>
          <w:sz w:val="24"/>
          <w:szCs w:val="24"/>
        </w:rPr>
        <w:t xml:space="preserve">aumentar el acceso al mercado para los servicios de acuerdo con el “enfoque de la lista positiva”, por el cual los servicios que se van a abrir a empresas extranjeras se mencionan de forma explícita y se excluyen nuevos servicios, garantizando al mismo </w:t>
      </w:r>
      <w:r w:rsidRPr="00B520CE">
        <w:rPr>
          <w:rFonts w:ascii="Times New Roman" w:hAnsi="Times New Roman" w:cs="Times New Roman"/>
          <w:color w:val="FF0000"/>
          <w:sz w:val="24"/>
          <w:szCs w:val="24"/>
        </w:rPr>
        <w:lastRenderedPageBreak/>
        <w:t>tiempo que las posibles cláusulas de mantenimiento del statu quo y de trinquete solo se aplican a disposiciones de no discriminación y se permite flexibilidad suficiente para que los servicios vuelvan a estar bajo control público;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(v) </w:t>
      </w:r>
      <w:r w:rsidRPr="00B520CE">
        <w:rPr>
          <w:rFonts w:ascii="Times New Roman" w:hAnsi="Times New Roman" w:cs="Times New Roman"/>
          <w:color w:val="FF0000"/>
          <w:sz w:val="24"/>
          <w:szCs w:val="24"/>
        </w:rPr>
        <w:t>las negociaciones deben abordar de manera significativa las actuales restricciones de los Estados Unidos sobre los servicios de transporte marítimo y aéreo propiedad de empresas europeas, en particular en relación con la propiedad extranjera de las aerolíneas y la reciprocidad en materia de cabotaje, así como la detección de carga marítima;</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(vi) </w:t>
      </w:r>
      <w:r w:rsidRPr="00B520CE">
        <w:rPr>
          <w:rFonts w:ascii="Times New Roman" w:hAnsi="Times New Roman" w:cs="Times New Roman"/>
          <w:color w:val="FF0000"/>
          <w:sz w:val="24"/>
          <w:szCs w:val="24"/>
        </w:rPr>
        <w:t>garantizar una disociación adecuada de servicios conflictivos como los servicios públicos y los servicios esenciales de utilidad pública (agua, salud, sistemas de seguridad social y educación), que conceda a las autoridades nacionales y locales margen de maniobra suficiente para legislar en favor del interés público; una declaración conjunta que refleje el compromiso claro de las partes negociantes de excluir estos sectores de las negociaciones resultaría muy útil en este sentido;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(vii) </w:t>
      </w:r>
      <w:r w:rsidRPr="00B520CE">
        <w:rPr>
          <w:rFonts w:ascii="Times New Roman" w:hAnsi="Times New Roman" w:cs="Times New Roman"/>
          <w:color w:val="FF0000"/>
          <w:sz w:val="24"/>
          <w:szCs w:val="24"/>
        </w:rPr>
        <w:t>combinar las negociaciones de acceso a los mercados en relación con los servicios financieros con la convergencia de los reglamentos financieros a fin de respaldar las actividades de cooperación en marcha en otros foros internacionales, como el Comité de Supervisión Bancaria de Basilea;</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(viii) </w:t>
      </w:r>
      <w:r w:rsidRPr="00B520CE">
        <w:rPr>
          <w:rFonts w:ascii="Times New Roman" w:hAnsi="Times New Roman" w:cs="Times New Roman"/>
          <w:color w:val="FF0000"/>
          <w:sz w:val="24"/>
          <w:szCs w:val="24"/>
        </w:rPr>
        <w:t>asegurar que el acervo de la UE sobre protección de datos no se vea comprometido por la liberalización de los flujos de datos, en particular en el ámbito del comercio electrónico y los servicios financieros; garantizar que no se asumen compromisos sobre flujos de datos antes de la entrada en vigor de legislación europea de protección de datos;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(ix) </w:t>
      </w:r>
      <w:r w:rsidRPr="00B520CE">
        <w:rPr>
          <w:rFonts w:ascii="Times New Roman" w:hAnsi="Times New Roman" w:cs="Times New Roman"/>
          <w:color w:val="FF0000"/>
          <w:sz w:val="24"/>
          <w:szCs w:val="24"/>
        </w:rPr>
        <w:t>asegurar que el Derecho europeo de la competencia se respeta adecuadamente en particular en el mundo digital;</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(x) </w:t>
      </w:r>
      <w:r w:rsidRPr="00B520CE">
        <w:rPr>
          <w:rFonts w:ascii="Times New Roman" w:hAnsi="Times New Roman" w:cs="Times New Roman"/>
          <w:color w:val="FF0000"/>
          <w:sz w:val="24"/>
          <w:szCs w:val="24"/>
        </w:rPr>
        <w:t>tener en cuenta que el acuerdo no debe perjudicar la diversidad cultural y lingüística de la Unión, en particular en el sector audiovisual y servicios culturales, y que las disposiciones y políticas existentes y futuras de apoyo al sector cultural, en particular en el mundo digital, se mantienen fuera del ámbito de las negociaciones;</w:t>
      </w:r>
    </w:p>
    <w:p w:rsidR="000369FD" w:rsidRPr="008A7D33"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(xi) </w:t>
      </w:r>
      <w:r w:rsidRPr="00B520CE">
        <w:rPr>
          <w:rFonts w:ascii="Times New Roman" w:hAnsi="Times New Roman" w:cs="Times New Roman"/>
          <w:color w:val="FF0000"/>
          <w:sz w:val="24"/>
          <w:szCs w:val="24"/>
        </w:rPr>
        <w:t xml:space="preserve">garantizar que se tengan en cuenta las diferencias en la apertura de los mercados de contratación pública en ambos lados del Atlántico y el enorme interés por parte de las empresas europeas en la obtención de acceso a los contratos públicos en los </w:t>
      </w:r>
      <w:r>
        <w:rPr>
          <w:rFonts w:ascii="Times New Roman" w:hAnsi="Times New Roman" w:cs="Times New Roman"/>
          <w:color w:val="FF0000"/>
          <w:sz w:val="24"/>
          <w:szCs w:val="24"/>
        </w:rPr>
        <w:t>EEUU</w:t>
      </w:r>
      <w:r w:rsidRPr="00B520CE">
        <w:rPr>
          <w:rFonts w:ascii="Times New Roman" w:hAnsi="Times New Roman" w:cs="Times New Roman"/>
          <w:color w:val="FF0000"/>
          <w:sz w:val="24"/>
          <w:szCs w:val="24"/>
        </w:rPr>
        <w:t>, tanto a nivel federal como estatal, por ejemplo, para los servicios de construcción, infraestructuras de tráfico y de bienes y servicios, respetando criterios de sostenibilidad para la contratación en ambos lados, entre otras cosas, el nuevo paquete de contratación pública y de concesiones de la UE que entrará en vigor en 2016;</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(xii) </w:t>
      </w:r>
      <w:r w:rsidRPr="00B520CE">
        <w:rPr>
          <w:rFonts w:ascii="Times New Roman" w:hAnsi="Times New Roman" w:cs="Times New Roman"/>
          <w:color w:val="FF0000"/>
          <w:sz w:val="24"/>
          <w:szCs w:val="24"/>
        </w:rPr>
        <w:t>promover la cooperación entre la UE y los Estados Unidos en el ámbito internacional con el fin de promover normas de sostenibilidad para la contratación pública, entre otras cosas, en la aplicación del Acuerdo sobre Contratación Pública, recientemente revisado;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lastRenderedPageBreak/>
        <w:t xml:space="preserve">(xiii) </w:t>
      </w:r>
      <w:r w:rsidRPr="00B520CE">
        <w:rPr>
          <w:rFonts w:ascii="Times New Roman" w:hAnsi="Times New Roman" w:cs="Times New Roman"/>
          <w:color w:val="FF0000"/>
          <w:sz w:val="24"/>
          <w:szCs w:val="24"/>
        </w:rPr>
        <w:t>asegurar que los Estados Unidos estén incluidos en el proceso de negociación a la hora de abrir el mercado de contratación pública estadounidense a las empresas de la UE;</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8A7D33">
        <w:rPr>
          <w:rFonts w:ascii="Times New Roman" w:hAnsi="Times New Roman" w:cs="Times New Roman"/>
          <w:sz w:val="24"/>
          <w:szCs w:val="24"/>
        </w:rPr>
        <w:t xml:space="preserve">(xiv) </w:t>
      </w:r>
      <w:r w:rsidRPr="00B520CE">
        <w:rPr>
          <w:rFonts w:ascii="Times New Roman" w:hAnsi="Times New Roman" w:cs="Times New Roman"/>
          <w:color w:val="FF0000"/>
          <w:sz w:val="24"/>
          <w:szCs w:val="24"/>
        </w:rPr>
        <w:t>garantizar que las negociaciones sobre las normas de origen tienen como objetivo conciliar los enfoque de la UE y de los EE</w:t>
      </w:r>
      <w:r>
        <w:rPr>
          <w:rFonts w:ascii="Times New Roman" w:hAnsi="Times New Roman" w:cs="Times New Roman"/>
          <w:color w:val="FF0000"/>
          <w:sz w:val="24"/>
          <w:szCs w:val="24"/>
        </w:rPr>
        <w:t>UU</w:t>
      </w:r>
      <w:r w:rsidRPr="00B520CE">
        <w:rPr>
          <w:rFonts w:ascii="Times New Roman" w:hAnsi="Times New Roman" w:cs="Times New Roman"/>
          <w:color w:val="FF0000"/>
          <w:sz w:val="24"/>
          <w:szCs w:val="24"/>
        </w:rPr>
        <w:t>; dada la conclusión de las negociaciones para el Acuerdo Económico y Comercial Global (CETA) entre la UE y Canadá, y la posible actualización del acuerdo de libre comercio entre la UE y México, habrá que considerar la posibilidad y el alcance de la acumulación;</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149EA">
        <w:rPr>
          <w:rFonts w:ascii="Times New Roman" w:hAnsi="Times New Roman" w:cs="Times New Roman"/>
          <w:sz w:val="24"/>
          <w:szCs w:val="24"/>
        </w:rPr>
        <w:t>(c) con respecto a los obstáculos no arancelarios:</w:t>
      </w:r>
    </w:p>
    <w:p w:rsidR="000369FD" w:rsidRPr="00A149EA"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 </w:t>
      </w:r>
      <w:r w:rsidRPr="00B520CE">
        <w:rPr>
          <w:rFonts w:ascii="Times New Roman" w:hAnsi="Times New Roman" w:cs="Times New Roman"/>
          <w:color w:val="FF0000"/>
          <w:sz w:val="24"/>
          <w:szCs w:val="24"/>
        </w:rPr>
        <w:t>garantizar que el capítulo de cooperación normativa promueve un entorno económico eficaz, favorable a la competencia a través de la facilitación del comercio y la inversión, al tiempo que se desarrolla y garantiza un elevado nivel de protección en materia de sanidad y seguridad, laboral, de los consumidores, ni a la legislación medioambiental y la diversidad cultural que existen en la UE; los negociadores de ambas partes tienen que identificar y ser claros con respecto a qué reglamentos son fundamentales y no pueden comprometerse, y cuáles pueden ser objeto de un enfoque común, cuáles son las áreas donde es deseable el reconocimiento mutuo basado en un elevado estándar común y un sólido sistema de vigilancia del mercado y cuáles son los ámbitos donde simplemente es posible un mejor intercambio de información, basado en la experiencia de un año y medio de negociaciones en curso;</w:t>
      </w:r>
    </w:p>
    <w:p w:rsidR="000369FD" w:rsidRPr="0078709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 </w:t>
      </w:r>
      <w:r w:rsidRPr="00B520CE">
        <w:rPr>
          <w:rFonts w:ascii="Times New Roman" w:hAnsi="Times New Roman" w:cs="Times New Roman"/>
          <w:color w:val="FF0000"/>
          <w:sz w:val="24"/>
          <w:szCs w:val="24"/>
        </w:rPr>
        <w:t>basar las negociaciones sobre las medidas sanitarias y fitosanitarias (MSF) y sobre los obstáculos técnicos al comercio (OTC) en los principios claves de los acuerdos multilaterales sobre OTC y MSF; aumentar en primer lugar la transparencia y apertura, reforzar el diálogo entre los órganos reguladores e incrementar la cooperación entre los organismos internacionales de normalización; en las negociaciones sobre MSF se debe reconocer el derecho de las dos partes a gestionar el riesgo de acuerdo con el nivel que consideren apropiado para proteger a los seres humanos, los animales, la vida vegetal o la salud; respetar y defender las sensibilidades y valores fundamentales de cada parte, como el principio de precaución de la UE;</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(iii) </w:t>
      </w:r>
      <w:r w:rsidRPr="00B520CE">
        <w:rPr>
          <w:rFonts w:ascii="Times New Roman" w:hAnsi="Times New Roman" w:cs="Times New Roman"/>
          <w:color w:val="FF0000"/>
          <w:sz w:val="24"/>
          <w:szCs w:val="24"/>
        </w:rPr>
        <w:t>en relación con el capítulo de cooperación regulatoria horizontal, dar prioridad a la promoción de la cooperación bilateral entre organismos reguladores a través de un mayor intercambio de información y promover la adopción, el fortalecimiento y la aplicación oportuna de instrumentos internacionales, sobre la base de experiencias internacionales exitosas, tales como, por ejemplo, las normas ISO o en el marco del Foro mundial para la Armonización de la Reglamentación sobre Vehículo (WP.29) de la Comisión Económica para Europa (CEPE) de las Naciones Unidas; establecer que la evaluación de impacto previa para el acto reglamentario, tal como se define en las disposiciones horizontales sobre la cooperación regulatoria, debe también medir el impacto en los consumidores y el medio ambiente además de su impacto en el comercio y la inversión; gestionar la posibilidad de promover la compatibilidad de reglamentación con gran cuidado y solo sin comprometer los objetivos legítimos de política y reglamentación;</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(iv) </w:t>
      </w:r>
      <w:r w:rsidRPr="00B520CE">
        <w:rPr>
          <w:rFonts w:ascii="Times New Roman" w:hAnsi="Times New Roman" w:cs="Times New Roman"/>
          <w:color w:val="FF0000"/>
          <w:sz w:val="24"/>
          <w:szCs w:val="24"/>
        </w:rPr>
        <w:t xml:space="preserve">definir claramente, en el marco de la futura cooperación reguladora, qué medidas afectan a los OTC y a las cargas y formalidades administrativas redundantes y </w:t>
      </w:r>
      <w:r w:rsidRPr="00B520CE">
        <w:rPr>
          <w:rFonts w:ascii="Times New Roman" w:hAnsi="Times New Roman" w:cs="Times New Roman"/>
          <w:color w:val="FF0000"/>
          <w:sz w:val="24"/>
          <w:szCs w:val="24"/>
        </w:rPr>
        <w:lastRenderedPageBreak/>
        <w:t>cuáles están vinculadas a estándares y reglamentos fundamentales y no deben modificarse;</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(v) </w:t>
      </w:r>
      <w:r w:rsidRPr="00B520CE">
        <w:rPr>
          <w:rFonts w:ascii="Times New Roman" w:hAnsi="Times New Roman" w:cs="Times New Roman"/>
          <w:color w:val="FF0000"/>
          <w:sz w:val="24"/>
          <w:szCs w:val="24"/>
        </w:rPr>
        <w:t>respetar plenamente los sistemas de reglamentación establecidos a ambos lados del Atlántico, así como el papel del Parlamento Europeo en el proceso de toma de decisiones de la UE y su escrutinio democrático de los procesos reglamentarios de la UE al crear el marco para la cooperación en el futuro, al mismo tiempo que se vigila una participación equilibrada de las partes interesadas en las consultas incluidas en el desarrollo de una propuesta de reglamentación;</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A149EA" w:rsidRDefault="000369FD" w:rsidP="000369FD">
      <w:pPr>
        <w:autoSpaceDE w:val="0"/>
        <w:autoSpaceDN w:val="0"/>
        <w:adjustRightInd w:val="0"/>
        <w:spacing w:after="0" w:line="240" w:lineRule="auto"/>
        <w:jc w:val="both"/>
        <w:rPr>
          <w:rFonts w:ascii="Times New Roman" w:hAnsi="Times New Roman" w:cs="Times New Roman"/>
          <w:sz w:val="24"/>
          <w:szCs w:val="24"/>
        </w:rPr>
      </w:pPr>
      <w:r w:rsidRPr="00A149EA">
        <w:rPr>
          <w:rFonts w:ascii="Times New Roman" w:hAnsi="Times New Roman" w:cs="Times New Roman"/>
          <w:sz w:val="24"/>
          <w:szCs w:val="24"/>
        </w:rPr>
        <w:t>(d) en relación con la normativa:</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 </w:t>
      </w:r>
      <w:r w:rsidRPr="00B520CE">
        <w:rPr>
          <w:rFonts w:ascii="Times New Roman" w:hAnsi="Times New Roman" w:cs="Times New Roman"/>
          <w:color w:val="FF0000"/>
          <w:sz w:val="24"/>
          <w:szCs w:val="24"/>
        </w:rPr>
        <w:t>combinar las negociaciones sobre acceso a los mercados y la cooperación reglamentaria con el establecimiento de normas y disciplinas ambiciosas, entre otras cosas, en el desarrollo sostenible, la energía, las PYME, la inversión y la propiedad intelectual;</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 </w:t>
      </w:r>
      <w:r w:rsidRPr="00B520CE">
        <w:rPr>
          <w:rFonts w:ascii="Times New Roman" w:hAnsi="Times New Roman" w:cs="Times New Roman"/>
          <w:color w:val="FF0000"/>
          <w:sz w:val="24"/>
          <w:szCs w:val="24"/>
        </w:rPr>
        <w:t>garantizar que el capítulo de desarrollo sostenible tiene como objetivo la ratificación, aplicación y cumplimiento plenos y eficaces de los ocho convenios fundamentales de la Organización Internacional del Trabajo (OIT) y de su contenido, el Programa de Trabajo Decente de la OIT y los acuerdos internacionales fundamentales en materia de medio ambiente; las disposiciones deben mejorar los niveles de protección de la normativa laboral y medioambiental; un capítulo de comercio y desarrollo sostenible de envergadura debe, asimismo, incluir normas sobre la responsabilidad social de las empresas y sobre la base de las Líneas Directrices para Empresas Multinacionales de la Organización para la Cooperación y el Desarrollo Económico (OCDE) y una participación clara y estructurada de la sociedad civil;</w:t>
      </w:r>
    </w:p>
    <w:p w:rsidR="000369FD" w:rsidRPr="00B520CE" w:rsidRDefault="000369FD" w:rsidP="000369FD">
      <w:pPr>
        <w:pStyle w:val="notapie"/>
        <w:shd w:val="clear" w:color="auto" w:fill="FFFFFF"/>
        <w:jc w:val="both"/>
        <w:rPr>
          <w:b/>
          <w:color w:val="FF0000"/>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(iii) </w:t>
      </w:r>
      <w:r w:rsidRPr="00B520CE">
        <w:rPr>
          <w:rFonts w:ascii="Times New Roman" w:hAnsi="Times New Roman" w:cs="Times New Roman"/>
          <w:color w:val="FF0000"/>
          <w:sz w:val="24"/>
          <w:szCs w:val="24"/>
        </w:rPr>
        <w:t>garantizar que la normativa laboral y medioambiental no se limite al capítulo de comercio y desarrollo sostenible, sino que se incluya igualmente en el resto de capítulos del acuerdo, como la inversión, el comercio de servicios, la cooperación reglamentaria y la contratación pública;</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(iv) </w:t>
      </w:r>
      <w:r w:rsidRPr="00B520CE">
        <w:rPr>
          <w:rFonts w:ascii="Times New Roman" w:hAnsi="Times New Roman" w:cs="Times New Roman"/>
          <w:color w:val="FF0000"/>
          <w:sz w:val="24"/>
          <w:szCs w:val="24"/>
        </w:rPr>
        <w:t>asegurar que la normativa laboral y medioambiental tenga un carácter más ejecutorio partiendo de la experiencia positiva del acuerdo de libre comercio entre la UE y Corea, y de los procedimientos recomendados y eficaces de los acuerdos de libre comercio y de la legislación nacional de los Estados Unidos;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(v) </w:t>
      </w:r>
      <w:r w:rsidRPr="00B520CE">
        <w:rPr>
          <w:rFonts w:ascii="Times New Roman" w:hAnsi="Times New Roman" w:cs="Times New Roman"/>
          <w:color w:val="FF0000"/>
          <w:sz w:val="24"/>
          <w:szCs w:val="24"/>
        </w:rPr>
        <w:t>garantizar que los empleados de empresas transatlánticas tengan acceso a la información y consulta en línea con la directiva sobre los comités de empresa europeos;</w:t>
      </w:r>
    </w:p>
    <w:p w:rsidR="003C7DEE" w:rsidRDefault="003C7DEE"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3C7DEE">
        <w:rPr>
          <w:rFonts w:ascii="Times New Roman" w:hAnsi="Times New Roman" w:cs="Times New Roman"/>
          <w:sz w:val="24"/>
          <w:szCs w:val="24"/>
        </w:rPr>
        <w:t xml:space="preserve">(vi) </w:t>
      </w:r>
      <w:r w:rsidRPr="00B520CE">
        <w:rPr>
          <w:rFonts w:ascii="Times New Roman" w:hAnsi="Times New Roman" w:cs="Times New Roman"/>
          <w:color w:val="FF0000"/>
          <w:sz w:val="24"/>
          <w:szCs w:val="24"/>
        </w:rPr>
        <w:t>asegurar que el impacto económico, social y medioambiental del ATCI se examine mediante una evaluación de impacto sostenible y exhaustiva, con una clara participación de la sociedad civil;</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(vii) </w:t>
      </w:r>
      <w:r w:rsidRPr="00B520CE">
        <w:rPr>
          <w:rFonts w:ascii="Times New Roman" w:hAnsi="Times New Roman" w:cs="Times New Roman"/>
          <w:color w:val="FF0000"/>
          <w:sz w:val="24"/>
          <w:szCs w:val="24"/>
        </w:rPr>
        <w:t>garantizar que, en el curso de las negociaciones, ambas partes examinen la manera de facilitar las exportaciones de gas natural y petróleo, por lo que la ATCI aboliría las restricciones a la exportación existentes en materia de energía entre los dos socios comerciales, apoyando así la diversificación de las fuentes de energía;</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lastRenderedPageBreak/>
        <w:t xml:space="preserve">(viii) </w:t>
      </w:r>
      <w:r w:rsidRPr="00B520CE">
        <w:rPr>
          <w:rFonts w:ascii="Times New Roman" w:hAnsi="Times New Roman" w:cs="Times New Roman"/>
          <w:color w:val="FF0000"/>
          <w:sz w:val="24"/>
          <w:szCs w:val="24"/>
        </w:rPr>
        <w:t>garantizar que el derecho de cada parte a regular la explotación de fuentes energéticas permanezca intacto mediante un acuerdo, pero una vez se decida la explotación, se aplique la no discriminación; también se debe conceder el acceso a las materias primas y a la energía de forma no discriminatoria a las empresas de la UE y de los Estados Unidos y se deben respetar las normas de calidad para los productos energéticos;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FE1124">
        <w:rPr>
          <w:rFonts w:ascii="Times New Roman" w:hAnsi="Times New Roman" w:cs="Times New Roman"/>
          <w:sz w:val="24"/>
          <w:szCs w:val="24"/>
        </w:rPr>
        <w:t>(ix)</w:t>
      </w:r>
      <w:r w:rsidRPr="00B520CE">
        <w:rPr>
          <w:rFonts w:ascii="Times New Roman" w:hAnsi="Times New Roman" w:cs="Times New Roman"/>
          <w:color w:val="FF0000"/>
          <w:sz w:val="24"/>
          <w:szCs w:val="24"/>
        </w:rPr>
        <w:t xml:space="preserve"> asegurar que el acuerdo ATCI apoye el uso y la promoción de bienes y servicios ecológicos, aprovechando con ello el considerable potencial de los beneficios medioambientales y económicos que ofrece la economía transatlántica;</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FE1124">
        <w:rPr>
          <w:rFonts w:ascii="Times New Roman" w:hAnsi="Times New Roman" w:cs="Times New Roman"/>
          <w:sz w:val="24"/>
          <w:szCs w:val="24"/>
        </w:rPr>
        <w:t xml:space="preserve">(x) </w:t>
      </w:r>
      <w:r w:rsidRPr="00B520CE">
        <w:rPr>
          <w:rFonts w:ascii="Times New Roman" w:hAnsi="Times New Roman" w:cs="Times New Roman"/>
          <w:color w:val="FF0000"/>
          <w:sz w:val="24"/>
          <w:szCs w:val="24"/>
        </w:rPr>
        <w:t>asegurar que el ATCI sirve de foro para el desarrollo de estándares de producción energéticos comunes, teniendo siempre en cuenta que ya hay estándares que han de cumplir las dos partes;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(xi) </w:t>
      </w:r>
      <w:r w:rsidRPr="00B520CE">
        <w:rPr>
          <w:rFonts w:ascii="Times New Roman" w:hAnsi="Times New Roman" w:cs="Times New Roman"/>
          <w:color w:val="FF0000"/>
          <w:sz w:val="24"/>
          <w:szCs w:val="24"/>
        </w:rPr>
        <w:t>garantizar que el ATCI incluye un capítulo específico sobre las PYME y tiene como objetivo la creación de nuevas oportunida</w:t>
      </w:r>
      <w:r>
        <w:rPr>
          <w:rFonts w:ascii="Times New Roman" w:hAnsi="Times New Roman" w:cs="Times New Roman"/>
          <w:color w:val="FF0000"/>
          <w:sz w:val="24"/>
          <w:szCs w:val="24"/>
        </w:rPr>
        <w:t>des en los EEUU</w:t>
      </w:r>
      <w:r w:rsidRPr="00B520CE">
        <w:rPr>
          <w:rFonts w:ascii="Times New Roman" w:hAnsi="Times New Roman" w:cs="Times New Roman"/>
          <w:color w:val="FF0000"/>
          <w:sz w:val="24"/>
          <w:szCs w:val="24"/>
        </w:rPr>
        <w:t xml:space="preserve"> para las PYME europeas, por ejemplo, mediante la eliminación de los requisitos de doble certificación, mediante el establecimiento de un sistema de información basado en la web acerca de los diferentes reglamentos, mediante la introducción de procedimientos rápidos en la frontera o la eliminación de los picos arancelarios específicos que siguen existiendo; se deberían establecer los mecanismos necesarios para que ambas partes trabajen juntas a fin de facilitar a las PYME la participación en el comercio transatlántico, por ejemplo a través de una “ventanilla única” para PYME;</w:t>
      </w:r>
    </w:p>
    <w:p w:rsidR="000369FD" w:rsidRPr="0078709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(xii) </w:t>
      </w:r>
      <w:r w:rsidRPr="00B520CE">
        <w:rPr>
          <w:rFonts w:ascii="Times New Roman" w:hAnsi="Times New Roman" w:cs="Times New Roman"/>
          <w:color w:val="FF0000"/>
          <w:sz w:val="24"/>
          <w:szCs w:val="24"/>
        </w:rPr>
        <w:t>asegurar que el ATCI contiene un capítulo general sobre inversión que refleje las disposiciones sobre acceso al mercado y la protección de la inversión; el capítulo de inversiones debe conceder un trato no discriminatorio en relación con la constitución de empresas europeas y estadounidenses en ambos territorios, así como tener también en cuenta la delicada naturaleza de algunos sectores específicos;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(xiii) </w:t>
      </w:r>
      <w:r w:rsidRPr="00B520CE">
        <w:rPr>
          <w:rFonts w:ascii="Times New Roman" w:hAnsi="Times New Roman" w:cs="Times New Roman"/>
          <w:color w:val="FF0000"/>
          <w:sz w:val="24"/>
          <w:szCs w:val="24"/>
        </w:rPr>
        <w:t>garantizar que la protección de la inversión se limita a las disposiciones posteriores al establecimiento y se centran en un trato no discriminatorio, justo y equitativo; las normas de protección y las definiciones de inversor e inversión deben elaborarse de manera precisa; la libre transferencia de capital debería estar en consonancia con las disposiciones de los tratados de la UE e incluir una excepción cautelar en caso de crisis financieras;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(xiv) </w:t>
      </w:r>
      <w:r w:rsidRPr="00B520CE">
        <w:rPr>
          <w:rFonts w:ascii="Times New Roman" w:hAnsi="Times New Roman" w:cs="Times New Roman"/>
          <w:color w:val="FF0000"/>
          <w:sz w:val="24"/>
          <w:szCs w:val="24"/>
        </w:rPr>
        <w:t>garantizar que los inversores extranjeros son tratados de forma no discriminatoria y se les brinda una oportunidad justa para solicitar y lograr la reparación de los agravios, que se puede conseguir sin incluir un mecanismo de disposiciones de solución de controversias entre inversores y Estados; tal mecanismo no es necesario en el ATCI dados los desarrollados sistemas jurídicos de la UE y los Estados Unidos; un sistema de solución de diferencias entre Estados y el uso de los tribunales nacionales son las herramientas más adecuadas para abordar las controversias sobre inversiones;</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(xv) </w:t>
      </w:r>
      <w:r w:rsidRPr="00B520CE">
        <w:rPr>
          <w:rFonts w:ascii="Times New Roman" w:hAnsi="Times New Roman" w:cs="Times New Roman"/>
          <w:color w:val="FF0000"/>
          <w:sz w:val="24"/>
          <w:szCs w:val="24"/>
        </w:rPr>
        <w:t xml:space="preserve">asegurar que el ATCI incluye un capítulo ambicioso sobre Derechos de Propiedad Intelectual (DPI) que recoja fuerte protección de áreas de DPI definidas con precisión y claridad, incluida una mayor protección y el reconocimiento de las indicaciones geográficas europeas (IG), y refleje un nivel justo y eficiente de protección, </w:t>
      </w:r>
      <w:r w:rsidRPr="00B520CE">
        <w:rPr>
          <w:rFonts w:ascii="Times New Roman" w:hAnsi="Times New Roman" w:cs="Times New Roman"/>
          <w:color w:val="FF0000"/>
          <w:sz w:val="24"/>
          <w:szCs w:val="24"/>
        </w:rPr>
        <w:lastRenderedPageBreak/>
        <w:t>tal como se establece en las disposiciones de los acuerdos de libre comercio de la UE y los Estados Unidos en este ámbito, sin dejar de confirmar las flexibilidades existentes en el Acuerdo sobre los Aspectos de los Derechos de Propiedad Intelectual relacionados con el Comercio (ADPIC), especialmente en el ámbito de la salud pública;</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B520CE"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(xvi) </w:t>
      </w:r>
      <w:r w:rsidRPr="00B520CE">
        <w:rPr>
          <w:rFonts w:ascii="Times New Roman" w:hAnsi="Times New Roman" w:cs="Times New Roman"/>
          <w:color w:val="FF0000"/>
          <w:sz w:val="24"/>
          <w:szCs w:val="24"/>
        </w:rPr>
        <w:t>garantizar que el capítulo de derechos de propiedad intelectual no incluye disposiciones sobre las sanciones penales como una herramienta para la ejecución, tal como rechazó anteriormente el Parlamento;</w:t>
      </w:r>
    </w:p>
    <w:p w:rsidR="000369FD" w:rsidRPr="00B520CE"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F36472">
        <w:rPr>
          <w:rFonts w:ascii="Times New Roman" w:hAnsi="Times New Roman" w:cs="Times New Roman"/>
          <w:sz w:val="24"/>
          <w:szCs w:val="24"/>
        </w:rPr>
        <w:t xml:space="preserve">(e) en relación con la transparencia, la participación de </w:t>
      </w:r>
      <w:r>
        <w:rPr>
          <w:rFonts w:ascii="Times New Roman" w:hAnsi="Times New Roman" w:cs="Times New Roman"/>
          <w:sz w:val="24"/>
          <w:szCs w:val="24"/>
        </w:rPr>
        <w:t xml:space="preserve">la sociedad civil y la difusión </w:t>
      </w:r>
      <w:r w:rsidRPr="00F36472">
        <w:rPr>
          <w:rFonts w:ascii="Times New Roman" w:hAnsi="Times New Roman" w:cs="Times New Roman"/>
          <w:sz w:val="24"/>
          <w:szCs w:val="24"/>
        </w:rPr>
        <w:t>pública:</w:t>
      </w:r>
    </w:p>
    <w:p w:rsidR="000369FD" w:rsidRPr="00F3647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7E52DF"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 </w:t>
      </w:r>
      <w:r w:rsidRPr="007E52DF">
        <w:rPr>
          <w:rFonts w:ascii="Times New Roman" w:hAnsi="Times New Roman" w:cs="Times New Roman"/>
          <w:color w:val="FF0000"/>
          <w:sz w:val="24"/>
          <w:szCs w:val="24"/>
        </w:rPr>
        <w:t>mantener los esfuerzos para aumentar la transparencia de las negociaciones, poniendo más propuestas de negociación a disposición del público en general;</w:t>
      </w: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7E52DF"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 </w:t>
      </w:r>
      <w:r w:rsidRPr="007E52DF">
        <w:rPr>
          <w:rFonts w:ascii="Times New Roman" w:hAnsi="Times New Roman" w:cs="Times New Roman"/>
          <w:color w:val="FF0000"/>
          <w:sz w:val="24"/>
          <w:szCs w:val="24"/>
        </w:rPr>
        <w:t>traducir estos esfuerzos de transparencia en resultados prácticos significativos, entre otras cosas, llegando a acuerdos importantes con la parte estadounidense para mejorar la transparencia, incluido el acceso a todos los documentos de negociación, con el fin de permitir a los diputados al Parlamento y a los Estados miembros desarrollar un debate constructivo con las partes interesadas y el público;</w:t>
      </w: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7E52DF"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(iii) </w:t>
      </w:r>
      <w:r w:rsidRPr="007E52DF">
        <w:rPr>
          <w:rFonts w:ascii="Times New Roman" w:hAnsi="Times New Roman" w:cs="Times New Roman"/>
          <w:color w:val="FF0000"/>
          <w:sz w:val="24"/>
          <w:szCs w:val="24"/>
        </w:rPr>
        <w:t>promover un compromiso aún más estrecho con los Estados miembros con el objetivo de forjar su participación activa a la hora de comunicar mejor el alcance y los posibles beneficios del acuerdo para los ciudadanos europeos y con el fin de garantizar un amplio debate público basado en hechos sobre el ATCI en Europa y explorar las auténticas preocupaciones suscitadas por el acuerdo;</w:t>
      </w:r>
    </w:p>
    <w:p w:rsidR="000369FD" w:rsidRPr="0078709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7E52DF" w:rsidRDefault="000369FD" w:rsidP="000369FD">
      <w:pPr>
        <w:autoSpaceDE w:val="0"/>
        <w:autoSpaceDN w:val="0"/>
        <w:adjustRightInd w:val="0"/>
        <w:spacing w:after="0" w:line="240" w:lineRule="auto"/>
        <w:ind w:firstLine="708"/>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(iv) </w:t>
      </w:r>
      <w:r w:rsidRPr="007E52DF">
        <w:rPr>
          <w:rFonts w:ascii="Times New Roman" w:hAnsi="Times New Roman" w:cs="Times New Roman"/>
          <w:color w:val="FF0000"/>
          <w:sz w:val="24"/>
          <w:szCs w:val="24"/>
        </w:rPr>
        <w:t>reforzar su compromiso continuo y transparente con una amplia gama de partes interesadas, incluidas las empresas, medio ambiente, agricultura, consumo, trabajo y otros representantes, en todo el proceso de negociación; alentar a todas las partes interesadas a que participen activamente y propongan iniciativas e información relevantes para las negociaciones;</w:t>
      </w: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787092">
        <w:rPr>
          <w:rFonts w:ascii="Times New Roman" w:hAnsi="Times New Roman" w:cs="Times New Roman"/>
          <w:sz w:val="24"/>
          <w:szCs w:val="24"/>
        </w:rPr>
        <w:t xml:space="preserve">(f) </w:t>
      </w:r>
      <w:r w:rsidRPr="007E52DF">
        <w:rPr>
          <w:rFonts w:ascii="Times New Roman" w:hAnsi="Times New Roman" w:cs="Times New Roman"/>
          <w:color w:val="FF0000"/>
          <w:sz w:val="24"/>
          <w:szCs w:val="24"/>
        </w:rPr>
        <w:t>buscar un compromiso aún más estrecho con el Parlamento, que continuará vigilando de cerca el proceso de negociación y que trabaje por su parte con la Comisión, los Estados miembros y con el Congreso y el Gobierno estadounidense, así como con las partes interesadas a ambos lados del Atlántico, para garantizar que el resultado beneficie a los ciudadanos de la UE, de los Estados Unidos y del resto de países;</w:t>
      </w:r>
    </w:p>
    <w:p w:rsidR="000369FD" w:rsidRPr="00F3647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F36472">
        <w:rPr>
          <w:rFonts w:ascii="Times New Roman" w:hAnsi="Times New Roman" w:cs="Times New Roman"/>
          <w:sz w:val="24"/>
          <w:szCs w:val="24"/>
        </w:rPr>
        <w:t>2. Encarga a su Presidente que transmita la presen</w:t>
      </w:r>
      <w:r>
        <w:rPr>
          <w:rFonts w:ascii="Times New Roman" w:hAnsi="Times New Roman" w:cs="Times New Roman"/>
          <w:sz w:val="24"/>
          <w:szCs w:val="24"/>
        </w:rPr>
        <w:t xml:space="preserve">te Resolución, que contiene las </w:t>
      </w:r>
      <w:r w:rsidRPr="00F36472">
        <w:rPr>
          <w:rFonts w:ascii="Times New Roman" w:hAnsi="Times New Roman" w:cs="Times New Roman"/>
          <w:sz w:val="24"/>
          <w:szCs w:val="24"/>
        </w:rPr>
        <w:t>recomendaciones del Parlamento Europeo a la Comisión y, para información, al</w:t>
      </w:r>
      <w:r>
        <w:rPr>
          <w:rFonts w:ascii="Times New Roman" w:hAnsi="Times New Roman" w:cs="Times New Roman"/>
          <w:sz w:val="24"/>
          <w:szCs w:val="24"/>
        </w:rPr>
        <w:t xml:space="preserve"> </w:t>
      </w:r>
      <w:r w:rsidRPr="00F36472">
        <w:rPr>
          <w:rFonts w:ascii="Times New Roman" w:hAnsi="Times New Roman" w:cs="Times New Roman"/>
          <w:sz w:val="24"/>
          <w:szCs w:val="24"/>
        </w:rPr>
        <w:t xml:space="preserve">Consejo, a los Gobiernos y Parlamentos de los Estados </w:t>
      </w:r>
      <w:r>
        <w:rPr>
          <w:rFonts w:ascii="Times New Roman" w:hAnsi="Times New Roman" w:cs="Times New Roman"/>
          <w:sz w:val="24"/>
          <w:szCs w:val="24"/>
        </w:rPr>
        <w:t xml:space="preserve">miembros, y a la Administración </w:t>
      </w:r>
      <w:r w:rsidRPr="00F36472">
        <w:rPr>
          <w:rFonts w:ascii="Times New Roman" w:hAnsi="Times New Roman" w:cs="Times New Roman"/>
          <w:sz w:val="24"/>
          <w:szCs w:val="24"/>
        </w:rPr>
        <w:t>y el Congreso de los Estados Unidos.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6393F" w:rsidRDefault="000369FD" w:rsidP="000369FD">
      <w:pPr>
        <w:autoSpaceDE w:val="0"/>
        <w:autoSpaceDN w:val="0"/>
        <w:adjustRightInd w:val="0"/>
        <w:spacing w:after="0" w:line="240" w:lineRule="auto"/>
        <w:jc w:val="both"/>
        <w:rPr>
          <w:rFonts w:ascii="Times New Roman" w:hAnsi="Times New Roman" w:cs="Times New Roman"/>
          <w:b/>
          <w:sz w:val="24"/>
          <w:szCs w:val="24"/>
        </w:rPr>
      </w:pPr>
      <w:r w:rsidRPr="0086393F">
        <w:rPr>
          <w:rFonts w:ascii="Times New Roman" w:hAnsi="Times New Roman" w:cs="Times New Roman"/>
          <w:b/>
          <w:sz w:val="24"/>
          <w:szCs w:val="24"/>
        </w:rPr>
        <w:t xml:space="preserve">Exposición de motivos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7E52DF">
        <w:rPr>
          <w:rFonts w:ascii="Times New Roman" w:hAnsi="Times New Roman" w:cs="Times New Roman"/>
          <w:color w:val="FF0000"/>
          <w:sz w:val="24"/>
          <w:szCs w:val="24"/>
        </w:rPr>
        <w:t xml:space="preserve">Cuando la UE negocia un acuerdo internacional, como la ATCI, el Parlamento Europeo tiene derecho a expresar su posición sobre el acuerdo en cualquier fase de las negociaciones, sobre la base del artículo 108.4 del Reglamento. El ponente desea aprovechar esta oportunidad para evaluar los principales resultados de las negociaciones </w:t>
      </w:r>
      <w:r w:rsidRPr="007E52DF">
        <w:rPr>
          <w:rFonts w:ascii="Times New Roman" w:hAnsi="Times New Roman" w:cs="Times New Roman"/>
          <w:color w:val="FF0000"/>
          <w:sz w:val="24"/>
          <w:szCs w:val="24"/>
        </w:rPr>
        <w:lastRenderedPageBreak/>
        <w:t>después de más de un año y medio de debates y expresar las opiniones del Parlamento sobre las principales áreas de un posible acuerdo ATCI. El informe del Parlamento debería contribuir a un nuevo comienzo de las negociaciones, ahora que ya se ha formado la nueva Comisión y después de las elecciones a mitad de mandato en los Estados Unidos.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6393F">
        <w:rPr>
          <w:rFonts w:ascii="Times New Roman" w:hAnsi="Times New Roman" w:cs="Times New Roman"/>
          <w:sz w:val="24"/>
          <w:szCs w:val="24"/>
        </w:rPr>
        <w:t>Este informe es un seguimiento de las resoluciones aprob</w:t>
      </w:r>
      <w:r>
        <w:rPr>
          <w:rFonts w:ascii="Times New Roman" w:hAnsi="Times New Roman" w:cs="Times New Roman"/>
          <w:sz w:val="24"/>
          <w:szCs w:val="24"/>
        </w:rPr>
        <w:t xml:space="preserve">adas en la anterior legislatura </w:t>
      </w:r>
      <w:r w:rsidRPr="0086393F">
        <w:rPr>
          <w:rFonts w:ascii="Times New Roman" w:hAnsi="Times New Roman" w:cs="Times New Roman"/>
          <w:sz w:val="24"/>
          <w:szCs w:val="24"/>
        </w:rPr>
        <w:t>relativas a las negociaciones comerciales y de inversión con l</w:t>
      </w:r>
      <w:r>
        <w:rPr>
          <w:rFonts w:ascii="Times New Roman" w:hAnsi="Times New Roman" w:cs="Times New Roman"/>
          <w:sz w:val="24"/>
          <w:szCs w:val="24"/>
        </w:rPr>
        <w:t xml:space="preserve">os Estados Unidos en octubre de </w:t>
      </w:r>
      <w:r w:rsidRPr="0086393F">
        <w:rPr>
          <w:rFonts w:ascii="Times New Roman" w:hAnsi="Times New Roman" w:cs="Times New Roman"/>
          <w:sz w:val="24"/>
          <w:szCs w:val="24"/>
        </w:rPr>
        <w:t>2012 y mayo de 2013. El objetivo del ponente es ser lo más co</w:t>
      </w:r>
      <w:r>
        <w:rPr>
          <w:rFonts w:ascii="Times New Roman" w:hAnsi="Times New Roman" w:cs="Times New Roman"/>
          <w:sz w:val="24"/>
          <w:szCs w:val="24"/>
        </w:rPr>
        <w:t xml:space="preserve">mpleto posible y permitir a los </w:t>
      </w:r>
      <w:r w:rsidRPr="0086393F">
        <w:rPr>
          <w:rFonts w:ascii="Times New Roman" w:hAnsi="Times New Roman" w:cs="Times New Roman"/>
          <w:sz w:val="24"/>
          <w:szCs w:val="24"/>
        </w:rPr>
        <w:t>miembros de las distintas comisiones en el Parlament</w:t>
      </w:r>
      <w:r>
        <w:rPr>
          <w:rFonts w:ascii="Times New Roman" w:hAnsi="Times New Roman" w:cs="Times New Roman"/>
          <w:sz w:val="24"/>
          <w:szCs w:val="24"/>
        </w:rPr>
        <w:t xml:space="preserve">o que realicen una contribución </w:t>
      </w:r>
      <w:r w:rsidRPr="0086393F">
        <w:rPr>
          <w:rFonts w:ascii="Times New Roman" w:hAnsi="Times New Roman" w:cs="Times New Roman"/>
          <w:sz w:val="24"/>
          <w:szCs w:val="24"/>
        </w:rPr>
        <w:t xml:space="preserve">meditada al proceso. </w:t>
      </w:r>
      <w:r w:rsidRPr="007E52DF">
        <w:rPr>
          <w:rFonts w:ascii="Times New Roman" w:hAnsi="Times New Roman" w:cs="Times New Roman"/>
          <w:color w:val="FF0000"/>
          <w:sz w:val="24"/>
          <w:szCs w:val="24"/>
        </w:rPr>
        <w:t>El Parlamento tiene la última palabra en la ratificación de los acuerdos comerciales entre la UE y terceros países: Un acuerdo solo puede entrar en vigor con el consentimiento del Parlamento. El rechazo del ACTA (protección de la propiedad intelectual, entre otras cosas en el dominio digital) ha demostrado que el Parlamento se toma su papel en la política comercial muy en serio.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7E52DF"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7E52DF">
        <w:rPr>
          <w:rFonts w:ascii="Times New Roman" w:hAnsi="Times New Roman" w:cs="Times New Roman"/>
          <w:color w:val="FF0000"/>
          <w:sz w:val="24"/>
          <w:szCs w:val="24"/>
        </w:rPr>
        <w:t>Dadas las muchas voces críticas de la opinión pública europea y ante la debilidad de la aceptación pública del acuerdo en negociación, el Parlamento seguirá presionando para alcanzar el más alto nivel posible de transparencia y garantizará que se adopte solo un buen acuerdo, un acuerdo que respete los valores europeos, estimule el crecimiento sostenible y contribuya al bienestar de todos los ciudadanos.</w:t>
      </w:r>
    </w:p>
    <w:p w:rsidR="000369FD" w:rsidRPr="007E52DF" w:rsidRDefault="000369FD" w:rsidP="000369FD">
      <w:pPr>
        <w:pStyle w:val="notapie"/>
        <w:shd w:val="clear" w:color="auto" w:fill="FFFFFF"/>
        <w:jc w:val="both"/>
        <w:rPr>
          <w:b/>
          <w:color w:val="FF0000"/>
        </w:rPr>
      </w:pPr>
    </w:p>
    <w:p w:rsidR="000369FD" w:rsidRPr="0086393F" w:rsidRDefault="000369FD" w:rsidP="000369FD">
      <w:pPr>
        <w:pStyle w:val="notapie"/>
        <w:shd w:val="clear" w:color="auto" w:fill="FFFFFF"/>
        <w:jc w:val="both"/>
        <w:rPr>
          <w:b/>
        </w:rPr>
      </w:pPr>
    </w:p>
    <w:p w:rsidR="000369FD" w:rsidRPr="0086393F" w:rsidRDefault="000369FD" w:rsidP="000369FD">
      <w:pPr>
        <w:pStyle w:val="notapie"/>
        <w:shd w:val="clear" w:color="auto" w:fill="FFFFFF"/>
        <w:jc w:val="both"/>
        <w:rPr>
          <w:b/>
        </w:rPr>
      </w:pPr>
    </w:p>
    <w:p w:rsidR="000369FD" w:rsidRPr="0086393F" w:rsidRDefault="000369FD" w:rsidP="000369FD">
      <w:pPr>
        <w:pStyle w:val="notapie"/>
        <w:shd w:val="clear" w:color="auto" w:fill="FFFFFF"/>
        <w:jc w:val="both"/>
        <w:rPr>
          <w:b/>
          <w:color w:val="FF0000"/>
        </w:rPr>
      </w:pPr>
    </w:p>
    <w:p w:rsidR="000369FD" w:rsidRPr="00F36472" w:rsidRDefault="000369FD" w:rsidP="000369FD">
      <w:pPr>
        <w:pStyle w:val="notapie"/>
        <w:shd w:val="clear" w:color="auto" w:fill="FFFFFF"/>
        <w:jc w:val="both"/>
        <w:rPr>
          <w:b/>
          <w:color w:val="FF0000"/>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36472"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b/>
          <w:sz w:val="24"/>
          <w:szCs w:val="24"/>
        </w:rPr>
      </w:pPr>
    </w:p>
    <w:p w:rsidR="000369FD" w:rsidRPr="00FE1124" w:rsidRDefault="000369FD" w:rsidP="000369FD">
      <w:pPr>
        <w:autoSpaceDE w:val="0"/>
        <w:autoSpaceDN w:val="0"/>
        <w:adjustRightInd w:val="0"/>
        <w:spacing w:after="0" w:line="240" w:lineRule="auto"/>
        <w:jc w:val="both"/>
        <w:rPr>
          <w:rFonts w:ascii="Times New Roman" w:hAnsi="Times New Roman" w:cs="Times New Roman"/>
          <w:b/>
          <w:sz w:val="24"/>
          <w:szCs w:val="24"/>
        </w:rPr>
      </w:pPr>
      <w:r w:rsidRPr="008A00C6">
        <w:rPr>
          <w:rFonts w:ascii="Times New Roman" w:hAnsi="Times New Roman" w:cs="Times New Roman"/>
          <w:b/>
          <w:sz w:val="24"/>
          <w:szCs w:val="24"/>
        </w:rPr>
        <w:lastRenderedPageBreak/>
        <w:t>In</w:t>
      </w:r>
      <w:r>
        <w:rPr>
          <w:rFonts w:ascii="Times New Roman" w:hAnsi="Times New Roman" w:cs="Times New Roman"/>
          <w:b/>
          <w:sz w:val="24"/>
          <w:szCs w:val="24"/>
        </w:rPr>
        <w:t>formes y opiniones diversas sobre el</w:t>
      </w:r>
      <w:r w:rsidRPr="008A00C6">
        <w:rPr>
          <w:rFonts w:ascii="Times New Roman" w:hAnsi="Times New Roman" w:cs="Times New Roman"/>
          <w:b/>
          <w:sz w:val="24"/>
          <w:szCs w:val="24"/>
        </w:rPr>
        <w:t xml:space="preserve"> TTIP</w:t>
      </w:r>
      <w:r>
        <w:rPr>
          <w:rFonts w:ascii="Times New Roman" w:hAnsi="Times New Roman" w:cs="Times New Roman"/>
          <w:b/>
          <w:sz w:val="24"/>
          <w:szCs w:val="24"/>
        </w:rPr>
        <w:t xml:space="preserve"> </w:t>
      </w:r>
      <w:r w:rsidRPr="00FE1124">
        <w:rPr>
          <w:rFonts w:ascii="Times New Roman" w:hAnsi="Times New Roman" w:cs="Times New Roman"/>
          <w:b/>
          <w:sz w:val="24"/>
          <w:szCs w:val="24"/>
        </w:rPr>
        <w:t xml:space="preserve">(de la hemeroteca </w:t>
      </w:r>
      <w:r w:rsidR="00382947" w:rsidRPr="00FE1124">
        <w:rPr>
          <w:rFonts w:ascii="Times New Roman" w:hAnsi="Times New Roman" w:cs="Times New Roman"/>
          <w:b/>
          <w:sz w:val="24"/>
          <w:szCs w:val="24"/>
        </w:rPr>
        <w:t>“</w:t>
      </w:r>
      <w:r w:rsidRPr="00FE1124">
        <w:rPr>
          <w:rFonts w:ascii="Times New Roman" w:hAnsi="Times New Roman" w:cs="Times New Roman"/>
          <w:b/>
          <w:sz w:val="24"/>
          <w:szCs w:val="24"/>
        </w:rPr>
        <w:t>no panfletaria</w:t>
      </w:r>
      <w:r w:rsidR="00382947" w:rsidRPr="00FE1124">
        <w:rPr>
          <w:rFonts w:ascii="Times New Roman" w:hAnsi="Times New Roman" w:cs="Times New Roman"/>
          <w:b/>
          <w:sz w:val="24"/>
          <w:szCs w:val="24"/>
        </w:rPr>
        <w:t>”</w:t>
      </w:r>
      <w:r w:rsidRPr="00FE1124">
        <w:rPr>
          <w:rFonts w:ascii="Times New Roman" w:hAnsi="Times New Roman" w:cs="Times New Roman"/>
          <w:b/>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noProof/>
          <w:lang w:eastAsia="es-ES"/>
        </w:rPr>
        <w:drawing>
          <wp:inline distT="0" distB="0" distL="0" distR="0" wp14:anchorId="0BADB1CC" wp14:editId="218A870C">
            <wp:extent cx="5334000" cy="2590800"/>
            <wp:effectExtent l="0" t="0" r="0" b="0"/>
            <wp:docPr id="3" name="Imagen 3" descr="http://ep01.epimg.net/economia/imagenes/2014/06/15/actualidad/1402843825_979306_1402844178_noticia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ep01.epimg.net/economia/imagenes/2014/06/15/actualidad/1402843825_979306_1402844178_noticia_normal.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0" cy="2590800"/>
                    </a:xfrm>
                    <a:prstGeom prst="rect">
                      <a:avLst/>
                    </a:prstGeom>
                    <a:noFill/>
                    <a:ln>
                      <a:noFill/>
                    </a:ln>
                  </pic:spPr>
                </pic:pic>
              </a:graphicData>
            </a:graphic>
          </wp:inline>
        </w:drawing>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772C4">
        <w:rPr>
          <w:rFonts w:ascii="Times New Roman" w:hAnsi="Times New Roman" w:cs="Times New Roman"/>
          <w:sz w:val="24"/>
          <w:szCs w:val="24"/>
          <w:u w:val="single"/>
        </w:rPr>
        <w:t>Zarpa el transatlántico comercial</w:t>
      </w:r>
      <w:r>
        <w:rPr>
          <w:rFonts w:ascii="Times New Roman" w:hAnsi="Times New Roman" w:cs="Times New Roman"/>
          <w:sz w:val="24"/>
          <w:szCs w:val="24"/>
        </w:rPr>
        <w:t xml:space="preserve"> (El País - </w:t>
      </w:r>
      <w:r w:rsidRPr="00F772C4">
        <w:rPr>
          <w:rFonts w:ascii="Times New Roman" w:hAnsi="Times New Roman" w:cs="Times New Roman"/>
          <w:b/>
          <w:sz w:val="24"/>
          <w:szCs w:val="24"/>
        </w:rPr>
        <w:t>7/4/13</w:t>
      </w:r>
      <w:r>
        <w:rPr>
          <w:rFonts w:ascii="Times New Roman" w:hAnsi="Times New Roman" w:cs="Times New Roman"/>
          <w:sz w:val="24"/>
          <w:szCs w:val="24"/>
        </w:rPr>
        <w:t xml:space="preserve">) </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F772C4"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(Por Alejandro Bolaños)</w:t>
      </w:r>
    </w:p>
    <w:p w:rsidR="000369FD" w:rsidRPr="00F772C4"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F772C4" w:rsidRDefault="000369FD" w:rsidP="000369FD">
      <w:pPr>
        <w:pStyle w:val="NormalWeb"/>
        <w:shd w:val="clear" w:color="auto" w:fill="FFFFFF"/>
        <w:jc w:val="both"/>
      </w:pPr>
      <w:r w:rsidRPr="00F772C4">
        <w:t>El Capitolio, en Washington, se transfiguró en muelle. Y l</w:t>
      </w:r>
      <w:r>
        <w:t>a proclama del presidente de EEUU, Barack Obama -</w:t>
      </w:r>
      <w:r w:rsidRPr="00F772C4">
        <w:t>“</w:t>
      </w:r>
      <w:r w:rsidRPr="007E52DF">
        <w:rPr>
          <w:u w:val="single"/>
        </w:rPr>
        <w:t>Hoy lanzamos las negociaciones para lograr un amplio acuerdo transatlántico con la Unión Europea, que creará millones de empleos”-, jaleó la botadura del mayor tratado bilateral posible, un gigantesco transatlántico repleto de medidas comerciales. “Daremos forma a la mayor zona de libre comercio del mundo”,</w:t>
      </w:r>
      <w:r w:rsidRPr="00F772C4">
        <w:t xml:space="preserve"> coreó el presidente de la Comisión Europea, José Manuel Durao Barroso. La estela del anuncio aún se percibe en la espuma que levantan las expresiones de analistas y académicos: “</w:t>
      </w:r>
      <w:r w:rsidRPr="007E52DF">
        <w:rPr>
          <w:color w:val="FF0000"/>
          <w:u w:val="single"/>
        </w:rPr>
        <w:t>la OTAN del comercio</w:t>
      </w:r>
      <w:r w:rsidRPr="00F772C4">
        <w:t>”, “</w:t>
      </w:r>
      <w:r w:rsidRPr="007E52DF">
        <w:rPr>
          <w:color w:val="FF0000"/>
          <w:u w:val="single"/>
        </w:rPr>
        <w:t>el Leviatán atlántico</w:t>
      </w:r>
      <w:r w:rsidRPr="00F772C4">
        <w:t>”, “</w:t>
      </w:r>
      <w:r w:rsidRPr="007E52DF">
        <w:rPr>
          <w:color w:val="FF0000"/>
          <w:u w:val="single"/>
        </w:rPr>
        <w:t>la madre de todas las negociaciones comerciales</w:t>
      </w:r>
      <w:r w:rsidRPr="00F772C4">
        <w:t>”. Pero, en dos meses de lenta singladura, ya se atisban escollos de todo tipo, que anticipan una navegación tormentosa hasta lo que se patrocina como el mejor puerto posible.</w:t>
      </w:r>
    </w:p>
    <w:p w:rsidR="000369FD" w:rsidRDefault="000369FD" w:rsidP="000369FD">
      <w:pPr>
        <w:pStyle w:val="NormalWeb"/>
        <w:shd w:val="clear" w:color="auto" w:fill="FFFFFF"/>
        <w:jc w:val="both"/>
      </w:pPr>
    </w:p>
    <w:p w:rsidR="000369FD" w:rsidRPr="00F772C4" w:rsidRDefault="000369FD" w:rsidP="000369FD">
      <w:pPr>
        <w:pStyle w:val="NormalWeb"/>
        <w:shd w:val="clear" w:color="auto" w:fill="FFFFFF"/>
        <w:jc w:val="both"/>
      </w:pPr>
      <w:r w:rsidRPr="00F772C4">
        <w:t>La idea de un acuerdo de libre comercio entre Estados Unidos y Europa no es nueva. Y casi siempre se quedó ahí. El transatlántico comercial abandonó el terreno de las ideas en Madrid, en 1995. Pero, durante una década, el proyecto quedó en el</w:t>
      </w:r>
      <w:r>
        <w:t xml:space="preserve"> astillero de aquella cumbre EE</w:t>
      </w:r>
      <w:r w:rsidRPr="00F772C4">
        <w:t>UU-UE, con los esfuerzos de ambos bloques comerciales centrados en la Organización Mundial del Comercio (OMC). En 2007, cuando la Ronda de Doha ya boqueaba, Washington y Bruselas se aprestaron a acelerar “el desarrollo de la integración económica transatlántica”. Pero a los pocos meses, la iniciativa</w:t>
      </w:r>
      <w:r>
        <w:t xml:space="preserve"> encalló en los mismos asuntos -</w:t>
      </w:r>
      <w:r w:rsidRPr="00F772C4">
        <w:t xml:space="preserve">subsidios a la agricultura y a la </w:t>
      </w:r>
      <w:r>
        <w:t>aviación, seguridad alimentaria-</w:t>
      </w:r>
      <w:r w:rsidRPr="00F772C4">
        <w:t xml:space="preserve"> que les separaban en la OMC.</w:t>
      </w:r>
    </w:p>
    <w:p w:rsidR="000369FD" w:rsidRDefault="000369FD" w:rsidP="000369FD">
      <w:pPr>
        <w:pStyle w:val="NormalWeb"/>
        <w:shd w:val="clear" w:color="auto" w:fill="FFFFFF"/>
        <w:jc w:val="both"/>
      </w:pPr>
    </w:p>
    <w:p w:rsidR="000369FD" w:rsidRPr="00F772C4" w:rsidRDefault="000369FD" w:rsidP="000369FD">
      <w:pPr>
        <w:pStyle w:val="NormalWeb"/>
        <w:shd w:val="clear" w:color="auto" w:fill="FFFFFF"/>
        <w:jc w:val="both"/>
      </w:pPr>
      <w:r w:rsidRPr="00F772C4">
        <w:t>“Esta vez la negociación no fracasará porque se rechace desinfectar pollos c</w:t>
      </w:r>
      <w:r>
        <w:t xml:space="preserve">on cloro”, afirmó el comisario </w:t>
      </w:r>
      <w:r w:rsidRPr="00F772C4">
        <w:t>de Comercio, Karel de Gucht, en un encuentro en Bruselas con varios medios europeos, entr</w:t>
      </w:r>
      <w:r>
        <w:t>e ellos EL PAÍS. La referencia -</w:t>
      </w:r>
      <w:r w:rsidRPr="00F772C4">
        <w:t xml:space="preserve">que mimetiza cada vez que tiene ocasión el ministro de Asuntos Exteriores alemán, Guido Westerwelle, </w:t>
      </w:r>
      <w:r>
        <w:t>otro valedor del acuerdo con EE</w:t>
      </w:r>
      <w:r w:rsidRPr="00F772C4">
        <w:t>UU</w:t>
      </w:r>
      <w:r>
        <w:t>-</w:t>
      </w:r>
      <w:r w:rsidRPr="00F772C4">
        <w:t xml:space="preserve">, al conflicto que quebró las negociaciones hace un lustro no es baladí: </w:t>
      </w:r>
      <w:r w:rsidRPr="00F772C4">
        <w:lastRenderedPageBreak/>
        <w:t xml:space="preserve">Francia, el país más renuente a un </w:t>
      </w:r>
      <w:r w:rsidRPr="00F772C4">
        <w:rPr>
          <w:rStyle w:val="nfasis"/>
        </w:rPr>
        <w:t>streaptease</w:t>
      </w:r>
      <w:r w:rsidRPr="00F772C4">
        <w:t xml:space="preserve"> normativo integral por el libre comercio, encabezó aquel bloqueo.</w:t>
      </w:r>
    </w:p>
    <w:p w:rsidR="000369FD" w:rsidRDefault="000369FD" w:rsidP="000369FD">
      <w:pPr>
        <w:pStyle w:val="NormalWeb"/>
        <w:shd w:val="clear" w:color="auto" w:fill="FFFFFF"/>
        <w:jc w:val="both"/>
      </w:pPr>
    </w:p>
    <w:p w:rsidR="000369FD" w:rsidRPr="00F772C4" w:rsidRDefault="000369FD" w:rsidP="000369FD">
      <w:pPr>
        <w:pStyle w:val="NormalWeb"/>
        <w:shd w:val="clear" w:color="auto" w:fill="FFFFFF"/>
        <w:jc w:val="both"/>
      </w:pPr>
      <w:r w:rsidRPr="00F772C4">
        <w:t xml:space="preserve">“¿Por qué es más fácil tener éxito esta vez? Porque necesitamos tener éxito”, sintetizaron fuentes comunitarias. </w:t>
      </w:r>
      <w:r w:rsidRPr="00C742B7">
        <w:rPr>
          <w:u w:val="single"/>
        </w:rPr>
        <w:t>El sector exterior ha sido la única fuente de crecimiento para la inmensa mayoría de países europeos en estos años de crisis, a lo que se une la necesidad imperiosa de revertir el déficit exterior en las economías más golpeadas (Grecia, Portugal, España o Italia)</w:t>
      </w:r>
      <w:r w:rsidRPr="00F772C4">
        <w:t>. “Vamos a ver más presión, y de más países, al otro lado del Atlántico para avanzar de la que hemos visto en el pasado”, pronóstico Obama poco después de su anuncio.</w:t>
      </w:r>
    </w:p>
    <w:p w:rsidR="000369FD" w:rsidRPr="00F772C4" w:rsidRDefault="000369FD" w:rsidP="000369FD">
      <w:pPr>
        <w:pStyle w:val="textogrande2"/>
        <w:shd w:val="clear" w:color="auto" w:fill="FFFFFF"/>
        <w:jc w:val="both"/>
        <w:rPr>
          <w:rFonts w:ascii="Times New Roman" w:hAnsi="Times New Roman"/>
          <w:sz w:val="24"/>
          <w:szCs w:val="24"/>
        </w:rPr>
      </w:pPr>
      <w:bookmarkStart w:id="0" w:name="sumario_1"/>
      <w:bookmarkEnd w:id="0"/>
    </w:p>
    <w:p w:rsidR="000369FD" w:rsidRPr="00C742B7" w:rsidRDefault="000369FD" w:rsidP="000369FD">
      <w:pPr>
        <w:pStyle w:val="NormalWeb"/>
        <w:shd w:val="clear" w:color="auto" w:fill="FFFFFF"/>
        <w:jc w:val="both"/>
        <w:rPr>
          <w:u w:val="single"/>
        </w:rPr>
      </w:pPr>
      <w:r w:rsidRPr="00C742B7">
        <w:rPr>
          <w:u w:val="single"/>
        </w:rPr>
        <w:t>“Europa desea más este acuerdo que EEUU, y eso anticipa más concesiones”, subraya Federico Steinberg, investigador del Real Instituto Elcano</w:t>
      </w:r>
      <w:r w:rsidRPr="00F772C4">
        <w:t xml:space="preserve">. Pero el profesor de Economía de la Autónoma de Madrid avisa de que el acuerdo que se persigue “por ambicioso, es más complicado y difícil de lo que se anuncia”. La vía elegida por De Gucht y el ex representante estadounidense de Comercio Exterior, Ron Kirk, ha sido sortear los problemas habituales por elevación: </w:t>
      </w:r>
      <w:r w:rsidRPr="00C742B7">
        <w:rPr>
          <w:u w:val="single"/>
        </w:rPr>
        <w:t>las negociaciones sobrepasarán el tradicional ámbito de la rebaja de aranceles para apuntar a la armonización de todo tipo de leyes, exigencias administrativas, certificaciones o subsidios que ponen en desventaja a las empresas cuando tratan de exportar sus mercancías, vender sus servicios o invertir al otro lado del Atlántico.</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C742B7">
        <w:rPr>
          <w:u w:val="single"/>
        </w:rPr>
        <w:t>“Iremos mucho más allá de lo que podríamos esperar ahora de una ronda multilateral en la OMC”, aventuró De Gucht. La ambición se extiende a los plazos: Bruselas y Washington quieren cerrar la negociación en 2014, que el tratado transatlántico entre en vigor tres años más tarde.</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C742B7">
        <w:rPr>
          <w:u w:val="single"/>
        </w:rPr>
        <w:t>Entre Europa y Estados Unidos aún circula un tercio de los intercambios del mundo, pero “el comercio bilateral se ha estancado en la última década”, como señala el informe de impacto económico de la Comisión, que también refiere que el margen de ganancia por la simple rebaja arancelaria es limitado: en promedio, las tarifas aplicadas por UE a las importaciones estadounidenses es del 5,2%; en sentido contrario, es apenas un 3,5%. Eso sí, hay picos notables, como es el caso del arancel europeo a la industria del motor y varios alimentos elaborados; o de las tarifas que fija EEUU al tabaco (un Himalaya del 350%).</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C742B7">
        <w:rPr>
          <w:u w:val="single"/>
        </w:rPr>
        <w:t>La conclusión del grupo de altos funcionarios que ha madurado el proyecto es que, además de la rebaja arancelaria, hay que ir a por una homologación en las normas que rigen todo tipo de actividades económicas. Para estimar cuánto se ganaría en el intento, se encargó un informe al Center for the Economic Policy Research (CEPR).</w:t>
      </w:r>
      <w:r w:rsidRPr="00F772C4">
        <w:t xml:space="preserve"> El ejercicio, parte de una amplia encuesta a empresarios de las dos orillas, que recoge su percepción de las barreras no arancelarias en cada sector. </w:t>
      </w:r>
      <w:r w:rsidRPr="00C742B7">
        <w:rPr>
          <w:u w:val="single"/>
        </w:rPr>
        <w:t>El resultado, tamizado por el peso económico de cada actividad, la sensibilidad del negocio a futuros cambios normativos y combinado con las rebajas arancelarias, arrojaría datos espectaculares en algunas áreas: el acuerdo más ambicioso llevaría a triplicar los intercambios de la industria del automóvil en una década. Y podría aumentar en un 75% las exportaciones estadounidenses de alimentos elaborados a Europa; o en un 35% la venta de productos quí</w:t>
      </w:r>
      <w:r>
        <w:rPr>
          <w:u w:val="single"/>
        </w:rPr>
        <w:t>micos europeos al mercado de EE</w:t>
      </w:r>
      <w:r w:rsidRPr="00C742B7">
        <w:rPr>
          <w:u w:val="single"/>
        </w:rPr>
        <w:t>UU.</w:t>
      </w:r>
    </w:p>
    <w:p w:rsidR="000369FD" w:rsidRDefault="000369FD" w:rsidP="000369FD">
      <w:pPr>
        <w:pStyle w:val="NormalWeb"/>
        <w:shd w:val="clear" w:color="auto" w:fill="FFFFFF"/>
        <w:jc w:val="both"/>
        <w:rPr>
          <w:spacing w:val="-15"/>
        </w:rPr>
      </w:pPr>
      <w:bookmarkStart w:id="1" w:name="sumario_2"/>
      <w:bookmarkEnd w:id="1"/>
    </w:p>
    <w:p w:rsidR="000369FD" w:rsidRPr="00C742B7" w:rsidRDefault="000369FD" w:rsidP="000369FD">
      <w:pPr>
        <w:pStyle w:val="NormalWeb"/>
        <w:shd w:val="clear" w:color="auto" w:fill="FFFFFF"/>
        <w:jc w:val="both"/>
        <w:rPr>
          <w:u w:val="single"/>
        </w:rPr>
      </w:pPr>
      <w:r w:rsidRPr="00C742B7">
        <w:rPr>
          <w:u w:val="single"/>
        </w:rPr>
        <w:lastRenderedPageBreak/>
        <w:t xml:space="preserve">En total, las ventas europeas al mercado estadounidense aumentarían un 28% en la primera década de aplicación del acuerdo. En el camino de </w:t>
      </w:r>
      <w:r>
        <w:rPr>
          <w:u w:val="single"/>
        </w:rPr>
        <w:t>vuelta, las exportaciones de EE</w:t>
      </w:r>
      <w:r w:rsidRPr="00C742B7">
        <w:rPr>
          <w:u w:val="single"/>
        </w:rPr>
        <w:t>UU se elevarían hasta el 36%. En el escenario más ambicioso, el PIB de ambos bloques comerciales se elevaría en torno al 0,5% anual como consecuencia del tratado comercial.</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C742B7">
        <w:rPr>
          <w:u w:val="single"/>
        </w:rPr>
        <w:t>Más allá de las cifras, el estudio apuntala tres lemas: la convergencia en las normas puede dar lugar a grandes ganancias comerciales, sobre todo en determinadas industrias; la simplificación y el acceso a mercados de consumo mucho más amplios empujaría la productividad, clave ante la pujanza de los emergentes. Y el pacto bilateral impulsará el comercio mundial, en la medida que otros países aprovechen (y secunden) la unificación de normas.</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F772C4">
        <w:t xml:space="preserve">“Pocas veces será posible cambiar las normas para que sean similares”, conceden fuentes comunitarias, “pero cuando el nivel de protección ya es parecido, y eso pasa en muchos sectores en este caso, puede bastar con el mutuo reconocimiento”. Los altos funcionarios de la Comisión esgrimen ese “mutuo reconocimiento” como un atajo. Y brindan un ejemplo: </w:t>
      </w:r>
      <w:r w:rsidRPr="00C742B7">
        <w:rPr>
          <w:u w:val="single"/>
        </w:rPr>
        <w:t>Estados Unidos y Europa exigen un nivel de seguridad similar a los coches, pero para alcanzarlo exigen el cumplimiento de medidas distintas. Si el cert</w:t>
      </w:r>
      <w:r>
        <w:rPr>
          <w:u w:val="single"/>
        </w:rPr>
        <w:t>ificado europeo valiese para EE</w:t>
      </w:r>
      <w:r w:rsidRPr="00C742B7">
        <w:rPr>
          <w:u w:val="single"/>
        </w:rPr>
        <w:t>UU (o viceversa), se evitarían modificaciones que, según Bruselas, elevan los costes hasta un 20%.</w:t>
      </w:r>
    </w:p>
    <w:p w:rsidR="000369FD" w:rsidRDefault="000369FD" w:rsidP="000369FD">
      <w:pPr>
        <w:pStyle w:val="NormalWeb"/>
        <w:shd w:val="clear" w:color="auto" w:fill="FFFFFF"/>
        <w:jc w:val="both"/>
      </w:pPr>
    </w:p>
    <w:p w:rsidR="000369FD" w:rsidRPr="00C742B7" w:rsidRDefault="000369FD" w:rsidP="000369FD">
      <w:pPr>
        <w:pStyle w:val="NormalWeb"/>
        <w:shd w:val="clear" w:color="auto" w:fill="FFFFFF"/>
        <w:jc w:val="both"/>
        <w:rPr>
          <w:u w:val="single"/>
        </w:rPr>
      </w:pPr>
      <w:r w:rsidRPr="00C742B7">
        <w:rPr>
          <w:u w:val="single"/>
        </w:rPr>
        <w:t xml:space="preserve">A bote pronto, es una idea sencilla y con muchas probabilidades de prosperar, ya que las compañías del motor, a ambos lados del </w:t>
      </w:r>
      <w:r w:rsidRPr="00C742B7">
        <w:rPr>
          <w:rStyle w:val="nfasis"/>
          <w:u w:val="single"/>
        </w:rPr>
        <w:t>charco</w:t>
      </w:r>
      <w:r w:rsidRPr="00C742B7">
        <w:rPr>
          <w:u w:val="single"/>
        </w:rPr>
        <w:t>, la respaldan. No es el caso para la mayor parte de la regulación conflictiva. Entre otras cosas, porque responden a delicados equilibrios a 27, en el caso de la UE. O porque afectan también a las competencias de medio centenar de gobiernos estatales, en el caso de Estados Unidos.</w:t>
      </w:r>
    </w:p>
    <w:p w:rsidR="000369FD" w:rsidRPr="00C742B7" w:rsidRDefault="000369FD" w:rsidP="000369FD">
      <w:pPr>
        <w:pStyle w:val="NormalWeb"/>
        <w:shd w:val="clear" w:color="auto" w:fill="FFFFFF"/>
        <w:jc w:val="both"/>
        <w:rPr>
          <w:u w:val="single"/>
        </w:rPr>
      </w:pPr>
    </w:p>
    <w:p w:rsidR="000369FD" w:rsidRPr="00005BBA" w:rsidRDefault="000369FD" w:rsidP="000369FD">
      <w:pPr>
        <w:pStyle w:val="NormalWeb"/>
        <w:shd w:val="clear" w:color="auto" w:fill="FFFFFF"/>
        <w:jc w:val="both"/>
        <w:rPr>
          <w:u w:val="single"/>
        </w:rPr>
      </w:pPr>
      <w:bookmarkStart w:id="2" w:name="sumario_4"/>
      <w:bookmarkEnd w:id="2"/>
      <w:r w:rsidRPr="00005BBA">
        <w:rPr>
          <w:u w:val="single"/>
        </w:rPr>
        <w:t>Las normas europeas prohíben o restringen con dureza los cultivos transgénicos, el uso de hormonas de crecimiento en el ganado, los suplementos alimenticios o la aplicación masiva de antibióticos, lo que provoca las recriminaciones estadounidenses desde hace años. Las autoridades de EEUU también creen que las denominaciones de origen europeas son una vía enmascarada de proteccionismo, que se suma a los aranceles, más altos en el sector agrario europeo.</w:t>
      </w:r>
    </w:p>
    <w:p w:rsidR="000369FD" w:rsidRPr="00F772C4" w:rsidRDefault="000369FD" w:rsidP="000369FD">
      <w:pPr>
        <w:pStyle w:val="NormalWeb"/>
        <w:shd w:val="clear" w:color="auto" w:fill="FFFFFF"/>
        <w:jc w:val="both"/>
      </w:pPr>
    </w:p>
    <w:p w:rsidR="000369FD" w:rsidRPr="00005BBA" w:rsidRDefault="000369FD" w:rsidP="000369FD">
      <w:pPr>
        <w:pStyle w:val="NormalWeb"/>
        <w:shd w:val="clear" w:color="auto" w:fill="FFFFFF"/>
        <w:jc w:val="both"/>
        <w:rPr>
          <w:u w:val="single"/>
        </w:rPr>
      </w:pPr>
      <w:r w:rsidRPr="00005BBA">
        <w:rPr>
          <w:u w:val="single"/>
        </w:rPr>
        <w:t xml:space="preserve">A su vez, Europa exige a la Administración Obama que derogue la cláusula </w:t>
      </w:r>
      <w:r w:rsidRPr="00005BBA">
        <w:rPr>
          <w:rStyle w:val="nfasis"/>
          <w:u w:val="single"/>
        </w:rPr>
        <w:t>Buy American</w:t>
      </w:r>
      <w:r w:rsidRPr="00005BBA">
        <w:rPr>
          <w:u w:val="single"/>
        </w:rPr>
        <w:t>, que impide a las compañías europeas optar a contratos públicos. O que abra el transporte naval y el transporte aéreo -las líneas internas están casi vedadas a compañías europeas- a la competencia. No es el único foco de conflicto en el sector: los subsidios a Airbus y Boeing son fuente habitual de tensiones, y EEUU reprocha a la UE que haga pagar a sus compañías aéreas la tasa por emisiones contaminantes.</w:t>
      </w:r>
      <w:bookmarkStart w:id="3" w:name="sumario_3"/>
      <w:bookmarkEnd w:id="3"/>
    </w:p>
    <w:p w:rsidR="000369FD" w:rsidRPr="00005BBA" w:rsidRDefault="000369FD" w:rsidP="000369FD">
      <w:pPr>
        <w:pStyle w:val="NormalWeb"/>
        <w:shd w:val="clear" w:color="auto" w:fill="FFFFFF"/>
        <w:jc w:val="both"/>
        <w:rPr>
          <w:u w:val="single"/>
        </w:rPr>
      </w:pPr>
    </w:p>
    <w:p w:rsidR="000369FD" w:rsidRPr="00005BBA" w:rsidRDefault="000369FD" w:rsidP="000369FD">
      <w:pPr>
        <w:pStyle w:val="NormalWeb"/>
        <w:shd w:val="clear" w:color="auto" w:fill="FFFFFF"/>
        <w:jc w:val="both"/>
        <w:rPr>
          <w:u w:val="single"/>
        </w:rPr>
      </w:pPr>
      <w:r w:rsidRPr="00005BBA">
        <w:rPr>
          <w:u w:val="single"/>
        </w:rPr>
        <w:t xml:space="preserve">Es también tradicional la exigencia norteamericana de que Europa evite proteger la industria audiovisual (en detrimento de Hollywood) o de que fortalezca la protección de la propiedad intelectual (para favorecer a sus </w:t>
      </w:r>
      <w:r w:rsidRPr="00005BBA">
        <w:rPr>
          <w:rStyle w:val="nfasis"/>
          <w:u w:val="single"/>
        </w:rPr>
        <w:t>punto.com</w:t>
      </w:r>
      <w:r w:rsidRPr="00005BBA">
        <w:rPr>
          <w:u w:val="single"/>
        </w:rPr>
        <w:t xml:space="preserve">). Por contra, las autoridades europeas piden más facilidades para desarrollar el negocio bancario o de seguros en EEUU. El reconocimiento de credenciales para trabajar como ingeniero, abogado, o arquitecto es trabajoso a ambos lados del </w:t>
      </w:r>
      <w:r w:rsidRPr="00005BBA">
        <w:rPr>
          <w:rStyle w:val="nfasis"/>
          <w:u w:val="single"/>
        </w:rPr>
        <w:t>charco</w:t>
      </w:r>
      <w:r w:rsidRPr="00005BBA">
        <w:rPr>
          <w:u w:val="single"/>
        </w:rPr>
        <w:t>. Y los procesos para certificar la seguridad de todo tipo de productos, desde medicamentos a equipamiento electrónico, son muy distintos.</w:t>
      </w:r>
    </w:p>
    <w:p w:rsidR="000369FD" w:rsidRDefault="000369FD" w:rsidP="000369FD">
      <w:pPr>
        <w:pStyle w:val="NormalWeb"/>
        <w:shd w:val="clear" w:color="auto" w:fill="FFFFFF"/>
        <w:jc w:val="both"/>
      </w:pPr>
      <w:r w:rsidRPr="00005BBA">
        <w:rPr>
          <w:u w:val="single"/>
        </w:rPr>
        <w:lastRenderedPageBreak/>
        <w:t xml:space="preserve">Las negociaciones deberán lidiar con los recelos de diversos sectores de la sociedad civil. Los activistas en favor del acceso universal y gratuito en Internet, que ya presionaron para tumbar sendas iniciativas </w:t>
      </w:r>
      <w:r w:rsidRPr="00005BBA">
        <w:rPr>
          <w:rStyle w:val="nfasis"/>
          <w:u w:val="single"/>
        </w:rPr>
        <w:t>antipiratería</w:t>
      </w:r>
      <w:r w:rsidRPr="00005BBA">
        <w:rPr>
          <w:u w:val="single"/>
        </w:rPr>
        <w:t xml:space="preserve"> en Washington y Estrasburgo han dado la voz de alarma</w:t>
      </w:r>
      <w:r w:rsidRPr="00F772C4">
        <w:t>. El foro transatlántico de consumidores ha remitido una detallada reflexión sobre la iniciativa. “Queremos transparencia, que nos tengan en cuenta. Hasta ahora, los contactos con la industria son mucho más intensos y decisivos”, señala Conchy Martín, la representante española en el foro. La mayor preocupación es que la negociación erosione exigencias en seguridad alimentaria, protección ambiental o privacidad de datos, añade.</w:t>
      </w:r>
    </w:p>
    <w:p w:rsidR="000369FD" w:rsidRPr="00F772C4" w:rsidRDefault="000369FD" w:rsidP="000369FD">
      <w:pPr>
        <w:pStyle w:val="NormalWeb"/>
        <w:shd w:val="clear" w:color="auto" w:fill="FFFFFF"/>
        <w:jc w:val="both"/>
      </w:pPr>
    </w:p>
    <w:p w:rsidR="000369FD" w:rsidRDefault="000369FD" w:rsidP="000369FD">
      <w:pPr>
        <w:pStyle w:val="NormalWeb"/>
        <w:shd w:val="clear" w:color="auto" w:fill="FFFFFF"/>
        <w:jc w:val="both"/>
      </w:pPr>
      <w:r w:rsidRPr="00005BBA">
        <w:rPr>
          <w:u w:val="single"/>
        </w:rPr>
        <w:t>Los agricultores del Viejo Continente también están en guardia. “En Europa, con muchas dificultades, pese a la presión enorme de la industria transgénica, se intenta avanzar en seguridad alimentaria</w:t>
      </w:r>
      <w:r w:rsidRPr="00F772C4">
        <w:t>”, sostiene Javier Sánchez, coordinador europeo de Vía Campesina. “Cuando Barroso nos explicó en el comité económico y social europeo lo que pretende, todos miramos a Francia”.</w:t>
      </w:r>
    </w:p>
    <w:p w:rsidR="000369FD" w:rsidRPr="00F772C4" w:rsidRDefault="000369FD" w:rsidP="000369FD">
      <w:pPr>
        <w:pStyle w:val="NormalWeb"/>
        <w:shd w:val="clear" w:color="auto" w:fill="FFFFFF"/>
        <w:jc w:val="both"/>
      </w:pPr>
    </w:p>
    <w:p w:rsidR="000369FD" w:rsidRPr="00005BBA" w:rsidRDefault="000369FD" w:rsidP="000369FD">
      <w:pPr>
        <w:pStyle w:val="NormalWeb"/>
        <w:shd w:val="clear" w:color="auto" w:fill="FFFFFF"/>
        <w:jc w:val="both"/>
        <w:rPr>
          <w:u w:val="single"/>
        </w:rPr>
      </w:pPr>
      <w:r w:rsidRPr="00F772C4">
        <w:t xml:space="preserve">Frente al entusiasmo de Washington, Berlín, Bruselas o Londres, el Ejecutivo de Hollande opone cautela y reservas. “Podemos ganar todos, siempre que no nos aceleremos”, indicó hace dos semanas la ministra de Comercio francesa, Nicole Bricq. </w:t>
      </w:r>
      <w:r w:rsidRPr="00005BBA">
        <w:rPr>
          <w:u w:val="single"/>
        </w:rPr>
        <w:t>Cualquier avance en el uso de hormonas de crecimiento o en la autorización de transgénicos, avisó, dará al traste con la negociación. Y marcó otra línea roja: “Queremos fuera de la negociación todo lo que tenga que ver con la cultura”.</w:t>
      </w:r>
    </w:p>
    <w:p w:rsidR="000369FD" w:rsidRPr="00F772C4" w:rsidRDefault="000369FD" w:rsidP="000369FD">
      <w:pPr>
        <w:pStyle w:val="NormalWeb"/>
        <w:shd w:val="clear" w:color="auto" w:fill="FFFFFF"/>
        <w:jc w:val="both"/>
      </w:pPr>
    </w:p>
    <w:p w:rsidR="000369FD" w:rsidRDefault="000369FD" w:rsidP="000369FD">
      <w:pPr>
        <w:pStyle w:val="NormalWeb"/>
        <w:shd w:val="clear" w:color="auto" w:fill="FFFFFF"/>
        <w:jc w:val="both"/>
      </w:pPr>
      <w:r w:rsidRPr="00F772C4">
        <w:t>“Si cada uno empezamos a hacer excepciones, el acuerdo quedará muy descafeinado”, rebate el secretario de Estado de Comercio español, Jaime García-Legaz, quien sostiene que el apoyo entre los 27 a las negociaciones es “abrumador”. “Alemania, Reino Unido, Italia, Holanda o Austria están claramente a favor. Y Francia no está en contra”, tercia, diplomático. Sobre la posición española hay pocas dudas. El propio García-Legaz, participó en un estudio colectivo en favor de un área de libre comercio, en FAES, la fundación del PP. Y acaba de publicar una ampliación del estudio junto al economista estadounidense Joseph Quinlan.</w:t>
      </w:r>
    </w:p>
    <w:p w:rsidR="000369FD" w:rsidRPr="00F772C4" w:rsidRDefault="000369FD" w:rsidP="000369FD">
      <w:pPr>
        <w:pStyle w:val="NormalWeb"/>
        <w:shd w:val="clear" w:color="auto" w:fill="FFFFFF"/>
        <w:jc w:val="both"/>
      </w:pPr>
    </w:p>
    <w:p w:rsidR="000369FD" w:rsidRPr="00005BBA" w:rsidRDefault="000369FD" w:rsidP="000369FD">
      <w:pPr>
        <w:pStyle w:val="NormalWeb"/>
        <w:shd w:val="clear" w:color="auto" w:fill="FFFFFF"/>
        <w:jc w:val="both"/>
        <w:rPr>
          <w:u w:val="single"/>
        </w:rPr>
      </w:pPr>
      <w:r w:rsidRPr="00F772C4">
        <w:t xml:space="preserve">García-Legaz coincide con la visión de la Comisión: “Hay que ir a por un acuerdo ambicioso, cuanto más amplio, mejor para España. Las empresas españolas han ganado presencia en el mercado estadounidense, se beneficiarán de normas más abiertas”. Y destaca </w:t>
      </w:r>
      <w:r w:rsidRPr="00005BBA">
        <w:rPr>
          <w:u w:val="single"/>
        </w:rPr>
        <w:t>el parón de las negociaciones en la OMC como un factor determinante en la proliferación de tratados regionales y bilaterales.</w:t>
      </w:r>
    </w:p>
    <w:p w:rsidR="000369FD" w:rsidRPr="00F772C4" w:rsidRDefault="000369FD" w:rsidP="000369FD">
      <w:pPr>
        <w:pStyle w:val="NormalWeb"/>
        <w:shd w:val="clear" w:color="auto" w:fill="FFFFFF"/>
        <w:jc w:val="both"/>
      </w:pPr>
    </w:p>
    <w:p w:rsidR="000369FD" w:rsidRPr="00005BBA" w:rsidRDefault="000369FD" w:rsidP="000369FD">
      <w:pPr>
        <w:pStyle w:val="NormalWeb"/>
        <w:shd w:val="clear" w:color="auto" w:fill="FFFFFF"/>
        <w:jc w:val="both"/>
        <w:rPr>
          <w:u w:val="single"/>
        </w:rPr>
      </w:pPr>
      <w:r w:rsidRPr="00005BBA">
        <w:rPr>
          <w:u w:val="single"/>
        </w:rPr>
        <w:t xml:space="preserve">Porque EEUU y Europa no solo tantean un camino en común. Ambos han cerrado tratados con Corea del Sur en los dos últimos años. La Administración Obama negocia una zona de libre comercio transpacífica con otros ocho países, unas conversaciones a las que se acaba de incorporar Japón. Tokio también ha empezado a hablar con Bruselas, que última un tratado con Canadá, tras cerrar un pacto con Singapur. En la recámara, conversaciones con Mercosur y la India, más rezagadas. Washington y Bruselas lo niegan, pero todo apunta en la misma dirección: aislar a China para forzarle a abrir su mercado, a que eleve exigencias ambientales y laborales. “Están intentando reescribir las reglas del comercio internacional a nuestras espaldas”, afirmó un alto funcionario chino al </w:t>
      </w:r>
      <w:r w:rsidRPr="00005BBA">
        <w:rPr>
          <w:rStyle w:val="nfasis"/>
          <w:u w:val="single"/>
        </w:rPr>
        <w:t>Financial Times</w:t>
      </w:r>
      <w:r w:rsidRPr="00005BBA">
        <w:rPr>
          <w:u w:val="single"/>
        </w:rPr>
        <w:t xml:space="preserve"> esta semana.</w:t>
      </w:r>
    </w:p>
    <w:p w:rsidR="000369FD" w:rsidRPr="00005BBA" w:rsidRDefault="000369FD" w:rsidP="000369FD">
      <w:pPr>
        <w:pStyle w:val="NormalWeb"/>
        <w:shd w:val="clear" w:color="auto" w:fill="FFFFFF"/>
        <w:jc w:val="both"/>
        <w:rPr>
          <w:u w:val="single"/>
        </w:rPr>
      </w:pPr>
    </w:p>
    <w:p w:rsidR="000369FD" w:rsidRDefault="000369FD" w:rsidP="000369FD">
      <w:pPr>
        <w:pStyle w:val="NormalWeb"/>
        <w:shd w:val="clear" w:color="auto" w:fill="FFFFFF"/>
        <w:jc w:val="both"/>
      </w:pPr>
      <w:r w:rsidRPr="00F772C4">
        <w:lastRenderedPageBreak/>
        <w:t>Pero antes de que se desencadene el temporal en Oriente, Washington y Bruselas tienen un mar de negociaciones por delante. En el horizonte, las elecciones al Parlamento Europeo en junio de 2014, el fin de mandato de la actual Comisión, y los comicios estadounidenses cinco meses más tarde, determinan un calendario diabólico.</w:t>
      </w:r>
    </w:p>
    <w:p w:rsidR="000369FD" w:rsidRPr="00F772C4" w:rsidRDefault="000369FD" w:rsidP="000369FD">
      <w:pPr>
        <w:pStyle w:val="NormalWeb"/>
        <w:shd w:val="clear" w:color="auto" w:fill="FFFFFF"/>
        <w:jc w:val="both"/>
      </w:pPr>
    </w:p>
    <w:p w:rsidR="000369FD" w:rsidRDefault="000369FD" w:rsidP="000369FD">
      <w:pPr>
        <w:pStyle w:val="NormalWeb"/>
        <w:shd w:val="clear" w:color="auto" w:fill="FFFFFF"/>
        <w:jc w:val="both"/>
      </w:pPr>
      <w:r w:rsidRPr="00F772C4">
        <w:t>“Es demasiado complejo para cerrarlo en un año”, concede García-Legaz. Sobre todo cuando la distancia entre las palabras y los hechos es ya significativa. Obama aún no ha encontrado sustituto a Kirk como representante de Comercio Exterior, mientras que el interino en el cargo lamenta los recortes presupuestarios ante los múltiples frente</w:t>
      </w:r>
      <w:r>
        <w:t>s abiertos. El presidente de EE</w:t>
      </w:r>
      <w:r w:rsidRPr="00F772C4">
        <w:t>UU tampoco ha hecho movimiento alguno para pedir una autorización especial al Congreso (</w:t>
      </w:r>
      <w:r w:rsidRPr="00F772C4">
        <w:rPr>
          <w:rStyle w:val="nfasis"/>
        </w:rPr>
        <w:t>fast track</w:t>
      </w:r>
      <w:r w:rsidRPr="00F772C4">
        <w:t>), sin la que la opción de una negociación rápida y determinante mengua. En Europa, De Gucht todavía tiene que lograr que los líderes de los Veintisiete aprueben un mandato, que balice las discusiones, antes de junio. El transatlántico del comercio apenas ha dejado atrás la dársena de las buenas palabras. Aguarda una travesía incierta</w:t>
      </w:r>
      <w:r>
        <w:t>…</w:t>
      </w:r>
      <w:r w:rsidRPr="00F772C4">
        <w:t>  </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 xml:space="preserve">- </w:t>
      </w:r>
      <w:r w:rsidRPr="00F772C4">
        <w:rPr>
          <w:u w:val="single"/>
        </w:rPr>
        <w:t>La Gran Red de Occidente</w:t>
      </w:r>
      <w:r>
        <w:t xml:space="preserve"> (El País - </w:t>
      </w:r>
      <w:r w:rsidRPr="00F772C4">
        <w:rPr>
          <w:b/>
        </w:rPr>
        <w:t>15/7/13</w:t>
      </w:r>
      <w:r>
        <w:t>)</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Si los grandes acuerdos de comercio e inversión se cierran, a largo plazo podrían significar sustanciales aumentos en la renta “per cápita”: del 13% para EEUU, del 5% para la UE, y un 10% para Reino Unido</w:t>
      </w:r>
    </w:p>
    <w:p w:rsidR="000369FD" w:rsidRDefault="000369FD" w:rsidP="000369FD">
      <w:pPr>
        <w:pStyle w:val="NormalWeb"/>
        <w:shd w:val="clear" w:color="auto" w:fill="FFFFFF"/>
        <w:jc w:val="both"/>
      </w:pPr>
    </w:p>
    <w:p w:rsidR="000369FD" w:rsidRPr="00080BA8" w:rsidRDefault="000369FD" w:rsidP="000369FD">
      <w:pPr>
        <w:pStyle w:val="NormalWeb"/>
        <w:shd w:val="clear" w:color="auto" w:fill="FFFFFF"/>
        <w:jc w:val="both"/>
      </w:pPr>
      <w:r w:rsidRPr="00080BA8">
        <w:t>(Por Timothy Garton Ash)</w:t>
      </w:r>
    </w:p>
    <w:p w:rsidR="000369FD" w:rsidRPr="00080BA8" w:rsidRDefault="000369FD" w:rsidP="000369FD">
      <w:pPr>
        <w:pStyle w:val="NormalWeb"/>
        <w:shd w:val="clear" w:color="auto" w:fill="FFFFFF"/>
        <w:jc w:val="both"/>
      </w:pPr>
    </w:p>
    <w:p w:rsidR="000369FD" w:rsidRPr="00005BBA"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005BBA">
        <w:rPr>
          <w:rFonts w:ascii="Times New Roman" w:eastAsia="Times New Roman" w:hAnsi="Times New Roman" w:cs="Times New Roman"/>
          <w:sz w:val="24"/>
          <w:szCs w:val="24"/>
          <w:u w:val="single"/>
          <w:lang w:eastAsia="es-ES"/>
        </w:rPr>
        <w:t>Oculto bajo marañas de siglas y bosques de detalles, se ha entablado en todo el mundo un nuevo Gran Juego. Algunos lo llaman geoeconomía, pero también es geopolítica. La partida actual consiste en un número extraordinario de países que se han sentado a negociar de forma simultánea grandes acuerdos comerciales y de inversión. Una forma de verlo es como la Gran Red de Occidente, aunque una definición de Occidente que engloba Japón, Perú, Brunei y Vietnam es muy grande, sin duda. Otro posible nombre sería TMC: Todo el mundo menos China.</w:t>
      </w: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005BBA">
        <w:rPr>
          <w:rFonts w:ascii="Times New Roman" w:eastAsia="Times New Roman" w:hAnsi="Times New Roman" w:cs="Times New Roman"/>
          <w:sz w:val="24"/>
          <w:szCs w:val="24"/>
          <w:u w:val="single"/>
          <w:lang w:eastAsia="es-ES"/>
        </w:rPr>
        <w:t>La más importante de estas negociaciones comenzó la semana pasada, cuando una delegación de la Comisión Europea se sentó con sus homólogos de Estados Unidos en el Centro de Conferencias de la Casa Blanca en Washington DC.</w:t>
      </w:r>
      <w:r w:rsidRPr="00F772C4">
        <w:rPr>
          <w:rFonts w:ascii="Times New Roman" w:eastAsia="Times New Roman" w:hAnsi="Times New Roman" w:cs="Times New Roman"/>
          <w:sz w:val="24"/>
          <w:szCs w:val="24"/>
          <w:lang w:eastAsia="es-ES"/>
        </w:rPr>
        <w:t xml:space="preserve"> El acuerdo al que están tratando de llegar se llama por ahora TTIP, las siglas correspondientes al nombre en inglés de Partenariado Transatlántico para el Comercio y la Inversión. Unas siglas terribles, sin duda (¿alguien va a querer estar en el TTIP?) Lo primero que deberían hacer los negociadores es cambiar el nombre. Una alternativa mucho mejor es TAP, de Partenariado Trans-Atlántico.</w:t>
      </w: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F772C4">
        <w:rPr>
          <w:rFonts w:ascii="Times New Roman" w:eastAsia="Times New Roman" w:hAnsi="Times New Roman" w:cs="Times New Roman"/>
          <w:sz w:val="24"/>
          <w:szCs w:val="24"/>
          <w:lang w:eastAsia="es-ES"/>
        </w:rPr>
        <w:t xml:space="preserve">El TAP sería un buen complemento para el TPP, de Partenariado Trans-Pacífico, el otro gran espectáculo geoeconómico del momento. </w:t>
      </w:r>
      <w:r w:rsidRPr="00005BBA">
        <w:rPr>
          <w:rFonts w:ascii="Times New Roman" w:eastAsia="Times New Roman" w:hAnsi="Times New Roman" w:cs="Times New Roman"/>
          <w:sz w:val="24"/>
          <w:szCs w:val="24"/>
          <w:u w:val="single"/>
          <w:lang w:eastAsia="es-ES"/>
        </w:rPr>
        <w:t>Se calcula que el comercio y las inversiones de la zona atlántica ascienden a un total de 4,7 billones de dólares</w:t>
      </w:r>
      <w:r w:rsidRPr="00F772C4">
        <w:rPr>
          <w:rFonts w:ascii="Times New Roman" w:eastAsia="Times New Roman" w:hAnsi="Times New Roman" w:cs="Times New Roman"/>
          <w:sz w:val="24"/>
          <w:szCs w:val="24"/>
          <w:lang w:eastAsia="es-ES"/>
        </w:rPr>
        <w:t>. La región propuesta para el TPP, un grupo muy variado de países que está previsto que incluya a Estados Unidos, Canadá, México, Australia y Japón, además de esas grandes democracias de mercado que son Vietnam y Brunei, representa aproximadamente un tercio del comercio mundial. También están en marcha negociaciones entre la UE y Canadá y entre la UE y Japón, y, por otra parte, tanto Estados Unidos como la UE están tratando de intensificar sus relaciones comerciales e inversoras con países como India y Brasil.</w:t>
      </w: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F772C4">
        <w:rPr>
          <w:rFonts w:ascii="Times New Roman" w:eastAsia="Times New Roman" w:hAnsi="Times New Roman" w:cs="Times New Roman"/>
          <w:sz w:val="24"/>
          <w:szCs w:val="24"/>
          <w:lang w:eastAsia="es-ES"/>
        </w:rPr>
        <w:t>Con un espléndido e inagotable optimismo típicamente norteamericano, la Casa Blanca ha descrito su campaña para que Estad</w:t>
      </w:r>
      <w:r>
        <w:rPr>
          <w:rFonts w:ascii="Times New Roman" w:eastAsia="Times New Roman" w:hAnsi="Times New Roman" w:cs="Times New Roman"/>
          <w:sz w:val="24"/>
          <w:szCs w:val="24"/>
          <w:lang w:eastAsia="es-ES"/>
        </w:rPr>
        <w:t>os Unidos se incorpore al TTIP -</w:t>
      </w:r>
      <w:r w:rsidRPr="00F772C4">
        <w:rPr>
          <w:rFonts w:ascii="Times New Roman" w:eastAsia="Times New Roman" w:hAnsi="Times New Roman" w:cs="Times New Roman"/>
          <w:sz w:val="24"/>
          <w:szCs w:val="24"/>
          <w:lang w:eastAsia="es-ES"/>
        </w:rPr>
        <w:t>que, en serio, espero que pronto p</w:t>
      </w:r>
      <w:r>
        <w:rPr>
          <w:rFonts w:ascii="Times New Roman" w:eastAsia="Times New Roman" w:hAnsi="Times New Roman" w:cs="Times New Roman"/>
          <w:sz w:val="24"/>
          <w:szCs w:val="24"/>
          <w:lang w:eastAsia="es-ES"/>
        </w:rPr>
        <w:t>ase a llamarse TAP-</w:t>
      </w:r>
      <w:r w:rsidRPr="00F772C4">
        <w:rPr>
          <w:rFonts w:ascii="Times New Roman" w:eastAsia="Times New Roman" w:hAnsi="Times New Roman" w:cs="Times New Roman"/>
          <w:sz w:val="24"/>
          <w:szCs w:val="24"/>
          <w:lang w:eastAsia="es-ES"/>
        </w:rPr>
        <w:t xml:space="preserve"> como un trabajo para el que no necesitan más que “un depósito de gasolina”. Eso equivale, al parecer, al periodo que va hasta las elecciones legislativas de mitad de mandato en 2014.</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F772C4">
        <w:rPr>
          <w:rFonts w:ascii="Times New Roman" w:eastAsia="Times New Roman" w:hAnsi="Times New Roman" w:cs="Times New Roman"/>
          <w:sz w:val="24"/>
          <w:szCs w:val="24"/>
          <w:lang w:eastAsia="es-ES"/>
        </w:rPr>
        <w:t>La verdad es que en América tienen unos depósitos enormes, aunque también hay que decir que, igual que pasa con sus todoterrenos, al Congreso estadounidense le cunde muy poco el combustible. Del lado europeo, ese periodo nos llevaría hasta el final de la Comisión Europea y el Parlamento actuales. Casi todas las demás negociaciones, incluidas las relativas al TPP, y las conversaciones entre la UE y Canadá y la UE y Japón, también apuntan a 2014.</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E04EBB"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005BBA">
        <w:rPr>
          <w:rFonts w:ascii="Times New Roman" w:eastAsia="Times New Roman" w:hAnsi="Times New Roman" w:cs="Times New Roman"/>
          <w:sz w:val="24"/>
          <w:szCs w:val="24"/>
          <w:u w:val="single"/>
          <w:lang w:eastAsia="es-ES"/>
        </w:rPr>
        <w:t>Es muy posible que nunca se hagan realidad. La historia reciente de las negociaciones comerciales ha consistido en conversaciones estancadas o que, para seguir con la metáfora del Gobierno de Obama, se quedaban sin gasolina</w:t>
      </w:r>
      <w:r w:rsidRPr="00F772C4">
        <w:rPr>
          <w:rFonts w:ascii="Times New Roman" w:eastAsia="Times New Roman" w:hAnsi="Times New Roman" w:cs="Times New Roman"/>
          <w:sz w:val="24"/>
          <w:szCs w:val="24"/>
          <w:lang w:eastAsia="es-ES"/>
        </w:rPr>
        <w:t xml:space="preserve">. </w:t>
      </w:r>
      <w:r w:rsidRPr="00E04EBB">
        <w:rPr>
          <w:rFonts w:ascii="Times New Roman" w:eastAsia="Times New Roman" w:hAnsi="Times New Roman" w:cs="Times New Roman"/>
          <w:sz w:val="24"/>
          <w:szCs w:val="24"/>
          <w:u w:val="single"/>
          <w:lang w:eastAsia="es-ES"/>
        </w:rPr>
        <w:t xml:space="preserve">El hecho de que la mayoría de los países participantes sean democracias lo hace aún más difícil. Con el funcionamiento de las democracias actuales, su máxima especialidad es ir agregando las necesidades especiales de grupos de intereses, tanto los del dinero (empresas, grupos de presión sectoriales) como los que tienen importancia electoral, por ejemplo los agricultores. Y la propia UE es una suma de 28 sumas nacionales de ese tipo. No es casualidad que Bruselas rivalice con Washington en ser el nirvana de los </w:t>
      </w:r>
      <w:r w:rsidRPr="00E04EBB">
        <w:rPr>
          <w:rFonts w:ascii="Times New Roman" w:eastAsia="Times New Roman" w:hAnsi="Times New Roman" w:cs="Times New Roman"/>
          <w:i/>
          <w:iCs/>
          <w:sz w:val="24"/>
          <w:szCs w:val="24"/>
          <w:u w:val="single"/>
          <w:lang w:eastAsia="es-ES"/>
        </w:rPr>
        <w:t>lobbistas.</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E04EBB"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E04EBB">
        <w:rPr>
          <w:rFonts w:ascii="Times New Roman" w:eastAsia="Times New Roman" w:hAnsi="Times New Roman" w:cs="Times New Roman"/>
          <w:sz w:val="24"/>
          <w:szCs w:val="24"/>
          <w:u w:val="single"/>
          <w:lang w:eastAsia="es-ES"/>
        </w:rPr>
        <w:t>Pero imaginemos que, con unos políticos clarividentes debido a los años de recesión mundial y el ascenso de China, todo saliera bien. Sería un acontecimiento increíble en dos sentidos: un posible resultado tremendamente beneficioso para la economía mundial y un reto gigantesco para China. Para señalar el 100º aniversario de 1914, recuperaríamos algo similar al mundo del libre comercio que teníamos antes de esa fecha, pero a mayor escala, con menos colonialismo formal y con formas más complejas y profundas de interconexión.</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E04EBB">
        <w:rPr>
          <w:rFonts w:ascii="Times New Roman" w:eastAsia="Times New Roman" w:hAnsi="Times New Roman" w:cs="Times New Roman"/>
          <w:sz w:val="24"/>
          <w:szCs w:val="24"/>
          <w:u w:val="single"/>
          <w:lang w:eastAsia="es-ES"/>
        </w:rPr>
        <w:t>No todo el mundo saldría ganando, ni siquiera dentro de la Gran Red de Occidente, pero los posibles beneficios son inmensos</w:t>
      </w:r>
      <w:r w:rsidRPr="00F772C4">
        <w:rPr>
          <w:rFonts w:ascii="Times New Roman" w:eastAsia="Times New Roman" w:hAnsi="Times New Roman" w:cs="Times New Roman"/>
          <w:sz w:val="24"/>
          <w:szCs w:val="24"/>
          <w:lang w:eastAsia="es-ES"/>
        </w:rPr>
        <w:t xml:space="preserve">. Siempre conviene recibir las proyecciones de los economistas con cautela, pero, por tener una idea: </w:t>
      </w:r>
      <w:r w:rsidRPr="00E04EBB">
        <w:rPr>
          <w:rFonts w:ascii="Times New Roman" w:eastAsia="Times New Roman" w:hAnsi="Times New Roman" w:cs="Times New Roman"/>
          <w:sz w:val="24"/>
          <w:szCs w:val="24"/>
          <w:u w:val="single"/>
          <w:lang w:eastAsia="es-ES"/>
        </w:rPr>
        <w:t>según un estudio encargado por la</w:t>
      </w:r>
      <w:r>
        <w:rPr>
          <w:rFonts w:ascii="Times New Roman" w:eastAsia="Times New Roman" w:hAnsi="Times New Roman" w:cs="Times New Roman"/>
          <w:sz w:val="24"/>
          <w:szCs w:val="24"/>
          <w:u w:val="single"/>
          <w:lang w:eastAsia="es-ES"/>
        </w:rPr>
        <w:t xml:space="preserve"> fundación Bertelsmann, el TAP -o TTIP, si se empeñan-</w:t>
      </w:r>
      <w:r w:rsidRPr="00E04EBB">
        <w:rPr>
          <w:rFonts w:ascii="Times New Roman" w:eastAsia="Times New Roman" w:hAnsi="Times New Roman" w:cs="Times New Roman"/>
          <w:sz w:val="24"/>
          <w:szCs w:val="24"/>
          <w:u w:val="single"/>
          <w:lang w:eastAsia="es-ES"/>
        </w:rPr>
        <w:t xml:space="preserve"> podría significar a largo plazo un aumento de más del 13% en el PIB </w:t>
      </w:r>
      <w:r w:rsidRPr="00E04EBB">
        <w:rPr>
          <w:rFonts w:ascii="Times New Roman" w:eastAsia="Times New Roman" w:hAnsi="Times New Roman" w:cs="Times New Roman"/>
          <w:i/>
          <w:iCs/>
          <w:sz w:val="24"/>
          <w:szCs w:val="24"/>
          <w:u w:val="single"/>
          <w:lang w:eastAsia="es-ES"/>
        </w:rPr>
        <w:t xml:space="preserve">per </w:t>
      </w:r>
      <w:r w:rsidR="00A20232" w:rsidRPr="00E04EBB">
        <w:rPr>
          <w:rFonts w:ascii="Times New Roman" w:eastAsia="Times New Roman" w:hAnsi="Times New Roman" w:cs="Times New Roman"/>
          <w:i/>
          <w:iCs/>
          <w:sz w:val="24"/>
          <w:szCs w:val="24"/>
          <w:u w:val="single"/>
          <w:lang w:eastAsia="es-ES"/>
        </w:rPr>
        <w:t>cápita</w:t>
      </w:r>
      <w:r w:rsidRPr="00E04EBB">
        <w:rPr>
          <w:rFonts w:ascii="Times New Roman" w:eastAsia="Times New Roman" w:hAnsi="Times New Roman" w:cs="Times New Roman"/>
          <w:sz w:val="24"/>
          <w:szCs w:val="24"/>
          <w:u w:val="single"/>
          <w:lang w:eastAsia="es-ES"/>
        </w:rPr>
        <w:t xml:space="preserve"> para Estados Unidos y un aumento medio real del 5% en la renta </w:t>
      </w:r>
      <w:r w:rsidRPr="00E04EBB">
        <w:rPr>
          <w:rFonts w:ascii="Times New Roman" w:eastAsia="Times New Roman" w:hAnsi="Times New Roman" w:cs="Times New Roman"/>
          <w:i/>
          <w:iCs/>
          <w:sz w:val="24"/>
          <w:szCs w:val="24"/>
          <w:u w:val="single"/>
          <w:lang w:eastAsia="es-ES"/>
        </w:rPr>
        <w:t xml:space="preserve">per </w:t>
      </w:r>
      <w:r w:rsidR="00A20232" w:rsidRPr="00E04EBB">
        <w:rPr>
          <w:rFonts w:ascii="Times New Roman" w:eastAsia="Times New Roman" w:hAnsi="Times New Roman" w:cs="Times New Roman"/>
          <w:i/>
          <w:iCs/>
          <w:sz w:val="24"/>
          <w:szCs w:val="24"/>
          <w:u w:val="single"/>
          <w:lang w:eastAsia="es-ES"/>
        </w:rPr>
        <w:t>cápita</w:t>
      </w:r>
      <w:r w:rsidRPr="00E04EBB">
        <w:rPr>
          <w:rFonts w:ascii="Times New Roman" w:eastAsia="Times New Roman" w:hAnsi="Times New Roman" w:cs="Times New Roman"/>
          <w:sz w:val="24"/>
          <w:szCs w:val="24"/>
          <w:u w:val="single"/>
          <w:lang w:eastAsia="es-ES"/>
        </w:rPr>
        <w:t xml:space="preserve"> para la UE, incluido un mínimo del 10% </w:t>
      </w:r>
      <w:r w:rsidRPr="00E04EBB">
        <w:rPr>
          <w:rFonts w:ascii="Times New Roman" w:eastAsia="Times New Roman" w:hAnsi="Times New Roman" w:cs="Times New Roman"/>
          <w:i/>
          <w:iCs/>
          <w:sz w:val="24"/>
          <w:szCs w:val="24"/>
          <w:u w:val="single"/>
          <w:lang w:eastAsia="es-ES"/>
        </w:rPr>
        <w:t xml:space="preserve">per </w:t>
      </w:r>
      <w:r w:rsidR="00A20232" w:rsidRPr="00E04EBB">
        <w:rPr>
          <w:rFonts w:ascii="Times New Roman" w:eastAsia="Times New Roman" w:hAnsi="Times New Roman" w:cs="Times New Roman"/>
          <w:i/>
          <w:iCs/>
          <w:sz w:val="24"/>
          <w:szCs w:val="24"/>
          <w:u w:val="single"/>
          <w:lang w:eastAsia="es-ES"/>
        </w:rPr>
        <w:t>cápita</w:t>
      </w:r>
      <w:r w:rsidRPr="00E04EBB">
        <w:rPr>
          <w:rFonts w:ascii="Times New Roman" w:eastAsia="Times New Roman" w:hAnsi="Times New Roman" w:cs="Times New Roman"/>
          <w:sz w:val="24"/>
          <w:szCs w:val="24"/>
          <w:u w:val="single"/>
          <w:lang w:eastAsia="es-ES"/>
        </w:rPr>
        <w:t xml:space="preserve"> para Reino Unido.</w:t>
      </w:r>
      <w:r w:rsidRPr="00F772C4">
        <w:rPr>
          <w:rFonts w:ascii="Times New Roman" w:eastAsia="Times New Roman" w:hAnsi="Times New Roman" w:cs="Times New Roman"/>
          <w:sz w:val="24"/>
          <w:szCs w:val="24"/>
          <w:lang w:eastAsia="es-ES"/>
        </w:rPr>
        <w:t xml:space="preserve"> </w:t>
      </w:r>
      <w:r w:rsidRPr="00E04EBB">
        <w:rPr>
          <w:rFonts w:ascii="Times New Roman" w:eastAsia="Times New Roman" w:hAnsi="Times New Roman" w:cs="Times New Roman"/>
          <w:sz w:val="24"/>
          <w:szCs w:val="24"/>
          <w:u w:val="single"/>
          <w:lang w:eastAsia="es-ES"/>
        </w:rPr>
        <w:t>La Comisión Europea calcula que un acuerdo entre la UE y Japón podría generar 400.000 puestos de trabajo. Dado que la Unión Europea tiene casi seis millones de jóvenes en paro, no es ninguna tontería. Si se hace bien, la expansión del libre comercio y las libres inversiones será lo más parecido a una situación ventajosa para todos</w:t>
      </w:r>
      <w:r w:rsidRPr="00F772C4">
        <w:rPr>
          <w:rFonts w:ascii="Times New Roman" w:eastAsia="Times New Roman" w:hAnsi="Times New Roman" w:cs="Times New Roman"/>
          <w:sz w:val="24"/>
          <w:szCs w:val="24"/>
          <w:lang w:eastAsia="es-ES"/>
        </w:rPr>
        <w:t>. De modo que vayamos a por el TAP.</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F772C4">
        <w:rPr>
          <w:rFonts w:ascii="Times New Roman" w:eastAsia="Times New Roman" w:hAnsi="Times New Roman" w:cs="Times New Roman"/>
          <w:sz w:val="24"/>
          <w:szCs w:val="24"/>
          <w:lang w:eastAsia="es-ES"/>
        </w:rPr>
        <w:t xml:space="preserve">Ahora bien, no hay que olvidar que este es también un reto geopolítico para el Partido Comunista Chino. Porque, en la geopolítica del libre comercio, el doctor Pangloss de Voltaire coincide con Maquiavelo. Los estadounidenses lo saben (es una de las cosas que más les gusta a algunos del acuerdo. </w:t>
      </w:r>
      <w:r w:rsidRPr="00E04EBB">
        <w:rPr>
          <w:rFonts w:ascii="Times New Roman" w:eastAsia="Times New Roman" w:hAnsi="Times New Roman" w:cs="Times New Roman"/>
          <w:sz w:val="24"/>
          <w:szCs w:val="24"/>
          <w:u w:val="single"/>
          <w:lang w:eastAsia="es-ES"/>
        </w:rPr>
        <w:t>Irwin Stelzer escribe que el comercio “es política y guerra con otras armas”). Los europeos lo saben. Los japoneses lo saben</w:t>
      </w:r>
      <w:r w:rsidRPr="00F772C4">
        <w:rPr>
          <w:rFonts w:ascii="Times New Roman" w:eastAsia="Times New Roman" w:hAnsi="Times New Roman" w:cs="Times New Roman"/>
          <w:sz w:val="24"/>
          <w:szCs w:val="24"/>
          <w:lang w:eastAsia="es-ES"/>
        </w:rPr>
        <w:t xml:space="preserve"> (el primer </w:t>
      </w:r>
      <w:r w:rsidRPr="00F772C4">
        <w:rPr>
          <w:rFonts w:ascii="Times New Roman" w:eastAsia="Times New Roman" w:hAnsi="Times New Roman" w:cs="Times New Roman"/>
          <w:sz w:val="24"/>
          <w:szCs w:val="24"/>
          <w:lang w:eastAsia="es-ES"/>
        </w:rPr>
        <w:lastRenderedPageBreak/>
        <w:t>ministro, Shinzo Abe, dice que incorporarse al TTP contribuirá a la “seguridad” de Japón).</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E04EBB"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E04EBB">
        <w:rPr>
          <w:rFonts w:ascii="Times New Roman" w:eastAsia="Times New Roman" w:hAnsi="Times New Roman" w:cs="Times New Roman"/>
          <w:sz w:val="24"/>
          <w:szCs w:val="24"/>
          <w:u w:val="single"/>
          <w:lang w:eastAsia="es-ES"/>
        </w:rPr>
        <w:t>Y los chinos lo saben</w:t>
      </w:r>
      <w:r w:rsidRPr="00F772C4">
        <w:rPr>
          <w:rFonts w:ascii="Times New Roman" w:eastAsia="Times New Roman" w:hAnsi="Times New Roman" w:cs="Times New Roman"/>
          <w:sz w:val="24"/>
          <w:szCs w:val="24"/>
          <w:lang w:eastAsia="es-ES"/>
        </w:rPr>
        <w:t xml:space="preserve">. </w:t>
      </w:r>
      <w:r w:rsidRPr="00E04EBB">
        <w:rPr>
          <w:rFonts w:ascii="Times New Roman" w:eastAsia="Times New Roman" w:hAnsi="Times New Roman" w:cs="Times New Roman"/>
          <w:sz w:val="24"/>
          <w:szCs w:val="24"/>
          <w:u w:val="single"/>
          <w:lang w:eastAsia="es-ES"/>
        </w:rPr>
        <w:t xml:space="preserve">Un artículo escrito en el </w:t>
      </w:r>
      <w:r w:rsidRPr="00E04EBB">
        <w:rPr>
          <w:rFonts w:ascii="Times New Roman" w:eastAsia="Times New Roman" w:hAnsi="Times New Roman" w:cs="Times New Roman"/>
          <w:i/>
          <w:iCs/>
          <w:sz w:val="24"/>
          <w:szCs w:val="24"/>
          <w:u w:val="single"/>
          <w:lang w:eastAsia="es-ES"/>
        </w:rPr>
        <w:t>Washington Quarterly</w:t>
      </w:r>
      <w:r w:rsidRPr="00E04EBB">
        <w:rPr>
          <w:rFonts w:ascii="Times New Roman" w:eastAsia="Times New Roman" w:hAnsi="Times New Roman" w:cs="Times New Roman"/>
          <w:sz w:val="24"/>
          <w:szCs w:val="24"/>
          <w:u w:val="single"/>
          <w:lang w:eastAsia="es-ES"/>
        </w:rPr>
        <w:t xml:space="preserve"> por Guoyou Song, de la Universidad Fudan de Shanghái, y Wen Jin Yuan, de la Universidad de Maryland, dice que hay “una fuerte corriente en los círculos académicos y políticos chinos” que dice que el TTIP es un instrumento estadounidense para contener el ascenso de China</w:t>
      </w:r>
      <w:r w:rsidRPr="00F772C4">
        <w:rPr>
          <w:rFonts w:ascii="Times New Roman" w:eastAsia="Times New Roman" w:hAnsi="Times New Roman" w:cs="Times New Roman"/>
          <w:sz w:val="24"/>
          <w:szCs w:val="24"/>
          <w:lang w:eastAsia="es-ES"/>
        </w:rPr>
        <w:t xml:space="preserve">. </w:t>
      </w:r>
      <w:r w:rsidRPr="00E04EBB">
        <w:rPr>
          <w:rFonts w:ascii="Times New Roman" w:eastAsia="Times New Roman" w:hAnsi="Times New Roman" w:cs="Times New Roman"/>
          <w:sz w:val="24"/>
          <w:szCs w:val="24"/>
          <w:u w:val="single"/>
          <w:lang w:eastAsia="es-ES"/>
        </w:rPr>
        <w:t>Pero la conclusión de su serio análisis de los numerosos intereses y grupos de presión que influyen en la política china es interesante: “Merece la pena señalar que China no ha cerrado la puerta a la posibilidad de incorporarse también al TTP. Si el Gobierno chino piensa que las ventajas de adherirse son mayores que los costes, es muy posible que China lo solicite”.</w:t>
      </w:r>
    </w:p>
    <w:p w:rsidR="000369FD" w:rsidRPr="00E04EBB"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p>
    <w:p w:rsidR="000369FD" w:rsidRPr="00F772C4"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E04EBB">
        <w:rPr>
          <w:rFonts w:ascii="Times New Roman" w:eastAsia="Times New Roman" w:hAnsi="Times New Roman" w:cs="Times New Roman"/>
          <w:sz w:val="24"/>
          <w:szCs w:val="24"/>
          <w:u w:val="single"/>
          <w:lang w:eastAsia="es-ES"/>
        </w:rPr>
        <w:t>Aquí es donde el Pangloss económico y el Maquiavelo político po</w:t>
      </w:r>
      <w:r>
        <w:rPr>
          <w:rFonts w:ascii="Times New Roman" w:eastAsia="Times New Roman" w:hAnsi="Times New Roman" w:cs="Times New Roman"/>
          <w:sz w:val="24"/>
          <w:szCs w:val="24"/>
          <w:u w:val="single"/>
          <w:lang w:eastAsia="es-ES"/>
        </w:rPr>
        <w:t>drían combinarse de una manera -</w:t>
      </w:r>
      <w:r w:rsidRPr="00E04EBB">
        <w:rPr>
          <w:rFonts w:ascii="Times New Roman" w:eastAsia="Times New Roman" w:hAnsi="Times New Roman" w:cs="Times New Roman"/>
          <w:sz w:val="24"/>
          <w:szCs w:val="24"/>
          <w:u w:val="single"/>
          <w:lang w:eastAsia="es-ES"/>
        </w:rPr>
        <w:t>si los comunistas me perdo</w:t>
      </w:r>
      <w:r>
        <w:rPr>
          <w:rFonts w:ascii="Times New Roman" w:eastAsia="Times New Roman" w:hAnsi="Times New Roman" w:cs="Times New Roman"/>
          <w:sz w:val="24"/>
          <w:szCs w:val="24"/>
          <w:u w:val="single"/>
          <w:lang w:eastAsia="es-ES"/>
        </w:rPr>
        <w:t>nan una expresión tan anticuada-</w:t>
      </w:r>
      <w:r w:rsidRPr="00E04EBB">
        <w:rPr>
          <w:rFonts w:ascii="Times New Roman" w:eastAsia="Times New Roman" w:hAnsi="Times New Roman" w:cs="Times New Roman"/>
          <w:sz w:val="24"/>
          <w:szCs w:val="24"/>
          <w:u w:val="single"/>
          <w:lang w:eastAsia="es-ES"/>
        </w:rPr>
        <w:t xml:space="preserve"> dialéctica. La Gran Red de Occidente es un reto para China, pero también un incentivo. Si China decidiera unirse a una red de zonas de auténtico libre comercio e inversión, y respetar de verdad las reglas, y le dijéramos que no, estaríamos comportándonos de forma casi tan irresponsable como los líderes europeos en 1914. Nuestro objetivo supremo en este nuevo gran juego no puede ser la exclusión de China.</w:t>
      </w:r>
      <w:r w:rsidRPr="00F772C4">
        <w:rPr>
          <w:rFonts w:ascii="Times New Roman" w:eastAsia="Times New Roman" w:hAnsi="Times New Roman" w:cs="Times New Roman"/>
          <w:sz w:val="24"/>
          <w:szCs w:val="24"/>
          <w:lang w:eastAsia="es-ES"/>
        </w:rPr>
        <w:t xml:space="preserve"> </w:t>
      </w:r>
      <w:r w:rsidRPr="00E04EBB">
        <w:rPr>
          <w:rFonts w:ascii="Times New Roman" w:eastAsia="Times New Roman" w:hAnsi="Times New Roman" w:cs="Times New Roman"/>
          <w:sz w:val="24"/>
          <w:szCs w:val="24"/>
          <w:u w:val="single"/>
          <w:lang w:eastAsia="es-ES"/>
        </w:rPr>
        <w:t>Estas zonas de libre comercio deberían ser los ladrillos de un orden liberal internacional que incluyera a los chinos.</w:t>
      </w:r>
      <w:r w:rsidRPr="00F772C4">
        <w:rPr>
          <w:rFonts w:ascii="Times New Roman" w:eastAsia="Times New Roman" w:hAnsi="Times New Roman" w:cs="Times New Roman"/>
          <w:sz w:val="24"/>
          <w:szCs w:val="24"/>
          <w:lang w:eastAsia="es-ES"/>
        </w:rPr>
        <w:t xml:space="preserve"> Entonces, China tendría derecho a tratar de transformar ese orden, igual que las potencias occidentales, pero </w:t>
      </w:r>
      <w:r w:rsidRPr="00E04EBB">
        <w:rPr>
          <w:rFonts w:ascii="Times New Roman" w:eastAsia="Times New Roman" w:hAnsi="Times New Roman" w:cs="Times New Roman"/>
          <w:sz w:val="24"/>
          <w:szCs w:val="24"/>
          <w:u w:val="single"/>
          <w:lang w:eastAsia="es-ES"/>
        </w:rPr>
        <w:t>su participación también acabaría ayudando a convertirlo en un país más abierto, pluralista y respetuoso del Estado de derecho, tal como desean cada vez más de sus ciudadanos.</w:t>
      </w:r>
      <w:r w:rsidRPr="00F772C4">
        <w:rPr>
          <w:rFonts w:ascii="Times New Roman" w:eastAsia="Times New Roman" w:hAnsi="Times New Roman" w:cs="Times New Roman"/>
          <w:sz w:val="24"/>
          <w:szCs w:val="24"/>
          <w:lang w:eastAsia="es-ES"/>
        </w:rPr>
        <w:t xml:space="preserve"> Bienvenidos a la dialéctica del TAP y el TPP.</w:t>
      </w:r>
    </w:p>
    <w:p w:rsidR="000369FD" w:rsidRDefault="000369FD" w:rsidP="000369FD">
      <w:pPr>
        <w:shd w:val="clear" w:color="auto" w:fill="FFFFFF"/>
        <w:spacing w:line="240" w:lineRule="auto"/>
        <w:rPr>
          <w:rFonts w:ascii="Times New Roman" w:eastAsia="Times New Roman" w:hAnsi="Times New Roman" w:cs="Times New Roman"/>
          <w:b/>
          <w:bCs/>
          <w:sz w:val="24"/>
          <w:szCs w:val="24"/>
          <w:lang w:eastAsia="es-ES"/>
        </w:rPr>
      </w:pP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bCs/>
          <w:sz w:val="24"/>
          <w:szCs w:val="24"/>
          <w:lang w:eastAsia="es-ES"/>
        </w:rPr>
        <w:t>(</w:t>
      </w:r>
      <w:r w:rsidRPr="00F772C4">
        <w:rPr>
          <w:rFonts w:ascii="Times New Roman" w:eastAsia="Times New Roman" w:hAnsi="Times New Roman" w:cs="Times New Roman"/>
          <w:bCs/>
          <w:sz w:val="24"/>
          <w:szCs w:val="24"/>
          <w:lang w:eastAsia="es-ES"/>
        </w:rPr>
        <w:t>Timothy Garton Ash</w:t>
      </w:r>
      <w:r w:rsidRPr="00F772C4">
        <w:rPr>
          <w:rFonts w:ascii="Times New Roman" w:eastAsia="Times New Roman" w:hAnsi="Times New Roman" w:cs="Times New Roman"/>
          <w:sz w:val="24"/>
          <w:szCs w:val="24"/>
          <w:lang w:eastAsia="es-ES"/>
        </w:rPr>
        <w:t xml:space="preserve"> es catedrático de Estudios Europeos en la Universidad de Oxford, donde dirige www.freespeechdebate.com, e investigador titular de la Hoover Institution, Universidad de Stanford. Su último libro es </w:t>
      </w:r>
      <w:r w:rsidRPr="00F772C4">
        <w:rPr>
          <w:rFonts w:ascii="Times New Roman" w:eastAsia="Times New Roman" w:hAnsi="Times New Roman" w:cs="Times New Roman"/>
          <w:i/>
          <w:iCs/>
          <w:sz w:val="24"/>
          <w:szCs w:val="24"/>
          <w:lang w:eastAsia="es-ES"/>
        </w:rPr>
        <w:t xml:space="preserve">Los </w:t>
      </w:r>
      <w:r>
        <w:rPr>
          <w:rFonts w:ascii="Times New Roman" w:eastAsia="Times New Roman" w:hAnsi="Times New Roman" w:cs="Times New Roman"/>
          <w:i/>
          <w:iCs/>
          <w:sz w:val="24"/>
          <w:szCs w:val="24"/>
          <w:lang w:eastAsia="es-ES"/>
        </w:rPr>
        <w:t xml:space="preserve">hechos son subversivos: Ideas y </w:t>
      </w:r>
      <w:r w:rsidRPr="00F772C4">
        <w:rPr>
          <w:rFonts w:ascii="Times New Roman" w:eastAsia="Times New Roman" w:hAnsi="Times New Roman" w:cs="Times New Roman"/>
          <w:i/>
          <w:iCs/>
          <w:sz w:val="24"/>
          <w:szCs w:val="24"/>
          <w:lang w:eastAsia="es-ES"/>
        </w:rPr>
        <w:t>person</w:t>
      </w:r>
      <w:r>
        <w:rPr>
          <w:rFonts w:ascii="Times New Roman" w:eastAsia="Times New Roman" w:hAnsi="Times New Roman" w:cs="Times New Roman"/>
          <w:i/>
          <w:iCs/>
          <w:sz w:val="24"/>
          <w:szCs w:val="24"/>
          <w:lang w:eastAsia="es-ES"/>
        </w:rPr>
        <w:t>ajes para una década sin nombre</w:t>
      </w:r>
      <w:r>
        <w:rPr>
          <w:rFonts w:ascii="Times New Roman" w:eastAsia="Times New Roman" w:hAnsi="Times New Roman" w:cs="Times New Roman"/>
          <w:iCs/>
          <w:sz w:val="24"/>
          <w:szCs w:val="24"/>
          <w:lang w:eastAsia="es-ES"/>
        </w:rPr>
        <w:t>)</w:t>
      </w:r>
    </w:p>
    <w:p w:rsidR="000369FD" w:rsidRPr="00573DD0"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Pr>
          <w:rFonts w:ascii="Times New Roman" w:eastAsia="Times New Roman" w:hAnsi="Times New Roman" w:cs="Times New Roman"/>
          <w:iCs/>
          <w:sz w:val="24"/>
          <w:szCs w:val="24"/>
          <w:lang w:eastAsia="es-ES"/>
        </w:rPr>
        <w:t xml:space="preserve">- </w:t>
      </w:r>
      <w:r w:rsidRPr="00573DD0">
        <w:rPr>
          <w:rFonts w:ascii="Times New Roman" w:eastAsia="Times New Roman" w:hAnsi="Times New Roman" w:cs="Times New Roman"/>
          <w:iCs/>
          <w:sz w:val="24"/>
          <w:szCs w:val="24"/>
          <w:u w:val="single"/>
          <w:lang w:eastAsia="es-ES"/>
        </w:rPr>
        <w:t>La Comisión Europea pretende manipular la opinión de los ciudadanos sobre la negociación del Tratado Transatlántico de Inversión y Comercio TTIP/TAFTA</w:t>
      </w:r>
      <w:r>
        <w:rPr>
          <w:rFonts w:ascii="Times New Roman" w:eastAsia="Times New Roman" w:hAnsi="Times New Roman" w:cs="Times New Roman"/>
          <w:iCs/>
          <w:sz w:val="24"/>
          <w:szCs w:val="24"/>
          <w:lang w:eastAsia="es-ES"/>
        </w:rPr>
        <w:t xml:space="preserve"> </w:t>
      </w:r>
      <w:r w:rsidRPr="00573DD0">
        <w:rPr>
          <w:rFonts w:ascii="Times New Roman" w:eastAsia="Times New Roman" w:hAnsi="Times New Roman" w:cs="Times New Roman"/>
          <w:iCs/>
          <w:sz w:val="24"/>
          <w:szCs w:val="24"/>
          <w:u w:val="single"/>
          <w:lang w:eastAsia="es-ES"/>
        </w:rPr>
        <w:t>(</w:t>
      </w:r>
      <w:hyperlink r:id="rId19" w:history="1">
        <w:r w:rsidRPr="00573DD0">
          <w:rPr>
            <w:rStyle w:val="Hipervnculo"/>
            <w:rFonts w:ascii="Times New Roman" w:eastAsia="Times New Roman" w:hAnsi="Times New Roman" w:cs="Times New Roman"/>
            <w:iCs/>
            <w:color w:val="auto"/>
            <w:sz w:val="24"/>
            <w:szCs w:val="24"/>
            <w:lang w:eastAsia="es-ES"/>
          </w:rPr>
          <w:t>http://www.economiaciudadana.org/2013/12/</w:t>
        </w:r>
      </w:hyperlink>
      <w:r>
        <w:rPr>
          <w:rFonts w:ascii="Times New Roman" w:eastAsia="Times New Roman" w:hAnsi="Times New Roman" w:cs="Times New Roman"/>
          <w:iCs/>
          <w:sz w:val="24"/>
          <w:szCs w:val="24"/>
          <w:u w:val="single"/>
          <w:lang w:eastAsia="es-ES"/>
        </w:rPr>
        <w:t>...</w:t>
      </w:r>
      <w:r w:rsidRPr="00573DD0">
        <w:rPr>
          <w:rFonts w:ascii="Times New Roman" w:eastAsia="Times New Roman" w:hAnsi="Times New Roman" w:cs="Times New Roman"/>
          <w:iCs/>
          <w:sz w:val="24"/>
          <w:szCs w:val="24"/>
          <w:u w:val="single"/>
          <w:lang w:eastAsia="es-ES"/>
        </w:rPr>
        <w:t>)</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573DD0">
        <w:rPr>
          <w:rFonts w:ascii="Times New Roman" w:hAnsi="Times New Roman" w:cs="Times New Roman"/>
          <w:color w:val="333333"/>
          <w:sz w:val="24"/>
          <w:szCs w:val="24"/>
        </w:rPr>
        <w:t>Al contrario que en otros países las negociaciones sobre el Tratado Transatlántico de Inversión y Comercio TTIP/TAFTA entre la Unión Europea y Estados Unidos no está produciendo ni titulares, ni noticias en los medios de comunicación masivos, por lo que el título de este artículo sería aplicable a otros países donde existe una mayor consciencia de las consecuencias de la firma del Tratado Transatlántico de Inversión y Comercio TTIP/TAFTA</w:t>
      </w:r>
      <w:r>
        <w:rPr>
          <w:rFonts w:ascii="Times New Roman" w:hAnsi="Times New Roman" w:cs="Times New Roman"/>
          <w:color w:val="333333"/>
          <w:sz w:val="24"/>
          <w:szCs w:val="24"/>
        </w:rPr>
        <w:t>…</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573DD0">
        <w:rPr>
          <w:rFonts w:ascii="Times New Roman" w:hAnsi="Times New Roman" w:cs="Times New Roman"/>
          <w:color w:val="333333"/>
          <w:sz w:val="24"/>
          <w:szCs w:val="24"/>
        </w:rPr>
        <w:t xml:space="preserve">En este sentido, </w:t>
      </w:r>
      <w:r w:rsidRPr="00E04EBB">
        <w:rPr>
          <w:rFonts w:ascii="Times New Roman" w:hAnsi="Times New Roman" w:cs="Times New Roman"/>
          <w:color w:val="333333"/>
          <w:sz w:val="24"/>
          <w:szCs w:val="24"/>
          <w:u w:val="single"/>
        </w:rPr>
        <w:t>me veo en la obligación de advertir  a quienes quieran escuchar, que la firma del Tratado Transatlántico de Inversión y Comercio TTIP/TAFTA no afectará a un grupo concreto, sino que todos los ciudadanos europeos seremos víctimas de las consecuencias del Tratado, incluidos los españoles.</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 xml:space="preserve">Una vez realizada la advertencia, voy a entrar en el fondo del  asunto y tratar de mostrar como la Comisión Europea está realizando una campaña informativa tanto a nivel general de todos los países de la Unión Europea, como en los Estados individuales con el fin de ocultar los elementos negativos del Tratado Transatlántico de Inversión y Comercio </w:t>
      </w:r>
      <w:r w:rsidRPr="00E04EBB">
        <w:rPr>
          <w:rFonts w:ascii="Times New Roman" w:hAnsi="Times New Roman" w:cs="Times New Roman"/>
          <w:color w:val="333333"/>
          <w:sz w:val="24"/>
          <w:szCs w:val="24"/>
          <w:u w:val="single"/>
        </w:rPr>
        <w:lastRenderedPageBreak/>
        <w:t>TTIP/TAFTA y realzar lo positivo para conseguir crear un clima favorable de los ciudadanos europeos hacia la firma del Tratado Transatlántico de Inversión y Comercio TTIP/TAFTA.</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573DD0">
        <w:rPr>
          <w:rFonts w:ascii="Times New Roman" w:hAnsi="Times New Roman" w:cs="Times New Roman"/>
          <w:color w:val="333333"/>
          <w:sz w:val="24"/>
          <w:szCs w:val="24"/>
        </w:rPr>
        <w:t>Esta campaña de manipulación proactiva que implica a las instituciones de la Unión Europea, a los Estados miembros y que en</w:t>
      </w:r>
      <w:r>
        <w:rPr>
          <w:rFonts w:ascii="Times New Roman" w:hAnsi="Times New Roman" w:cs="Times New Roman"/>
          <w:color w:val="333333"/>
          <w:sz w:val="24"/>
          <w:szCs w:val="24"/>
        </w:rPr>
        <w:t xml:space="preserve"> sus propias palabras debe ser:</w:t>
      </w:r>
      <w:r w:rsidRPr="00573DD0">
        <w:rPr>
          <w:rFonts w:ascii="Times New Roman" w:hAnsi="Times New Roman" w:cs="Times New Roman"/>
          <w:color w:val="333333"/>
          <w:sz w:val="24"/>
          <w:szCs w:val="24"/>
        </w:rPr>
        <w:t xml:space="preserve"> </w:t>
      </w:r>
      <w:r>
        <w:rPr>
          <w:rFonts w:ascii="Times New Roman" w:hAnsi="Times New Roman" w:cs="Times New Roman"/>
          <w:color w:val="333333"/>
          <w:sz w:val="24"/>
          <w:szCs w:val="24"/>
        </w:rPr>
        <w:t>“</w:t>
      </w:r>
      <w:r w:rsidRPr="00573DD0">
        <w:rPr>
          <w:rFonts w:ascii="Times New Roman" w:hAnsi="Times New Roman" w:cs="Times New Roman"/>
          <w:color w:val="333333"/>
          <w:sz w:val="24"/>
          <w:szCs w:val="24"/>
        </w:rPr>
        <w:t xml:space="preserve">Comunicación política fuerte será esencial para el éxito del Tratado de Comercio e </w:t>
      </w:r>
      <w:r>
        <w:rPr>
          <w:rFonts w:ascii="Times New Roman" w:hAnsi="Times New Roman" w:cs="Times New Roman"/>
          <w:color w:val="333333"/>
          <w:sz w:val="24"/>
          <w:szCs w:val="24"/>
        </w:rPr>
        <w:t>Inversión Transatlántica (TTIP)</w:t>
      </w:r>
      <w:r w:rsidRPr="00573DD0">
        <w:rPr>
          <w:rFonts w:ascii="Times New Roman" w:hAnsi="Times New Roman" w:cs="Times New Roman"/>
          <w:color w:val="333333"/>
          <w:sz w:val="24"/>
          <w:szCs w:val="24"/>
        </w:rPr>
        <w:t>, tanto en términos de consecución de los objetivos de negociación de la UE y de asegurarse de que el acuerdo sea finalmente ratificado”</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Por suerte para los ciudadanos y por desgracia para la Comisión Europea, hace unas semanas se filtró un documento interno elaborado por el Área de cooperación entre los servicios de la Comisión y los Estados miembros con el fin de indicar de manera precisa la estrategia a usar en la defensa del Tratado Transatlántico de Inversión y Comercio TTIP/TAFTA. Dicho documento fue eliminado del medio que lo hizo público, pero Internet no sólo tiene ventajas para los servicios de información de los estados (me niego a usar el adjetivo “Inteligencia”), sino también para los usuarios y para su desgracia como dije antes aún existe copia de ese documento.</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573DD0">
        <w:rPr>
          <w:rFonts w:ascii="Times New Roman" w:hAnsi="Times New Roman" w:cs="Times New Roman"/>
          <w:color w:val="333333"/>
          <w:sz w:val="24"/>
          <w:szCs w:val="24"/>
        </w:rPr>
        <w:t>En este artículo se incluye una traducción al castellano.  Espero que la traducción aunque no sea  muy buena, permita conocer a los lectores de manera clara las intenciones de la Comisión Europea sobre el Tratado Transatlántico de Inversión y Comercio TTIP/TAFTA.</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Este documento mantiene la misma línea y recomienda una estrategia concreta de información a los ciudadanos</w:t>
      </w:r>
      <w:r>
        <w:rPr>
          <w:rFonts w:ascii="Times New Roman" w:hAnsi="Times New Roman" w:cs="Times New Roman"/>
          <w:color w:val="333333"/>
          <w:sz w:val="24"/>
          <w:szCs w:val="24"/>
          <w:u w:val="single"/>
        </w:rPr>
        <w:t>,</w:t>
      </w:r>
      <w:r w:rsidRPr="00E04EBB">
        <w:rPr>
          <w:rFonts w:ascii="Times New Roman" w:hAnsi="Times New Roman" w:cs="Times New Roman"/>
          <w:color w:val="333333"/>
          <w:sz w:val="24"/>
          <w:szCs w:val="24"/>
          <w:u w:val="single"/>
        </w:rPr>
        <w:t xml:space="preserve"> común por parte de las instituciones europeas y de los gobiernos nacionales.</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La estrategia busca tres objetivos, el primero crear una imagen positiva del tratado entre los ciudadanos al menos hasta que se firme.</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El segundo, tranquilizar a terceros países para que no crean que el Tratado va a suponer una amenaza a las relaciones comerciales bilaterales. En concreto, parecen especialmente preocupados por China.</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E04EBB">
        <w:rPr>
          <w:rFonts w:ascii="Times New Roman" w:hAnsi="Times New Roman" w:cs="Times New Roman"/>
          <w:color w:val="333333"/>
          <w:sz w:val="24"/>
          <w:szCs w:val="24"/>
          <w:u w:val="single"/>
        </w:rPr>
        <w:t>El tercero, no menos importante que los anteriores, supone convencer favorablemente a otros Agencias del gobierno norteamericano para que apoyen el Tratado.</w:t>
      </w:r>
      <w:r w:rsidRPr="00573DD0">
        <w:rPr>
          <w:rFonts w:ascii="Times New Roman" w:hAnsi="Times New Roman" w:cs="Times New Roman"/>
          <w:color w:val="333333"/>
          <w:sz w:val="24"/>
          <w:szCs w:val="24"/>
        </w:rPr>
        <w:t xml:space="preserve"> Esto que puede sonar extraño ya que se supone que la negociación es entre la Unión Europea y Estados Unidos y por lo tanto estamos hablando de un Acuerdo transnacional que debiera ser de obligado cumplimiento para ambas partes. </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573DD0">
        <w:rPr>
          <w:rFonts w:ascii="Times New Roman" w:hAnsi="Times New Roman" w:cs="Times New Roman"/>
          <w:color w:val="333333"/>
          <w:sz w:val="24"/>
          <w:szCs w:val="24"/>
        </w:rPr>
        <w:t xml:space="preserve">Esto no es así </w:t>
      </w:r>
      <w:r w:rsidRPr="00E04EBB">
        <w:rPr>
          <w:rFonts w:ascii="Times New Roman" w:hAnsi="Times New Roman" w:cs="Times New Roman"/>
          <w:color w:val="333333"/>
          <w:sz w:val="24"/>
          <w:szCs w:val="24"/>
          <w:u w:val="single"/>
        </w:rPr>
        <w:t>en el caso de los Estados Unidos</w:t>
      </w:r>
      <w:r w:rsidRPr="00573DD0">
        <w:rPr>
          <w:rFonts w:ascii="Times New Roman" w:hAnsi="Times New Roman" w:cs="Times New Roman"/>
          <w:color w:val="333333"/>
          <w:sz w:val="24"/>
          <w:szCs w:val="24"/>
        </w:rPr>
        <w:t xml:space="preserve">, ya que por su estructura </w:t>
      </w:r>
      <w:r w:rsidRPr="00E04EBB">
        <w:rPr>
          <w:rFonts w:ascii="Times New Roman" w:hAnsi="Times New Roman" w:cs="Times New Roman"/>
          <w:color w:val="333333"/>
          <w:sz w:val="24"/>
          <w:szCs w:val="24"/>
          <w:u w:val="single"/>
        </w:rPr>
        <w:t>existen  Departamentos que gestionan asuntos que se están negociando en el  Tratado Transatlántico de Inversión y Comercio TTIP/TAFTA que son independientes de las decisiones del negociador norteamericano</w:t>
      </w:r>
      <w:r w:rsidRPr="00573DD0">
        <w:rPr>
          <w:rFonts w:ascii="Times New Roman" w:hAnsi="Times New Roman" w:cs="Times New Roman"/>
          <w:color w:val="333333"/>
          <w:sz w:val="24"/>
          <w:szCs w:val="24"/>
        </w:rPr>
        <w:t xml:space="preserve">, que en este caso es </w:t>
      </w:r>
      <w:hyperlink r:id="rId20" w:history="1">
        <w:r w:rsidRPr="00E04EBB">
          <w:rPr>
            <w:rStyle w:val="Hipervnculo"/>
            <w:rFonts w:ascii="Times New Roman" w:hAnsi="Times New Roman" w:cs="Times New Roman"/>
            <w:color w:val="auto"/>
            <w:sz w:val="24"/>
            <w:szCs w:val="24"/>
          </w:rPr>
          <w:t>la Secretaría de Comercio de los Estados Unidos</w:t>
        </w:r>
      </w:hyperlink>
      <w:r w:rsidRPr="00E04EBB">
        <w:rPr>
          <w:rFonts w:ascii="Times New Roman" w:hAnsi="Times New Roman" w:cs="Times New Roman"/>
          <w:sz w:val="24"/>
          <w:szCs w:val="24"/>
        </w:rPr>
        <w:t>,</w:t>
      </w:r>
      <w:r w:rsidRPr="00573DD0">
        <w:rPr>
          <w:rFonts w:ascii="Times New Roman" w:hAnsi="Times New Roman" w:cs="Times New Roman"/>
          <w:color w:val="333333"/>
          <w:sz w:val="24"/>
          <w:szCs w:val="24"/>
        </w:rPr>
        <w:t xml:space="preserve"> USTR.</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Esta peculiaridad, podría crear situaciones absurdas tales como que la Unión Europea en su totalidad tendría que respetar los términos del Tratado, mientras que las áreas fuera de la influencia del Departamento de Comercio de Estados Unidos  podrían negarse a aceptar los términos del Tratado correspondientes a sus competencias.</w:t>
      </w:r>
    </w:p>
    <w:p w:rsidR="000369FD" w:rsidRPr="00573DD0" w:rsidRDefault="000369FD" w:rsidP="000369FD">
      <w:pPr>
        <w:shd w:val="clear" w:color="auto" w:fill="FFFFFF"/>
        <w:spacing w:line="240" w:lineRule="auto"/>
        <w:jc w:val="both"/>
        <w:rPr>
          <w:rFonts w:ascii="Times New Roman" w:hAnsi="Times New Roman" w:cs="Times New Roman"/>
          <w:color w:val="333333"/>
          <w:sz w:val="24"/>
          <w:szCs w:val="24"/>
        </w:rPr>
      </w:pPr>
      <w:r w:rsidRPr="00573DD0">
        <w:rPr>
          <w:rFonts w:ascii="Times New Roman" w:hAnsi="Times New Roman" w:cs="Times New Roman"/>
          <w:color w:val="333333"/>
          <w:sz w:val="24"/>
          <w:szCs w:val="24"/>
        </w:rPr>
        <w:lastRenderedPageBreak/>
        <w:t>Una vez definidas los tres grandes objetivos, el documento entra en las estrategias concretas sobre cómo tratar la información remarcando la necesidad de ser “transparentes” (luego explico las comillas), de divulgar información entre las partes interesadas y de tener una amplia presencia en las redes sociales.</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573DD0">
        <w:rPr>
          <w:rFonts w:ascii="Times New Roman" w:hAnsi="Times New Roman" w:cs="Times New Roman"/>
          <w:color w:val="333333"/>
          <w:sz w:val="24"/>
          <w:szCs w:val="24"/>
        </w:rPr>
        <w:t xml:space="preserve">El objetivo final, como ya he dicho antes es establecer una estrategia “activa” en vez de “reactiva”. Esto  significa que en vez de reaccionar antes las críticas e informaciones negativas de manera defensiva, </w:t>
      </w:r>
      <w:r w:rsidRPr="00E04EBB">
        <w:rPr>
          <w:rFonts w:ascii="Times New Roman" w:hAnsi="Times New Roman" w:cs="Times New Roman"/>
          <w:color w:val="333333"/>
          <w:sz w:val="24"/>
          <w:szCs w:val="24"/>
          <w:u w:val="single"/>
        </w:rPr>
        <w:t>la estrategia pretende tener respuestas rápidas e intentar adelantarse a los acontecimientos gracias al monitoreo constante del debate público.</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573DD0">
        <w:rPr>
          <w:rFonts w:ascii="Times New Roman" w:hAnsi="Times New Roman" w:cs="Times New Roman"/>
          <w:color w:val="333333"/>
          <w:sz w:val="24"/>
          <w:szCs w:val="24"/>
        </w:rPr>
        <w:t xml:space="preserve">En este sentido le dan una gran importancia a </w:t>
      </w:r>
      <w:hyperlink r:id="rId21" w:history="1">
        <w:r w:rsidRPr="00E04EBB">
          <w:rPr>
            <w:rStyle w:val="Hipervnculo"/>
            <w:rFonts w:ascii="Times New Roman" w:hAnsi="Times New Roman" w:cs="Times New Roman"/>
            <w:color w:val="auto"/>
            <w:sz w:val="24"/>
            <w:szCs w:val="24"/>
          </w:rPr>
          <w:t>Twitter</w:t>
        </w:r>
      </w:hyperlink>
      <w:r w:rsidRPr="00573DD0">
        <w:rPr>
          <w:rFonts w:ascii="Times New Roman" w:hAnsi="Times New Roman" w:cs="Times New Roman"/>
          <w:color w:val="333333"/>
          <w:sz w:val="24"/>
          <w:szCs w:val="24"/>
        </w:rPr>
        <w:t xml:space="preserve"> y por ello abrieron una cuenta el 13 de junio de 2013 con el fin de </w:t>
      </w:r>
      <w:r w:rsidRPr="00E04EBB">
        <w:rPr>
          <w:rFonts w:ascii="Times New Roman" w:hAnsi="Times New Roman" w:cs="Times New Roman"/>
          <w:color w:val="333333"/>
          <w:sz w:val="24"/>
          <w:szCs w:val="24"/>
          <w:u w:val="single"/>
        </w:rPr>
        <w:t>multiplicar el factor de difusión de las informaciones.</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573DD0">
        <w:rPr>
          <w:rFonts w:ascii="Times New Roman" w:hAnsi="Times New Roman" w:cs="Times New Roman"/>
          <w:color w:val="333333"/>
          <w:sz w:val="24"/>
          <w:szCs w:val="24"/>
        </w:rPr>
        <w:t xml:space="preserve">Otras dos tareas que propone el documento para conseguir una visión positiva del Tratado Transatlántico de Inversión y Comercio TTIP/TAFTA, es </w:t>
      </w:r>
      <w:r w:rsidRPr="00E04EBB">
        <w:rPr>
          <w:rFonts w:ascii="Times New Roman" w:hAnsi="Times New Roman" w:cs="Times New Roman"/>
          <w:color w:val="333333"/>
          <w:sz w:val="24"/>
          <w:szCs w:val="24"/>
          <w:u w:val="single"/>
        </w:rPr>
        <w:t>influir en los medios de prensa más representativos de los países miembros con el fin de que compartan una visión positiva del Tratado</w:t>
      </w:r>
      <w:r w:rsidRPr="00573DD0">
        <w:rPr>
          <w:rFonts w:ascii="Times New Roman" w:hAnsi="Times New Roman" w:cs="Times New Roman"/>
          <w:color w:val="333333"/>
          <w:sz w:val="24"/>
          <w:szCs w:val="24"/>
        </w:rPr>
        <w:t xml:space="preserve"> y como complemento a este apoyo de los medios de comunicación masivos, </w:t>
      </w:r>
      <w:r w:rsidRPr="00E04EBB">
        <w:rPr>
          <w:rFonts w:ascii="Times New Roman" w:hAnsi="Times New Roman" w:cs="Times New Roman"/>
          <w:color w:val="333333"/>
          <w:sz w:val="24"/>
          <w:szCs w:val="24"/>
          <w:u w:val="single"/>
        </w:rPr>
        <w:t>buscar personas de especial relevancia que apoyen públicamente las negociaciones.</w:t>
      </w:r>
    </w:p>
    <w:p w:rsidR="000369FD" w:rsidRPr="00E04EBB" w:rsidRDefault="000369FD" w:rsidP="000369FD">
      <w:pPr>
        <w:shd w:val="clear" w:color="auto" w:fill="FFFFFF"/>
        <w:spacing w:line="240" w:lineRule="auto"/>
        <w:jc w:val="both"/>
        <w:rPr>
          <w:rFonts w:ascii="Times New Roman" w:hAnsi="Times New Roman" w:cs="Times New Roman"/>
          <w:color w:val="333333"/>
          <w:sz w:val="24"/>
          <w:szCs w:val="24"/>
          <w:u w:val="single"/>
        </w:rPr>
      </w:pPr>
      <w:r w:rsidRPr="00E04EBB">
        <w:rPr>
          <w:rFonts w:ascii="Times New Roman" w:hAnsi="Times New Roman" w:cs="Times New Roman"/>
          <w:color w:val="333333"/>
          <w:sz w:val="24"/>
          <w:szCs w:val="24"/>
          <w:u w:val="single"/>
        </w:rPr>
        <w:t>Sobre la transparencia anotar que el documento deja claro que es necesario mantener “la necesaria confidencialidad”. Esto que puede ser lógico en una negociación, en realidad supone que los únicos que tienen información son las grandes corporaciones y las instituciones civiles cercanas a los partidos políticos y que la información pública al ciudadano sólo busca la ratificación del acuerdo, como ya escribí antes citando el documento, el único objetivos para la Comisión Europea es “</w:t>
      </w:r>
      <w:r w:rsidRPr="00E04EBB">
        <w:rPr>
          <w:rFonts w:ascii="Times New Roman" w:hAnsi="Times New Roman" w:cs="Times New Roman"/>
          <w:b/>
          <w:bCs/>
          <w:color w:val="333333"/>
          <w:sz w:val="24"/>
          <w:szCs w:val="24"/>
          <w:u w:val="single"/>
        </w:rPr>
        <w:t>asegurarse de que el acuerdo sea finalmente ratificado</w:t>
      </w:r>
      <w:r w:rsidRPr="00E04EBB">
        <w:rPr>
          <w:rFonts w:ascii="Times New Roman" w:hAnsi="Times New Roman" w:cs="Times New Roman"/>
          <w:color w:val="333333"/>
          <w:sz w:val="24"/>
          <w:szCs w:val="24"/>
          <w:u w:val="single"/>
        </w:rPr>
        <w:t>”.</w:t>
      </w:r>
    </w:p>
    <w:p w:rsidR="000369FD" w:rsidRPr="001B2772" w:rsidRDefault="000369FD" w:rsidP="000369FD">
      <w:pPr>
        <w:shd w:val="clear" w:color="auto" w:fill="FFFFFF"/>
        <w:spacing w:line="240" w:lineRule="auto"/>
        <w:jc w:val="both"/>
        <w:rPr>
          <w:rFonts w:ascii="Times New Roman" w:hAnsi="Times New Roman" w:cs="Times New Roman"/>
          <w:sz w:val="24"/>
          <w:szCs w:val="24"/>
        </w:rPr>
      </w:pPr>
      <w:r w:rsidRPr="001B2772">
        <w:rPr>
          <w:rFonts w:ascii="Times New Roman" w:hAnsi="Times New Roman" w:cs="Times New Roman"/>
          <w:sz w:val="24"/>
          <w:szCs w:val="24"/>
        </w:rPr>
        <w:t>Pondré un ejemplo producto de la estrategia del documento. El 2 de diciembre de 2013, el periodista de “The Guardian” George Monbiot, escribe un artículo  titulado “</w:t>
      </w:r>
      <w:hyperlink r:id="rId22" w:history="1">
        <w:r w:rsidRPr="001B2772">
          <w:rPr>
            <w:rStyle w:val="Hipervnculo"/>
            <w:rFonts w:ascii="Times New Roman" w:hAnsi="Times New Roman" w:cs="Times New Roman"/>
            <w:color w:val="auto"/>
            <w:sz w:val="24"/>
            <w:szCs w:val="24"/>
          </w:rPr>
          <w:t>Las mentiras que hay detrás del Acuerdo Transátlantico</w:t>
        </w:r>
      </w:hyperlink>
      <w:r w:rsidRPr="001B2772">
        <w:rPr>
          <w:rFonts w:ascii="Times New Roman" w:hAnsi="Times New Roman" w:cs="Times New Roman"/>
          <w:sz w:val="24"/>
          <w:szCs w:val="24"/>
        </w:rPr>
        <w:t>”. Este artículo se basa en parte un documento filtrado, que precisamente es el que he analizado ý traducido al castellano en este artículo.</w:t>
      </w:r>
    </w:p>
    <w:p w:rsidR="000369FD" w:rsidRPr="001B2772" w:rsidRDefault="000369FD" w:rsidP="000369FD">
      <w:pPr>
        <w:shd w:val="clear" w:color="auto" w:fill="FFFFFF"/>
        <w:spacing w:line="240" w:lineRule="auto"/>
        <w:jc w:val="both"/>
        <w:rPr>
          <w:rFonts w:ascii="Times New Roman" w:hAnsi="Times New Roman" w:cs="Times New Roman"/>
          <w:sz w:val="24"/>
          <w:szCs w:val="24"/>
        </w:rPr>
      </w:pPr>
      <w:r w:rsidRPr="001B2772">
        <w:rPr>
          <w:rFonts w:ascii="Times New Roman" w:hAnsi="Times New Roman" w:cs="Times New Roman"/>
          <w:sz w:val="24"/>
          <w:szCs w:val="24"/>
        </w:rPr>
        <w:t>Unos días después el 18 de diciembre, una política belga, Karel De Gucht miembro de la Comisión de Comercio de la Unión Europea, escribe un contra artículo en el mismo medio “The Guardian” titulado “</w:t>
      </w:r>
      <w:hyperlink r:id="rId23" w:history="1">
        <w:r w:rsidRPr="001B2772">
          <w:rPr>
            <w:rStyle w:val="Hipervnculo"/>
            <w:rFonts w:ascii="Times New Roman" w:hAnsi="Times New Roman" w:cs="Times New Roman"/>
            <w:color w:val="auto"/>
            <w:sz w:val="24"/>
            <w:szCs w:val="24"/>
          </w:rPr>
          <w:t>Te equivocas, George Monbiot - no hay nada secreto acerca de este acuerdo comercial de la UE</w:t>
        </w:r>
      </w:hyperlink>
      <w:r w:rsidRPr="001B2772">
        <w:rPr>
          <w:rFonts w:ascii="Times New Roman" w:hAnsi="Times New Roman" w:cs="Times New Roman"/>
          <w:sz w:val="24"/>
          <w:szCs w:val="24"/>
        </w:rPr>
        <w:t>”.</w:t>
      </w:r>
    </w:p>
    <w:p w:rsidR="000369FD" w:rsidRPr="001B2772" w:rsidRDefault="000369FD" w:rsidP="000369FD">
      <w:pPr>
        <w:shd w:val="clear" w:color="auto" w:fill="FFFFFF"/>
        <w:spacing w:line="240" w:lineRule="auto"/>
        <w:jc w:val="both"/>
        <w:rPr>
          <w:rFonts w:ascii="Times New Roman" w:hAnsi="Times New Roman" w:cs="Times New Roman"/>
          <w:sz w:val="24"/>
          <w:szCs w:val="24"/>
        </w:rPr>
      </w:pPr>
      <w:r w:rsidRPr="001B2772">
        <w:rPr>
          <w:rFonts w:ascii="Times New Roman" w:hAnsi="Times New Roman" w:cs="Times New Roman"/>
          <w:sz w:val="24"/>
          <w:szCs w:val="24"/>
        </w:rPr>
        <w:t>Como vemos, la Comisión Europea está llevando a pies juntillas la estrategia marcada por el documento, que por cierto, cuando publica la respuesta de Karel De Gucht, el enlace al documento nos dice que ya no existe. Y pienso, si no hay nada secreto ¿por qué se molestaron en eliminar el documento para que no se tuviera acceso a la estrategia de comunicación de la propia Comisión?...</w:t>
      </w:r>
    </w:p>
    <w:p w:rsidR="000369FD" w:rsidRPr="001B2772" w:rsidRDefault="000369FD" w:rsidP="000369FD">
      <w:pPr>
        <w:shd w:val="clear" w:color="auto" w:fill="FFFFFF"/>
        <w:spacing w:line="240" w:lineRule="auto"/>
        <w:jc w:val="both"/>
        <w:rPr>
          <w:rFonts w:ascii="Times New Roman" w:hAnsi="Times New Roman" w:cs="Times New Roman"/>
          <w:sz w:val="24"/>
          <w:szCs w:val="24"/>
          <w:u w:val="single"/>
          <w:lang w:val="en-US"/>
        </w:rPr>
      </w:pPr>
      <w:r>
        <w:rPr>
          <w:rFonts w:ascii="Times New Roman" w:hAnsi="Times New Roman" w:cs="Times New Roman"/>
          <w:sz w:val="24"/>
          <w:szCs w:val="24"/>
          <w:u w:val="single"/>
          <w:lang w:val="en-US"/>
        </w:rPr>
        <w:t>Document-EU-</w:t>
      </w:r>
      <w:r w:rsidR="00A20232">
        <w:rPr>
          <w:rFonts w:ascii="Times New Roman" w:hAnsi="Times New Roman" w:cs="Times New Roman"/>
          <w:sz w:val="24"/>
          <w:szCs w:val="24"/>
          <w:u w:val="single"/>
          <w:lang w:val="en-US"/>
        </w:rPr>
        <w:t xml:space="preserve">Commission </w:t>
      </w:r>
      <w:r w:rsidR="00A20232" w:rsidRPr="001B2772">
        <w:rPr>
          <w:rFonts w:ascii="Times New Roman" w:hAnsi="Times New Roman" w:cs="Times New Roman"/>
          <w:sz w:val="24"/>
          <w:szCs w:val="24"/>
          <w:u w:val="single"/>
          <w:lang w:val="en-US"/>
        </w:rPr>
        <w:t>(</w:t>
      </w:r>
      <w:r w:rsidRPr="001B2772">
        <w:rPr>
          <w:rFonts w:ascii="Times New Roman" w:hAnsi="Times New Roman" w:cs="Times New Roman"/>
          <w:sz w:val="24"/>
          <w:szCs w:val="24"/>
          <w:u w:val="single"/>
          <w:lang w:val="en-US"/>
        </w:rPr>
        <w:t xml:space="preserve">by </w:t>
      </w:r>
      <w:hyperlink r:id="rId24" w:tooltip="View Gregorio Abascal's profile on Scribd" w:history="1">
        <w:r w:rsidRPr="001B2772">
          <w:rPr>
            <w:rStyle w:val="Hipervnculo"/>
            <w:rFonts w:ascii="Times New Roman" w:hAnsi="Times New Roman" w:cs="Times New Roman"/>
            <w:color w:val="auto"/>
            <w:sz w:val="24"/>
            <w:szCs w:val="24"/>
            <w:lang w:val="en-US"/>
          </w:rPr>
          <w:t xml:space="preserve">Gregorio </w:t>
        </w:r>
        <w:proofErr w:type="spellStart"/>
        <w:r w:rsidRPr="001B2772">
          <w:rPr>
            <w:rStyle w:val="Hipervnculo"/>
            <w:rFonts w:ascii="Times New Roman" w:hAnsi="Times New Roman" w:cs="Times New Roman"/>
            <w:color w:val="auto"/>
            <w:sz w:val="24"/>
            <w:szCs w:val="24"/>
            <w:lang w:val="en-US"/>
          </w:rPr>
          <w:t>Abascal</w:t>
        </w:r>
        <w:proofErr w:type="spellEnd"/>
      </w:hyperlink>
      <w:r>
        <w:rPr>
          <w:rStyle w:val="Hipervnculo"/>
          <w:rFonts w:ascii="Times New Roman" w:hAnsi="Times New Roman" w:cs="Times New Roman"/>
          <w:color w:val="auto"/>
          <w:sz w:val="24"/>
          <w:szCs w:val="24"/>
          <w:lang w:val="en-US"/>
        </w:rPr>
        <w:t>)</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b/>
          <w:iCs/>
          <w:sz w:val="24"/>
          <w:szCs w:val="24"/>
          <w:lang w:eastAsia="es-ES"/>
        </w:rPr>
        <w:t>07 de noviembre 2013 Documento temático Comunicar en TTIP</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Áreas de cooperación entre los servicios de la Comisión y los Estados miembros El 22 de noviembre de 2013, de Bruselas, la Comisión está organizando una reunión informal con representantes de los Estados miembros para debatir cuestiones relacionadas con la comunicación de la Asociación de Come</w:t>
      </w:r>
      <w:r>
        <w:rPr>
          <w:rFonts w:ascii="Times New Roman" w:eastAsia="Times New Roman" w:hAnsi="Times New Roman" w:cs="Times New Roman"/>
          <w:iCs/>
          <w:sz w:val="24"/>
          <w:szCs w:val="24"/>
          <w:lang w:eastAsia="es-ES"/>
        </w:rPr>
        <w:t>rcio e Inversión Transatlántica</w:t>
      </w:r>
      <w:r w:rsidRPr="00D510CA">
        <w:rPr>
          <w:rFonts w:ascii="Times New Roman" w:eastAsia="Times New Roman" w:hAnsi="Times New Roman" w:cs="Times New Roman"/>
          <w:iCs/>
          <w:sz w:val="24"/>
          <w:szCs w:val="24"/>
          <w:lang w:eastAsia="es-ES"/>
        </w:rPr>
        <w:t xml:space="preserve">. La reunión tiene </w:t>
      </w:r>
      <w:r w:rsidRPr="00D510CA">
        <w:rPr>
          <w:rFonts w:ascii="Times New Roman" w:eastAsia="Times New Roman" w:hAnsi="Times New Roman" w:cs="Times New Roman"/>
          <w:iCs/>
          <w:sz w:val="24"/>
          <w:szCs w:val="24"/>
          <w:lang w:eastAsia="es-ES"/>
        </w:rPr>
        <w:lastRenderedPageBreak/>
        <w:t>por objeto explorar las posibilidades de una mayor cooperación y coordinación de las actividades de comunica</w:t>
      </w:r>
      <w:r>
        <w:rPr>
          <w:rFonts w:ascii="Times New Roman" w:eastAsia="Times New Roman" w:hAnsi="Times New Roman" w:cs="Times New Roman"/>
          <w:iCs/>
          <w:sz w:val="24"/>
          <w:szCs w:val="24"/>
          <w:lang w:eastAsia="es-ES"/>
        </w:rPr>
        <w:t>ción respectivas alrededor TTIP</w:t>
      </w:r>
      <w:r w:rsidRPr="00D510CA">
        <w:rPr>
          <w:rFonts w:ascii="Times New Roman" w:eastAsia="Times New Roman" w:hAnsi="Times New Roman" w:cs="Times New Roman"/>
          <w:iCs/>
          <w:sz w:val="24"/>
          <w:szCs w:val="24"/>
          <w:lang w:eastAsia="es-ES"/>
        </w:rPr>
        <w:t xml:space="preserve">. El presente documento proporciona antecedentes adicionales para esta discusión. En él se destacan una serie de temas clave que se debatirán en la reunión. </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 xml:space="preserve">I. Contexto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Comunicación política fuerte será esencial para el éxito del Tratado de Comerc</w:t>
      </w:r>
      <w:r>
        <w:rPr>
          <w:rFonts w:ascii="Times New Roman" w:eastAsia="Times New Roman" w:hAnsi="Times New Roman" w:cs="Times New Roman"/>
          <w:iCs/>
          <w:sz w:val="24"/>
          <w:szCs w:val="24"/>
          <w:lang w:eastAsia="es-ES"/>
        </w:rPr>
        <w:t>io e Inversión Transatlántica (TTIP)</w:t>
      </w:r>
      <w:r w:rsidRPr="00D510CA">
        <w:rPr>
          <w:rFonts w:ascii="Times New Roman" w:eastAsia="Times New Roman" w:hAnsi="Times New Roman" w:cs="Times New Roman"/>
          <w:iCs/>
          <w:sz w:val="24"/>
          <w:szCs w:val="24"/>
          <w:lang w:eastAsia="es-ES"/>
        </w:rPr>
        <w:t>, tanto en términos de consecución de los objetivos de negociación de la UE y de asegurarse de que el ac</w:t>
      </w:r>
      <w:r>
        <w:rPr>
          <w:rFonts w:ascii="Times New Roman" w:eastAsia="Times New Roman" w:hAnsi="Times New Roman" w:cs="Times New Roman"/>
          <w:iCs/>
          <w:sz w:val="24"/>
          <w:szCs w:val="24"/>
          <w:lang w:eastAsia="es-ES"/>
        </w:rPr>
        <w:t>uerdo sea finalmente ratificado</w:t>
      </w:r>
      <w:r w:rsidRPr="00D510CA">
        <w:rPr>
          <w:rFonts w:ascii="Times New Roman" w:eastAsia="Times New Roman" w:hAnsi="Times New Roman" w:cs="Times New Roman"/>
          <w:iCs/>
          <w:sz w:val="24"/>
          <w:szCs w:val="24"/>
          <w:lang w:eastAsia="es-ES"/>
        </w:rPr>
        <w:t>. Hasta el momento, las negociaciones han experimentado un nivel sin precedentes de</w:t>
      </w:r>
      <w:r>
        <w:rPr>
          <w:rFonts w:ascii="Times New Roman" w:eastAsia="Times New Roman" w:hAnsi="Times New Roman" w:cs="Times New Roman"/>
          <w:iCs/>
          <w:sz w:val="24"/>
          <w:szCs w:val="24"/>
          <w:lang w:eastAsia="es-ES"/>
        </w:rPr>
        <w:t xml:space="preserve"> público y de interés mediático</w:t>
      </w:r>
      <w:r w:rsidRPr="00D510CA">
        <w:rPr>
          <w:rFonts w:ascii="Times New Roman" w:eastAsia="Times New Roman" w:hAnsi="Times New Roman" w:cs="Times New Roman"/>
          <w:iCs/>
          <w:sz w:val="24"/>
          <w:szCs w:val="24"/>
          <w:lang w:eastAsia="es-ES"/>
        </w:rPr>
        <w:t xml:space="preserve">. Ninguna otra negociación ha sido objeto de un nivel similar de escrutinio público. Comunicar en TTIP y comprometerse con las partes interesadas es crucial al tomar las negociaciones. Hay tres retos </w:t>
      </w:r>
      <w:r>
        <w:rPr>
          <w:rFonts w:ascii="Times New Roman" w:eastAsia="Times New Roman" w:hAnsi="Times New Roman" w:cs="Times New Roman"/>
          <w:iCs/>
          <w:sz w:val="24"/>
          <w:szCs w:val="24"/>
          <w:lang w:eastAsia="es-ES"/>
        </w:rPr>
        <w:t xml:space="preserve">principales de comunicación: </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Pr>
          <w:rFonts w:ascii="Times New Roman" w:eastAsia="Times New Roman" w:hAnsi="Times New Roman" w:cs="Times New Roman"/>
          <w:iCs/>
          <w:sz w:val="24"/>
          <w:szCs w:val="24"/>
          <w:lang w:eastAsia="es-ES"/>
        </w:rPr>
        <w:t>1</w:t>
      </w:r>
      <w:r w:rsidRPr="00D510CA">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Asegurarse de que el público en general en cada uno de los Estados miembros de la UE tiene una idea general de lo TTIP es (es decir, una iniciativa que tiene como objetivo generar crecimiento y puestos de trabajo) y lo que no es (es decir, un esfuerzo para socavar la regulación y los niveles de protección existentes en áreas como la salud, la seguridad y el medio ambiente)</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 xml:space="preserve"> 2. </w:t>
      </w:r>
      <w:r w:rsidRPr="001B2772">
        <w:rPr>
          <w:rFonts w:ascii="Times New Roman" w:eastAsia="Times New Roman" w:hAnsi="Times New Roman" w:cs="Times New Roman"/>
          <w:iCs/>
          <w:sz w:val="24"/>
          <w:szCs w:val="24"/>
          <w:u w:val="single"/>
          <w:lang w:eastAsia="es-ES"/>
        </w:rPr>
        <w:t>La gestión de las relaciones con terceros países</w:t>
      </w:r>
      <w:r w:rsidRPr="00D510CA">
        <w:rPr>
          <w:rFonts w:ascii="Times New Roman" w:eastAsia="Times New Roman" w:hAnsi="Times New Roman" w:cs="Times New Roman"/>
          <w:iCs/>
          <w:sz w:val="24"/>
          <w:szCs w:val="24"/>
          <w:lang w:eastAsia="es-ES"/>
        </w:rPr>
        <w:t xml:space="preserve">, ya que el acuerdo afectará también a nuestros </w:t>
      </w:r>
      <w:r>
        <w:rPr>
          <w:rFonts w:ascii="Times New Roman" w:eastAsia="Times New Roman" w:hAnsi="Times New Roman" w:cs="Times New Roman"/>
          <w:iCs/>
          <w:sz w:val="24"/>
          <w:szCs w:val="24"/>
          <w:lang w:eastAsia="es-ES"/>
        </w:rPr>
        <w:t>otros socios comerciales</w:t>
      </w:r>
      <w:r w:rsidRPr="00D510CA">
        <w:rPr>
          <w:rFonts w:ascii="Times New Roman" w:eastAsia="Times New Roman" w:hAnsi="Times New Roman" w:cs="Times New Roman"/>
          <w:iCs/>
          <w:sz w:val="24"/>
          <w:szCs w:val="24"/>
          <w:lang w:eastAsia="es-ES"/>
        </w:rPr>
        <w:t>, en p</w:t>
      </w:r>
      <w:r>
        <w:rPr>
          <w:rFonts w:ascii="Times New Roman" w:eastAsia="Times New Roman" w:hAnsi="Times New Roman" w:cs="Times New Roman"/>
          <w:iCs/>
          <w:sz w:val="24"/>
          <w:szCs w:val="24"/>
          <w:lang w:eastAsia="es-ES"/>
        </w:rPr>
        <w:t>articular, a nivel multilateral</w:t>
      </w:r>
      <w:r w:rsidRPr="00D510CA">
        <w:rPr>
          <w:rFonts w:ascii="Times New Roman" w:eastAsia="Times New Roman" w:hAnsi="Times New Roman" w:cs="Times New Roman"/>
          <w:iCs/>
          <w:sz w:val="24"/>
          <w:szCs w:val="24"/>
          <w:lang w:eastAsia="es-ES"/>
        </w:rPr>
        <w:t>, nuestra zo</w:t>
      </w:r>
      <w:r>
        <w:rPr>
          <w:rFonts w:ascii="Times New Roman" w:eastAsia="Times New Roman" w:hAnsi="Times New Roman" w:cs="Times New Roman"/>
          <w:iCs/>
          <w:sz w:val="24"/>
          <w:szCs w:val="24"/>
          <w:lang w:eastAsia="es-ES"/>
        </w:rPr>
        <w:t>na y de los principales socios como China</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3. </w:t>
      </w:r>
      <w:r w:rsidRPr="001B2772">
        <w:rPr>
          <w:rFonts w:ascii="Times New Roman" w:eastAsia="Times New Roman" w:hAnsi="Times New Roman" w:cs="Times New Roman"/>
          <w:iCs/>
          <w:sz w:val="24"/>
          <w:szCs w:val="24"/>
          <w:u w:val="single"/>
          <w:lang w:eastAsia="es-ES"/>
        </w:rPr>
        <w:t>Apoyar a nuestros objetivos de nego</w:t>
      </w:r>
      <w:r>
        <w:rPr>
          <w:rFonts w:ascii="Times New Roman" w:eastAsia="Times New Roman" w:hAnsi="Times New Roman" w:cs="Times New Roman"/>
          <w:iCs/>
          <w:sz w:val="24"/>
          <w:szCs w:val="24"/>
          <w:u w:val="single"/>
          <w:lang w:eastAsia="es-ES"/>
        </w:rPr>
        <w:t>ciación vis-à</w:t>
      </w:r>
      <w:r w:rsidRPr="001B2772">
        <w:rPr>
          <w:rFonts w:ascii="Times New Roman" w:eastAsia="Times New Roman" w:hAnsi="Times New Roman" w:cs="Times New Roman"/>
          <w:iCs/>
          <w:sz w:val="24"/>
          <w:szCs w:val="24"/>
          <w:u w:val="single"/>
          <w:lang w:eastAsia="es-ES"/>
        </w:rPr>
        <w:t>-vis los negociadores de Estados Unidos, en particular en las zonas que no recae bajo la responsabilidad directa del USTR</w:t>
      </w:r>
      <w:r w:rsidRPr="00D510CA">
        <w:rPr>
          <w:rFonts w:ascii="Times New Roman" w:eastAsia="Times New Roman" w:hAnsi="Times New Roman" w:cs="Times New Roman"/>
          <w:iCs/>
          <w:sz w:val="24"/>
          <w:szCs w:val="24"/>
          <w:lang w:eastAsia="es-ES"/>
        </w:rPr>
        <w:t>. Esto puede ser el caso de las agencias reguladoras federales y las autoridades a nivel estatal en el que habrá una necesidad de la UE de ayudar a persuadir a los responsables de dec</w:t>
      </w:r>
      <w:r>
        <w:rPr>
          <w:rFonts w:ascii="Times New Roman" w:eastAsia="Times New Roman" w:hAnsi="Times New Roman" w:cs="Times New Roman"/>
          <w:iCs/>
          <w:sz w:val="24"/>
          <w:szCs w:val="24"/>
          <w:lang w:eastAsia="es-ES"/>
        </w:rPr>
        <w:t xml:space="preserve">isiones, para también participar.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1B2772">
        <w:rPr>
          <w:rFonts w:ascii="Times New Roman" w:eastAsia="Times New Roman" w:hAnsi="Times New Roman" w:cs="Times New Roman"/>
          <w:iCs/>
          <w:sz w:val="24"/>
          <w:szCs w:val="24"/>
          <w:u w:val="single"/>
          <w:lang w:eastAsia="es-ES"/>
        </w:rPr>
        <w:t>Con el fin de tener éxito en estas áreas, los servicios de la Comisión y los Estados miembros tendrán que trabajar en estrecha colaboración y de gestionar y coordinar nuestras estrategias de comunicación y de difusión colectiva</w:t>
      </w:r>
      <w:r w:rsidRPr="00D510CA">
        <w:rPr>
          <w:rFonts w:ascii="Times New Roman" w:eastAsia="Times New Roman" w:hAnsi="Times New Roman" w:cs="Times New Roman"/>
          <w:iCs/>
          <w:sz w:val="24"/>
          <w:szCs w:val="24"/>
          <w:lang w:eastAsia="es-ES"/>
        </w:rPr>
        <w:t>. La Comisión, por su parte, ha puesto en marcha una operación de comunicaciones TTIP dedicado, un en</w:t>
      </w:r>
      <w:r>
        <w:rPr>
          <w:rFonts w:ascii="Times New Roman" w:eastAsia="Times New Roman" w:hAnsi="Times New Roman" w:cs="Times New Roman"/>
          <w:iCs/>
          <w:sz w:val="24"/>
          <w:szCs w:val="24"/>
          <w:lang w:eastAsia="es-ES"/>
        </w:rPr>
        <w:t>foque que ya ha dado resultados</w:t>
      </w:r>
      <w:r w:rsidRPr="00D510CA">
        <w:rPr>
          <w:rFonts w:ascii="Times New Roman" w:eastAsia="Times New Roman" w:hAnsi="Times New Roman" w:cs="Times New Roman"/>
          <w:iCs/>
          <w:sz w:val="24"/>
          <w:szCs w:val="24"/>
          <w:lang w:eastAsia="es-ES"/>
        </w:rPr>
        <w:t>. Sin embargo, las negociaciones están apenas comenzando y considerables desafíos por delante. El esfuerzo de comunicación está dirigida por un Jefe de Comunicaciones de la Dirección General de Comercio con el apoyo de otros servicios de la Comisión , a saber, la Dirección General de Comunicación y el Servicio de Portavoces . Está coo</w:t>
      </w:r>
      <w:r>
        <w:rPr>
          <w:rFonts w:ascii="Times New Roman" w:eastAsia="Times New Roman" w:hAnsi="Times New Roman" w:cs="Times New Roman"/>
          <w:iCs/>
          <w:sz w:val="24"/>
          <w:szCs w:val="24"/>
          <w:lang w:eastAsia="es-ES"/>
        </w:rPr>
        <w:t>rdinado a través de la Comisión</w:t>
      </w:r>
      <w:r w:rsidRPr="00D510CA">
        <w:rPr>
          <w:rFonts w:ascii="Times New Roman" w:eastAsia="Times New Roman" w:hAnsi="Times New Roman" w:cs="Times New Roman"/>
          <w:iCs/>
          <w:sz w:val="24"/>
          <w:szCs w:val="24"/>
          <w:lang w:eastAsia="es-ES"/>
        </w:rPr>
        <w:t>, con representantes de la Comisión en los Estado</w:t>
      </w:r>
      <w:r>
        <w:rPr>
          <w:rFonts w:ascii="Times New Roman" w:eastAsia="Times New Roman" w:hAnsi="Times New Roman" w:cs="Times New Roman"/>
          <w:iCs/>
          <w:sz w:val="24"/>
          <w:szCs w:val="24"/>
          <w:lang w:eastAsia="es-ES"/>
        </w:rPr>
        <w:t>s miembros y, a través del SEAE, con delegaciones de la UE</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II. El enfoque actual </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sidRPr="00D510CA">
        <w:rPr>
          <w:rFonts w:ascii="Times New Roman" w:eastAsia="Times New Roman" w:hAnsi="Times New Roman" w:cs="Times New Roman"/>
          <w:iCs/>
          <w:sz w:val="24"/>
          <w:szCs w:val="24"/>
          <w:lang w:eastAsia="es-ES"/>
        </w:rPr>
        <w:t xml:space="preserve">El enfoque general </w:t>
      </w:r>
      <w:r>
        <w:rPr>
          <w:rFonts w:ascii="Times New Roman" w:eastAsia="Times New Roman" w:hAnsi="Times New Roman" w:cs="Times New Roman"/>
          <w:iCs/>
          <w:sz w:val="24"/>
          <w:szCs w:val="24"/>
          <w:lang w:eastAsia="es-ES"/>
        </w:rPr>
        <w:t>es holístico</w:t>
      </w:r>
      <w:r w:rsidRPr="00D510CA">
        <w:rPr>
          <w:rFonts w:ascii="Times New Roman" w:eastAsia="Times New Roman" w:hAnsi="Times New Roman" w:cs="Times New Roman"/>
          <w:iCs/>
          <w:sz w:val="24"/>
          <w:szCs w:val="24"/>
          <w:lang w:eastAsia="es-ES"/>
        </w:rPr>
        <w:t>, un</w:t>
      </w:r>
      <w:r>
        <w:rPr>
          <w:rFonts w:ascii="Times New Roman" w:eastAsia="Times New Roman" w:hAnsi="Times New Roman" w:cs="Times New Roman"/>
          <w:iCs/>
          <w:sz w:val="24"/>
          <w:szCs w:val="24"/>
          <w:lang w:eastAsia="es-ES"/>
        </w:rPr>
        <w:t>iendo relaciones con los medios</w:t>
      </w:r>
      <w:r w:rsidRPr="00D510CA">
        <w:rPr>
          <w:rFonts w:ascii="Times New Roman" w:eastAsia="Times New Roman" w:hAnsi="Times New Roman" w:cs="Times New Roman"/>
          <w:iCs/>
          <w:sz w:val="24"/>
          <w:szCs w:val="24"/>
          <w:lang w:eastAsia="es-ES"/>
        </w:rPr>
        <w:t>, actividades de divulgación y la ge</w:t>
      </w:r>
      <w:r>
        <w:rPr>
          <w:rFonts w:ascii="Times New Roman" w:eastAsia="Times New Roman" w:hAnsi="Times New Roman" w:cs="Times New Roman"/>
          <w:iCs/>
          <w:sz w:val="24"/>
          <w:szCs w:val="24"/>
          <w:lang w:eastAsia="es-ES"/>
        </w:rPr>
        <w:t>stión de las partes interesadas</w:t>
      </w:r>
      <w:r w:rsidRPr="00D510CA">
        <w:rPr>
          <w:rFonts w:ascii="Times New Roman" w:eastAsia="Times New Roman" w:hAnsi="Times New Roman" w:cs="Times New Roman"/>
          <w:iCs/>
          <w:sz w:val="24"/>
          <w:szCs w:val="24"/>
          <w:lang w:eastAsia="es-ES"/>
        </w:rPr>
        <w:t>, los medios sociales y la tr</w:t>
      </w:r>
      <w:r>
        <w:rPr>
          <w:rFonts w:ascii="Times New Roman" w:eastAsia="Times New Roman" w:hAnsi="Times New Roman" w:cs="Times New Roman"/>
          <w:iCs/>
          <w:sz w:val="24"/>
          <w:szCs w:val="24"/>
          <w:lang w:eastAsia="es-ES"/>
        </w:rPr>
        <w:t xml:space="preserve">ansparencia. </w:t>
      </w:r>
      <w:r w:rsidRPr="001B2772">
        <w:rPr>
          <w:rFonts w:ascii="Times New Roman" w:eastAsia="Times New Roman" w:hAnsi="Times New Roman" w:cs="Times New Roman"/>
          <w:iCs/>
          <w:sz w:val="24"/>
          <w:szCs w:val="24"/>
          <w:u w:val="single"/>
          <w:lang w:eastAsia="es-ES"/>
        </w:rPr>
        <w:t>El enfoque deberá localizar aún más nuestro esfuerzo de comunicación en los Estados miembros de una manera radicalmente diferente a lo que se ha hecho para las iniciativas comerciales del pasado, además de desplegar esfuerzos en Bruselas, en los EE</w:t>
      </w:r>
      <w:r>
        <w:rPr>
          <w:rFonts w:ascii="Times New Roman" w:eastAsia="Times New Roman" w:hAnsi="Times New Roman" w:cs="Times New Roman"/>
          <w:iCs/>
          <w:sz w:val="24"/>
          <w:szCs w:val="24"/>
          <w:u w:val="single"/>
          <w:lang w:eastAsia="es-ES"/>
        </w:rPr>
        <w:t>UU</w:t>
      </w:r>
      <w:r w:rsidRPr="001B2772">
        <w:rPr>
          <w:rFonts w:ascii="Times New Roman" w:eastAsia="Times New Roman" w:hAnsi="Times New Roman" w:cs="Times New Roman"/>
          <w:iCs/>
          <w:sz w:val="24"/>
          <w:szCs w:val="24"/>
          <w:u w:val="single"/>
          <w:lang w:eastAsia="es-ES"/>
        </w:rPr>
        <w:t xml:space="preserve"> y en todo el mundo, proporcionando clara, objetiva y argumentos convincentes sobre todos los aspectos de las negociaciones. </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sidRPr="001B2772">
        <w:rPr>
          <w:rFonts w:ascii="Times New Roman" w:eastAsia="Times New Roman" w:hAnsi="Times New Roman" w:cs="Times New Roman"/>
          <w:iCs/>
          <w:sz w:val="24"/>
          <w:szCs w:val="24"/>
          <w:u w:val="single"/>
          <w:lang w:eastAsia="es-ES"/>
        </w:rPr>
        <w:lastRenderedPageBreak/>
        <w:t>El objetivo es definir, en esta primera etapa de las negociaciones, los términos del debate mediante la comunicación positiva sobre lo que el TTIP se trata (es decir, los beneficios económicos y el liderazgo mundial en cuestiones de comercio), en lugar de ser arrastrados de forma reactiva en comunicación defensiva sobre lo TTIP no se trata (por ejemplo, no se trata de la negociación de la protección de datos, no se trata de reducir las normas reguladoras de la UE, etc.)</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sidRPr="001B2772">
        <w:rPr>
          <w:rFonts w:ascii="Times New Roman" w:eastAsia="Times New Roman" w:hAnsi="Times New Roman" w:cs="Times New Roman"/>
          <w:iCs/>
          <w:sz w:val="24"/>
          <w:szCs w:val="24"/>
          <w:u w:val="single"/>
          <w:lang w:eastAsia="es-ES"/>
        </w:rPr>
        <w:t>Para el enfoque tenga éxito, tiene que ser a la vez activa y reactiva rápidamente, con la participación de monitoreo del debate público, la producción de materiales de comunicación específicos y la implementación de ese material a través de todos los canales, incluidos los medios de comunicación en línea y sociales.</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Has</w:t>
      </w:r>
      <w:r>
        <w:rPr>
          <w:rFonts w:ascii="Times New Roman" w:eastAsia="Times New Roman" w:hAnsi="Times New Roman" w:cs="Times New Roman"/>
          <w:iCs/>
          <w:sz w:val="24"/>
          <w:szCs w:val="24"/>
          <w:lang w:eastAsia="es-ES"/>
        </w:rPr>
        <w:t>ta ahora, esto nos ha permitido</w:t>
      </w:r>
      <w:r w:rsidRPr="00D510CA">
        <w:rPr>
          <w:rFonts w:ascii="Times New Roman" w:eastAsia="Times New Roman" w:hAnsi="Times New Roman" w:cs="Times New Roman"/>
          <w:iCs/>
          <w:sz w:val="24"/>
          <w:szCs w:val="24"/>
          <w:lang w:eastAsia="es-ES"/>
        </w:rPr>
        <w:t xml:space="preserve">: </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Producir y difundir materiales de comunicación sobre la narrativa de las negociaciones en su conjunto, así como el material más centrado en temas específicos</w:t>
      </w:r>
      <w:r w:rsidRPr="00D510CA">
        <w:rPr>
          <w:rFonts w:ascii="Times New Roman" w:eastAsia="Times New Roman" w:hAnsi="Times New Roman" w:cs="Times New Roman"/>
          <w:iCs/>
          <w:sz w:val="24"/>
          <w:szCs w:val="24"/>
          <w:lang w:eastAsia="es-ES"/>
        </w:rPr>
        <w:t xml:space="preserve">: por </w:t>
      </w:r>
      <w:r>
        <w:rPr>
          <w:rFonts w:ascii="Times New Roman" w:eastAsia="Times New Roman" w:hAnsi="Times New Roman" w:cs="Times New Roman"/>
          <w:iCs/>
          <w:sz w:val="24"/>
          <w:szCs w:val="24"/>
          <w:lang w:eastAsia="es-ES"/>
        </w:rPr>
        <w:t>ejemplo, el impacto estratégico</w:t>
      </w:r>
      <w:r w:rsidRPr="00D510CA">
        <w:rPr>
          <w:rFonts w:ascii="Times New Roman" w:eastAsia="Times New Roman" w:hAnsi="Times New Roman" w:cs="Times New Roman"/>
          <w:iCs/>
          <w:sz w:val="24"/>
          <w:szCs w:val="24"/>
          <w:lang w:eastAsia="es-ES"/>
        </w:rPr>
        <w:t>, tercer país, el elemento de la coope</w:t>
      </w:r>
      <w:r>
        <w:rPr>
          <w:rFonts w:ascii="Times New Roman" w:eastAsia="Times New Roman" w:hAnsi="Times New Roman" w:cs="Times New Roman"/>
          <w:iCs/>
          <w:sz w:val="24"/>
          <w:szCs w:val="24"/>
          <w:lang w:eastAsia="es-ES"/>
        </w:rPr>
        <w:t>ración / convergencia normativa</w:t>
      </w:r>
      <w:r w:rsidRPr="00D510CA">
        <w:rPr>
          <w:rFonts w:ascii="Times New Roman" w:eastAsia="Times New Roman" w:hAnsi="Times New Roman" w:cs="Times New Roman"/>
          <w:iCs/>
          <w:sz w:val="24"/>
          <w:szCs w:val="24"/>
          <w:lang w:eastAsia="es-ES"/>
        </w:rPr>
        <w:t>, una defensa detallada del análisis económico det</w:t>
      </w:r>
      <w:r>
        <w:rPr>
          <w:rFonts w:ascii="Times New Roman" w:eastAsia="Times New Roman" w:hAnsi="Times New Roman" w:cs="Times New Roman"/>
          <w:iCs/>
          <w:sz w:val="24"/>
          <w:szCs w:val="24"/>
          <w:lang w:eastAsia="es-ES"/>
        </w:rPr>
        <w:t xml:space="preserve">rás del TTIP y un </w:t>
      </w:r>
      <w:r w:rsidRPr="00D510CA">
        <w:rPr>
          <w:rFonts w:ascii="Times New Roman" w:eastAsia="Times New Roman" w:hAnsi="Times New Roman" w:cs="Times New Roman"/>
          <w:iCs/>
          <w:sz w:val="24"/>
          <w:szCs w:val="24"/>
          <w:lang w:eastAsia="es-ES"/>
        </w:rPr>
        <w:t>documento de refutación detallada sobr</w:t>
      </w:r>
      <w:r>
        <w:rPr>
          <w:rFonts w:ascii="Times New Roman" w:eastAsia="Times New Roman" w:hAnsi="Times New Roman" w:cs="Times New Roman"/>
          <w:iCs/>
          <w:sz w:val="24"/>
          <w:szCs w:val="24"/>
          <w:lang w:eastAsia="es-ES"/>
        </w:rPr>
        <w:t>e por qué el acuerdo no es ACTA</w:t>
      </w:r>
      <w:r w:rsidRPr="00D510CA">
        <w:rPr>
          <w:rFonts w:ascii="Times New Roman" w:eastAsia="Times New Roman" w:hAnsi="Times New Roman" w:cs="Times New Roman"/>
          <w:iCs/>
          <w:sz w:val="24"/>
          <w:szCs w:val="24"/>
          <w:lang w:eastAsia="es-ES"/>
        </w:rPr>
        <w:t>. Dejar en claro que la transparencia será una parte clave de la estrategia de la UE para las negociaciones mediante la publicación de documentos iniciales de posición de la UE sobre los aspectos clave de la negociación, la celebración de reuniones de participación de las partes interesadas temprano, comprometiéndose a más cerca que la consulta habitu</w:t>
      </w:r>
      <w:r>
        <w:rPr>
          <w:rFonts w:ascii="Times New Roman" w:eastAsia="Times New Roman" w:hAnsi="Times New Roman" w:cs="Times New Roman"/>
          <w:iCs/>
          <w:sz w:val="24"/>
          <w:szCs w:val="24"/>
          <w:lang w:eastAsia="es-ES"/>
        </w:rPr>
        <w:t xml:space="preserve">al con el Parlamento Europeo, </w:t>
      </w:r>
      <w:r w:rsidRPr="00D510CA">
        <w:rPr>
          <w:rFonts w:ascii="Times New Roman" w:eastAsia="Times New Roman" w:hAnsi="Times New Roman" w:cs="Times New Roman"/>
          <w:iCs/>
          <w:sz w:val="24"/>
          <w:szCs w:val="24"/>
          <w:lang w:eastAsia="es-ES"/>
        </w:rPr>
        <w:t>la comunicación directa con los miembros del público a través de una cuenta dedicada TTIP Twitter con un considerable efecto multiplicador de mensajes</w:t>
      </w:r>
      <w:r>
        <w:rPr>
          <w:rFonts w:ascii="Times New Roman" w:eastAsia="Times New Roman" w:hAnsi="Times New Roman" w:cs="Times New Roman"/>
          <w:iCs/>
          <w:sz w:val="24"/>
          <w:szCs w:val="24"/>
          <w:lang w:eastAsia="es-ES"/>
        </w:rPr>
        <w:t>.</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sidRPr="00D510CA">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 xml:space="preserve">mantener una manija en la corriente principal de la narrativa multimedia en las negociaciones, donde existe un amplio apoyo a la lógica y la sustancia del acuerdo destinado. </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lograr la tracción en los medios de comunicación nacionales, al menos en algunos Estados miembros,</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llegar a influyentes terceros para asegurar su apoyo público a las negociaciones.</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Con el fondo de las n</w:t>
      </w:r>
      <w:r>
        <w:rPr>
          <w:rFonts w:ascii="Times New Roman" w:eastAsia="Times New Roman" w:hAnsi="Times New Roman" w:cs="Times New Roman"/>
          <w:iCs/>
          <w:sz w:val="24"/>
          <w:szCs w:val="24"/>
          <w:lang w:eastAsia="es-ES"/>
        </w:rPr>
        <w:t>egociaciones TTIP aún por venir</w:t>
      </w:r>
      <w:r w:rsidRPr="00D510CA">
        <w:rPr>
          <w:rFonts w:ascii="Times New Roman" w:eastAsia="Times New Roman" w:hAnsi="Times New Roman" w:cs="Times New Roman"/>
          <w:iCs/>
          <w:sz w:val="24"/>
          <w:szCs w:val="24"/>
          <w:lang w:eastAsia="es-ES"/>
        </w:rPr>
        <w:t xml:space="preserve">, y un intenso debate ratificación de seguir, </w:t>
      </w:r>
      <w:r>
        <w:rPr>
          <w:rFonts w:ascii="Times New Roman" w:eastAsia="Times New Roman" w:hAnsi="Times New Roman" w:cs="Times New Roman"/>
          <w:iCs/>
          <w:sz w:val="24"/>
          <w:szCs w:val="24"/>
          <w:lang w:eastAsia="es-ES"/>
        </w:rPr>
        <w:t>hay mucho más trabajo por hacer</w:t>
      </w:r>
      <w:r w:rsidRPr="00D510CA">
        <w:rPr>
          <w:rFonts w:ascii="Times New Roman" w:eastAsia="Times New Roman" w:hAnsi="Times New Roman" w:cs="Times New Roman"/>
          <w:iCs/>
          <w:sz w:val="24"/>
          <w:szCs w:val="24"/>
          <w:lang w:eastAsia="es-ES"/>
        </w:rPr>
        <w:t>, pero los sistemas y enfoques que ahora hemos puesto en marcha proporciona</w:t>
      </w:r>
      <w:r>
        <w:rPr>
          <w:rFonts w:ascii="Times New Roman" w:eastAsia="Times New Roman" w:hAnsi="Times New Roman" w:cs="Times New Roman"/>
          <w:iCs/>
          <w:sz w:val="24"/>
          <w:szCs w:val="24"/>
          <w:lang w:eastAsia="es-ES"/>
        </w:rPr>
        <w:t>n</w:t>
      </w:r>
      <w:r w:rsidRPr="00D510CA">
        <w:rPr>
          <w:rFonts w:ascii="Times New Roman" w:eastAsia="Times New Roman" w:hAnsi="Times New Roman" w:cs="Times New Roman"/>
          <w:iCs/>
          <w:sz w:val="24"/>
          <w:szCs w:val="24"/>
          <w:lang w:eastAsia="es-ES"/>
        </w:rPr>
        <w:t xml:space="preserve"> una base firme para la acción futura. Esto necesita el apoyo y la coordinación con los Estados miembros.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III. Las cuestiones clave a tener en</w:t>
      </w:r>
      <w:r>
        <w:rPr>
          <w:rFonts w:ascii="Times New Roman" w:eastAsia="Times New Roman" w:hAnsi="Times New Roman" w:cs="Times New Roman"/>
          <w:iCs/>
          <w:sz w:val="24"/>
          <w:szCs w:val="24"/>
          <w:lang w:eastAsia="es-ES"/>
        </w:rPr>
        <w:t xml:space="preserve"> cuenta</w:t>
      </w:r>
      <w:r w:rsidRPr="00D510CA">
        <w:rPr>
          <w:rFonts w:ascii="Times New Roman" w:eastAsia="Times New Roman" w:hAnsi="Times New Roman" w:cs="Times New Roman"/>
          <w:iCs/>
          <w:sz w:val="24"/>
          <w:szCs w:val="24"/>
          <w:lang w:eastAsia="es-ES"/>
        </w:rPr>
        <w:t xml:space="preserve"> </w:t>
      </w:r>
    </w:p>
    <w:p w:rsidR="000369FD" w:rsidRPr="00D510CA"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1. </w:t>
      </w:r>
      <w:r w:rsidRPr="001B2772">
        <w:rPr>
          <w:rFonts w:ascii="Times New Roman" w:eastAsia="Times New Roman" w:hAnsi="Times New Roman" w:cs="Times New Roman"/>
          <w:iCs/>
          <w:sz w:val="24"/>
          <w:szCs w:val="24"/>
          <w:u w:val="single"/>
          <w:lang w:eastAsia="es-ES"/>
        </w:rPr>
        <w:t>La ansiedad en torno a la posible incidencia sobre el modelo social europeo y el enfoque de la regulación: Necesitamos una comunicación proactiva, temprana y generalizada en la realidad de lo que está en discusión en las zonas sensibles y en una fuerte trayectoria de la UE en las negociaciones internacionales.</w:t>
      </w:r>
      <w:r w:rsidRPr="00D510CA">
        <w:rPr>
          <w:rFonts w:ascii="Times New Roman" w:eastAsia="Times New Roman" w:hAnsi="Times New Roman" w:cs="Times New Roman"/>
          <w:iCs/>
          <w:sz w:val="24"/>
          <w:szCs w:val="24"/>
          <w:lang w:eastAsia="es-ES"/>
        </w:rPr>
        <w:t xml:space="preserve"> Sin dejar de respetar la confidencialidad necesaria para l</w:t>
      </w:r>
      <w:r>
        <w:rPr>
          <w:rFonts w:ascii="Times New Roman" w:eastAsia="Times New Roman" w:hAnsi="Times New Roman" w:cs="Times New Roman"/>
          <w:iCs/>
          <w:sz w:val="24"/>
          <w:szCs w:val="24"/>
          <w:lang w:eastAsia="es-ES"/>
        </w:rPr>
        <w:t xml:space="preserve">as negociaciones tengan éxito, </w:t>
      </w:r>
      <w:r w:rsidRPr="00D510CA">
        <w:rPr>
          <w:rFonts w:ascii="Times New Roman" w:eastAsia="Times New Roman" w:hAnsi="Times New Roman" w:cs="Times New Roman"/>
          <w:iCs/>
          <w:sz w:val="24"/>
          <w:szCs w:val="24"/>
          <w:lang w:eastAsia="es-ES"/>
        </w:rPr>
        <w:t>el proceso también debe ser lo suficientemente transparente para reducir los temores y evitar una proliferación de dudas antes de qu</w:t>
      </w:r>
      <w:r>
        <w:rPr>
          <w:rFonts w:ascii="Times New Roman" w:eastAsia="Times New Roman" w:hAnsi="Times New Roman" w:cs="Times New Roman"/>
          <w:iCs/>
          <w:sz w:val="24"/>
          <w:szCs w:val="24"/>
          <w:lang w:eastAsia="es-ES"/>
        </w:rPr>
        <w:t>e el acuerdo está aún concluido</w:t>
      </w:r>
      <w:r w:rsidRPr="00D510CA">
        <w:rPr>
          <w:rFonts w:ascii="Times New Roman" w:eastAsia="Times New Roman" w:hAnsi="Times New Roman" w:cs="Times New Roman"/>
          <w:iCs/>
          <w:sz w:val="24"/>
          <w:szCs w:val="24"/>
          <w:lang w:eastAsia="es-ES"/>
        </w:rPr>
        <w:t>. Esta mensajería debe ir acompañada por una comunicación clara so</w:t>
      </w:r>
      <w:r>
        <w:rPr>
          <w:rFonts w:ascii="Times New Roman" w:eastAsia="Times New Roman" w:hAnsi="Times New Roman" w:cs="Times New Roman"/>
          <w:iCs/>
          <w:sz w:val="24"/>
          <w:szCs w:val="24"/>
          <w:lang w:eastAsia="es-ES"/>
        </w:rPr>
        <w:t xml:space="preserve">bre los beneficios de la TTIP. </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2. </w:t>
      </w:r>
      <w:r w:rsidRPr="001B2772">
        <w:rPr>
          <w:rFonts w:ascii="Times New Roman" w:eastAsia="Times New Roman" w:hAnsi="Times New Roman" w:cs="Times New Roman"/>
          <w:iCs/>
          <w:sz w:val="24"/>
          <w:szCs w:val="24"/>
          <w:u w:val="single"/>
          <w:lang w:eastAsia="es-ES"/>
        </w:rPr>
        <w:t xml:space="preserve">Problemas derivados de las características institucionales de la UE: El enorme interés en el proceso significa que habrá muchos momentos de intensa presión pública en torno </w:t>
      </w:r>
      <w:r w:rsidRPr="001B2772">
        <w:rPr>
          <w:rFonts w:ascii="Times New Roman" w:eastAsia="Times New Roman" w:hAnsi="Times New Roman" w:cs="Times New Roman"/>
          <w:iCs/>
          <w:sz w:val="24"/>
          <w:szCs w:val="24"/>
          <w:u w:val="single"/>
          <w:lang w:eastAsia="es-ES"/>
        </w:rPr>
        <w:lastRenderedPageBreak/>
        <w:t>a las negociaciones</w:t>
      </w:r>
      <w:r>
        <w:rPr>
          <w:rFonts w:ascii="Times New Roman" w:eastAsia="Times New Roman" w:hAnsi="Times New Roman" w:cs="Times New Roman"/>
          <w:iCs/>
          <w:sz w:val="24"/>
          <w:szCs w:val="24"/>
          <w:lang w:eastAsia="es-ES"/>
        </w:rPr>
        <w:t>. En esos momentos, y de hecho en todo el proceso</w:t>
      </w:r>
      <w:r w:rsidRPr="00D510CA">
        <w:rPr>
          <w:rFonts w:ascii="Times New Roman" w:eastAsia="Times New Roman" w:hAnsi="Times New Roman" w:cs="Times New Roman"/>
          <w:iCs/>
          <w:sz w:val="24"/>
          <w:szCs w:val="24"/>
          <w:lang w:eastAsia="es-ES"/>
        </w:rPr>
        <w:t xml:space="preserve">, </w:t>
      </w:r>
      <w:r w:rsidRPr="001B2772">
        <w:rPr>
          <w:rFonts w:ascii="Times New Roman" w:eastAsia="Times New Roman" w:hAnsi="Times New Roman" w:cs="Times New Roman"/>
          <w:iCs/>
          <w:sz w:val="24"/>
          <w:szCs w:val="24"/>
          <w:u w:val="single"/>
          <w:lang w:eastAsia="es-ES"/>
        </w:rPr>
        <w:t>es vital que la UE hable tanto como sea posible con una sola voz</w:t>
      </w:r>
      <w:r w:rsidRPr="00D510CA">
        <w:rPr>
          <w:rFonts w:ascii="Times New Roman" w:eastAsia="Times New Roman" w:hAnsi="Times New Roman" w:cs="Times New Roman"/>
          <w:iCs/>
          <w:sz w:val="24"/>
          <w:szCs w:val="24"/>
          <w:lang w:eastAsia="es-ES"/>
        </w:rPr>
        <w:t>. La campaña electoral para el Parlamento Europeo va a ser un factor importante en este contexto. Parece claro que, dada la relevancia de los grupos políticos de negociación en varios Estados miembros se posicionen en torno a diferente</w:t>
      </w:r>
      <w:r>
        <w:rPr>
          <w:rFonts w:ascii="Times New Roman" w:eastAsia="Times New Roman" w:hAnsi="Times New Roman" w:cs="Times New Roman"/>
          <w:iCs/>
          <w:sz w:val="24"/>
          <w:szCs w:val="24"/>
          <w:lang w:eastAsia="es-ES"/>
        </w:rPr>
        <w:t>s aspectos de las negociaciones</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3. </w:t>
      </w:r>
      <w:r w:rsidRPr="001B2772">
        <w:rPr>
          <w:rFonts w:ascii="Times New Roman" w:eastAsia="Times New Roman" w:hAnsi="Times New Roman" w:cs="Times New Roman"/>
          <w:iCs/>
          <w:sz w:val="24"/>
          <w:szCs w:val="24"/>
          <w:u w:val="single"/>
          <w:lang w:eastAsia="es-ES"/>
        </w:rPr>
        <w:t>La dimensión estratégica de TTIP (impacto en terceros países y multilateral): Tenemos que dar una definición clara y razonable del potencial estratégico real de TTIP. Esta es, obviamente, mucho más que un acuerdo de libre comercio, aunque sólo sea por su escala. Es más grande, más amplio y potencialmente más profundo. Como result</w:t>
      </w:r>
      <w:r>
        <w:rPr>
          <w:rFonts w:ascii="Times New Roman" w:eastAsia="Times New Roman" w:hAnsi="Times New Roman" w:cs="Times New Roman"/>
          <w:iCs/>
          <w:sz w:val="24"/>
          <w:szCs w:val="24"/>
          <w:u w:val="single"/>
          <w:lang w:eastAsia="es-ES"/>
        </w:rPr>
        <w:t>ado, permitirá a la UE y los EEUU</w:t>
      </w:r>
      <w:r w:rsidRPr="001B2772">
        <w:rPr>
          <w:rFonts w:ascii="Times New Roman" w:eastAsia="Times New Roman" w:hAnsi="Times New Roman" w:cs="Times New Roman"/>
          <w:iCs/>
          <w:sz w:val="24"/>
          <w:szCs w:val="24"/>
          <w:u w:val="single"/>
          <w:lang w:eastAsia="es-ES"/>
        </w:rPr>
        <w:t xml:space="preserve"> para mostrar su liderazgo en el comercio mundial,</w:t>
      </w:r>
      <w:r w:rsidRPr="00D510CA">
        <w:rPr>
          <w:rFonts w:ascii="Times New Roman" w:eastAsia="Times New Roman" w:hAnsi="Times New Roman" w:cs="Times New Roman"/>
          <w:iCs/>
          <w:sz w:val="24"/>
          <w:szCs w:val="24"/>
          <w:lang w:eastAsia="es-ES"/>
        </w:rPr>
        <w:t xml:space="preserve"> el establecim</w:t>
      </w:r>
      <w:r>
        <w:rPr>
          <w:rFonts w:ascii="Times New Roman" w:eastAsia="Times New Roman" w:hAnsi="Times New Roman" w:cs="Times New Roman"/>
          <w:iCs/>
          <w:sz w:val="24"/>
          <w:szCs w:val="24"/>
          <w:lang w:eastAsia="es-ES"/>
        </w:rPr>
        <w:t>iento de precedentes globales (</w:t>
      </w:r>
      <w:r w:rsidRPr="00D510CA">
        <w:rPr>
          <w:rFonts w:ascii="Times New Roman" w:eastAsia="Times New Roman" w:hAnsi="Times New Roman" w:cs="Times New Roman"/>
          <w:iCs/>
          <w:sz w:val="24"/>
          <w:szCs w:val="24"/>
          <w:lang w:eastAsia="es-ES"/>
        </w:rPr>
        <w:t>por ejemplo, en las zonas de regulación) que pueden ayudar a formar la base para las futuras negociaciones comerciales globales en nuevas áreas. Normas transatlánticas indivi</w:t>
      </w:r>
      <w:r>
        <w:rPr>
          <w:rFonts w:ascii="Times New Roman" w:eastAsia="Times New Roman" w:hAnsi="Times New Roman" w:cs="Times New Roman"/>
          <w:iCs/>
          <w:sz w:val="24"/>
          <w:szCs w:val="24"/>
          <w:lang w:eastAsia="es-ES"/>
        </w:rPr>
        <w:t>duales, siempre que sea posible</w:t>
      </w:r>
      <w:r w:rsidRPr="00D510CA">
        <w:rPr>
          <w:rFonts w:ascii="Times New Roman" w:eastAsia="Times New Roman" w:hAnsi="Times New Roman" w:cs="Times New Roman"/>
          <w:iCs/>
          <w:sz w:val="24"/>
          <w:szCs w:val="24"/>
          <w:lang w:eastAsia="es-ES"/>
        </w:rPr>
        <w:t>, también ofrece</w:t>
      </w:r>
      <w:r>
        <w:rPr>
          <w:rFonts w:ascii="Times New Roman" w:eastAsia="Times New Roman" w:hAnsi="Times New Roman" w:cs="Times New Roman"/>
          <w:iCs/>
          <w:sz w:val="24"/>
          <w:szCs w:val="24"/>
          <w:lang w:eastAsia="es-ES"/>
        </w:rPr>
        <w:t>n beneficios a terceros países</w:t>
      </w:r>
      <w:r w:rsidRPr="00D510CA">
        <w:rPr>
          <w:rFonts w:ascii="Times New Roman" w:eastAsia="Times New Roman" w:hAnsi="Times New Roman" w:cs="Times New Roman"/>
          <w:iCs/>
          <w:sz w:val="24"/>
          <w:szCs w:val="24"/>
          <w:lang w:eastAsia="es-ES"/>
        </w:rPr>
        <w:t>, cuyos exportadores encontrarán</w:t>
      </w:r>
      <w:r>
        <w:rPr>
          <w:rFonts w:ascii="Times New Roman" w:eastAsia="Times New Roman" w:hAnsi="Times New Roman" w:cs="Times New Roman"/>
          <w:iCs/>
          <w:sz w:val="24"/>
          <w:szCs w:val="24"/>
          <w:lang w:eastAsia="es-ES"/>
        </w:rPr>
        <w:t xml:space="preserve"> cumplimiento sea menos gravosa</w:t>
      </w:r>
      <w:r w:rsidRPr="00D510CA">
        <w:rPr>
          <w:rFonts w:ascii="Times New Roman" w:eastAsia="Times New Roman" w:hAnsi="Times New Roman" w:cs="Times New Roman"/>
          <w:iCs/>
          <w:sz w:val="24"/>
          <w:szCs w:val="24"/>
          <w:lang w:eastAsia="es-ES"/>
        </w:rPr>
        <w:t>.</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 4. </w:t>
      </w:r>
      <w:r w:rsidRPr="001B2772">
        <w:rPr>
          <w:rFonts w:ascii="Times New Roman" w:eastAsia="Times New Roman" w:hAnsi="Times New Roman" w:cs="Times New Roman"/>
          <w:iCs/>
          <w:sz w:val="24"/>
          <w:szCs w:val="24"/>
          <w:u w:val="single"/>
          <w:lang w:eastAsia="es-ES"/>
        </w:rPr>
        <w:t>Dejando en claro que se trata de una negociación entre iguales: Muchos de los temores acerca de lo que puede representar TTIP están vinculados a una percepción de que la UE no está en una posición lo suficientemente fuerte como para comprometerse con los Estados Unidos. Algo de esto también se debe al hecho de que la UE se encuentra actualmente en una situación económica más débil que en los EEUU, y que por lo tanto necesitamos TTIP más que ellos. Tenemos que dejar claro que este no es el caso, que a pesar de la crisis de la UE sigue siendo el mayor mercado del mundo y es como un socio tan indispensable para cualquier economía de mercado (es decir, ambos lados tienen grandes intereses económicos en estas negociaciones). También hay que dejar claro que tenemos tan fue</w:t>
      </w:r>
      <w:r>
        <w:rPr>
          <w:rFonts w:ascii="Times New Roman" w:eastAsia="Times New Roman" w:hAnsi="Times New Roman" w:cs="Times New Roman"/>
          <w:iCs/>
          <w:sz w:val="24"/>
          <w:szCs w:val="24"/>
          <w:u w:val="single"/>
          <w:lang w:eastAsia="es-ES"/>
        </w:rPr>
        <w:t>rte una trayectoria como los EEUU</w:t>
      </w:r>
      <w:r w:rsidRPr="001B2772">
        <w:rPr>
          <w:rFonts w:ascii="Times New Roman" w:eastAsia="Times New Roman" w:hAnsi="Times New Roman" w:cs="Times New Roman"/>
          <w:iCs/>
          <w:sz w:val="24"/>
          <w:szCs w:val="24"/>
          <w:u w:val="single"/>
          <w:lang w:eastAsia="es-ES"/>
        </w:rPr>
        <w:t xml:space="preserve"> en el comercio y en otras negociaciones</w:t>
      </w:r>
      <w:r>
        <w:rPr>
          <w:rFonts w:ascii="Times New Roman" w:eastAsia="Times New Roman" w:hAnsi="Times New Roman" w:cs="Times New Roman"/>
          <w:iCs/>
          <w:sz w:val="24"/>
          <w:szCs w:val="24"/>
          <w:u w:val="single"/>
          <w:lang w:eastAsia="es-ES"/>
        </w:rPr>
        <w:t>, incluso con el propio EE</w:t>
      </w:r>
      <w:r w:rsidRPr="001B2772">
        <w:rPr>
          <w:rFonts w:ascii="Times New Roman" w:eastAsia="Times New Roman" w:hAnsi="Times New Roman" w:cs="Times New Roman"/>
          <w:iCs/>
          <w:sz w:val="24"/>
          <w:szCs w:val="24"/>
          <w:u w:val="single"/>
          <w:lang w:eastAsia="es-ES"/>
        </w:rPr>
        <w:t>UU</w:t>
      </w:r>
      <w:r>
        <w:rPr>
          <w:rFonts w:ascii="Times New Roman" w:eastAsia="Times New Roman" w:hAnsi="Times New Roman" w:cs="Times New Roman"/>
          <w:iCs/>
          <w:sz w:val="24"/>
          <w:szCs w:val="24"/>
          <w:lang w:eastAsia="es-ES"/>
        </w:rPr>
        <w:t>.</w:t>
      </w:r>
      <w:r w:rsidRPr="00D510CA">
        <w:rPr>
          <w:rFonts w:ascii="Times New Roman" w:eastAsia="Times New Roman" w:hAnsi="Times New Roman" w:cs="Times New Roman"/>
          <w:iCs/>
          <w:sz w:val="24"/>
          <w:szCs w:val="24"/>
          <w:lang w:eastAsia="es-ES"/>
        </w:rPr>
        <w:t xml:space="preserve"> </w:t>
      </w:r>
    </w:p>
    <w:p w:rsidR="000369FD" w:rsidRPr="001B2772" w:rsidRDefault="000369FD" w:rsidP="000369FD">
      <w:pPr>
        <w:shd w:val="clear" w:color="auto" w:fill="FFFFFF"/>
        <w:spacing w:line="240" w:lineRule="auto"/>
        <w:jc w:val="both"/>
        <w:rPr>
          <w:rFonts w:ascii="Times New Roman" w:eastAsia="Times New Roman" w:hAnsi="Times New Roman" w:cs="Times New Roman"/>
          <w:iCs/>
          <w:sz w:val="24"/>
          <w:szCs w:val="24"/>
          <w:u w:val="single"/>
          <w:lang w:eastAsia="es-ES"/>
        </w:rPr>
      </w:pPr>
      <w:r w:rsidRPr="00D510CA">
        <w:rPr>
          <w:rFonts w:ascii="Times New Roman" w:eastAsia="Times New Roman" w:hAnsi="Times New Roman" w:cs="Times New Roman"/>
          <w:iCs/>
          <w:sz w:val="24"/>
          <w:szCs w:val="24"/>
          <w:lang w:eastAsia="es-ES"/>
        </w:rPr>
        <w:t xml:space="preserve">5. </w:t>
      </w:r>
      <w:r w:rsidRPr="001B2772">
        <w:rPr>
          <w:rFonts w:ascii="Times New Roman" w:eastAsia="Times New Roman" w:hAnsi="Times New Roman" w:cs="Times New Roman"/>
          <w:iCs/>
          <w:sz w:val="24"/>
          <w:szCs w:val="24"/>
          <w:u w:val="single"/>
          <w:lang w:eastAsia="es-ES"/>
        </w:rPr>
        <w:t>Transparencia y comunicación con los interesados</w:t>
      </w:r>
      <w:r w:rsidRPr="00D510CA">
        <w:rPr>
          <w:rFonts w:ascii="Times New Roman" w:eastAsia="Times New Roman" w:hAnsi="Times New Roman" w:cs="Times New Roman"/>
          <w:iCs/>
          <w:sz w:val="24"/>
          <w:szCs w:val="24"/>
          <w:lang w:eastAsia="es-ES"/>
        </w:rPr>
        <w:t>: Dada la amp</w:t>
      </w:r>
      <w:r>
        <w:rPr>
          <w:rFonts w:ascii="Times New Roman" w:eastAsia="Times New Roman" w:hAnsi="Times New Roman" w:cs="Times New Roman"/>
          <w:iCs/>
          <w:sz w:val="24"/>
          <w:szCs w:val="24"/>
          <w:lang w:eastAsia="es-ES"/>
        </w:rPr>
        <w:t>litud de los temas en discusión</w:t>
      </w:r>
      <w:r w:rsidRPr="00D510CA">
        <w:rPr>
          <w:rFonts w:ascii="Times New Roman" w:eastAsia="Times New Roman" w:hAnsi="Times New Roman" w:cs="Times New Roman"/>
          <w:iCs/>
          <w:sz w:val="24"/>
          <w:szCs w:val="24"/>
          <w:lang w:eastAsia="es-ES"/>
        </w:rPr>
        <w:t>, que abarcan elementos mucho más amplios de la formulación de políticas que los acu</w:t>
      </w:r>
      <w:r>
        <w:rPr>
          <w:rFonts w:ascii="Times New Roman" w:eastAsia="Times New Roman" w:hAnsi="Times New Roman" w:cs="Times New Roman"/>
          <w:iCs/>
          <w:sz w:val="24"/>
          <w:szCs w:val="24"/>
          <w:lang w:eastAsia="es-ES"/>
        </w:rPr>
        <w:t>erdos comerciales tradicionales</w:t>
      </w:r>
      <w:r w:rsidRPr="00D510CA">
        <w:rPr>
          <w:rFonts w:ascii="Times New Roman" w:eastAsia="Times New Roman" w:hAnsi="Times New Roman" w:cs="Times New Roman"/>
          <w:iCs/>
          <w:sz w:val="24"/>
          <w:szCs w:val="24"/>
          <w:lang w:eastAsia="es-ES"/>
        </w:rPr>
        <w:t xml:space="preserve">, las expectativas de la transparencia de las partes interesadas son más altos que en las negociaciones comerciales anteriores. </w:t>
      </w:r>
      <w:r w:rsidRPr="001B2772">
        <w:rPr>
          <w:rFonts w:ascii="Times New Roman" w:eastAsia="Times New Roman" w:hAnsi="Times New Roman" w:cs="Times New Roman"/>
          <w:iCs/>
          <w:sz w:val="24"/>
          <w:szCs w:val="24"/>
          <w:u w:val="single"/>
          <w:lang w:eastAsia="es-ES"/>
        </w:rPr>
        <w:t xml:space="preserve">La complejidad del posible acuerdo también significa que los negociadores tienen una mayor necesidad de aporte de los interesados durante el proceso para asegurarse de que las soluciones propuestas a problemas difíciles son eficaces. Al mismo tiempo, las negociaciones exigen un grado de confidencialidad si se quiere tener éxito.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IV. P</w:t>
      </w:r>
      <w:r w:rsidRPr="00D510CA">
        <w:rPr>
          <w:rFonts w:ascii="Times New Roman" w:eastAsia="Times New Roman" w:hAnsi="Times New Roman" w:cs="Times New Roman"/>
          <w:iCs/>
          <w:sz w:val="24"/>
          <w:szCs w:val="24"/>
          <w:lang w:eastAsia="es-ES"/>
        </w:rPr>
        <w:t xml:space="preserve">osibles preguntas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¿Cuáles son los principales retos de comunicación para TTIP en sus respectivos E</w:t>
      </w:r>
      <w:r>
        <w:rPr>
          <w:rFonts w:ascii="Times New Roman" w:eastAsia="Times New Roman" w:hAnsi="Times New Roman" w:cs="Times New Roman"/>
          <w:iCs/>
          <w:sz w:val="24"/>
          <w:szCs w:val="24"/>
          <w:lang w:eastAsia="es-ES"/>
        </w:rPr>
        <w:t>stados miembros</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¿Qué actividades que actualmente se llevan a cabo en los Estados miembros para comunicar sobre TTIP?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¿Quiénes son los principa</w:t>
      </w:r>
      <w:r>
        <w:rPr>
          <w:rFonts w:ascii="Times New Roman" w:eastAsia="Times New Roman" w:hAnsi="Times New Roman" w:cs="Times New Roman"/>
          <w:iCs/>
          <w:sz w:val="24"/>
          <w:szCs w:val="24"/>
          <w:lang w:eastAsia="es-ES"/>
        </w:rPr>
        <w:t>les actores que deben abordarse</w:t>
      </w:r>
      <w:r w:rsidRPr="00D510CA">
        <w:rPr>
          <w:rFonts w:ascii="Times New Roman" w:eastAsia="Times New Roman" w:hAnsi="Times New Roman" w:cs="Times New Roman"/>
          <w:iCs/>
          <w:sz w:val="24"/>
          <w:szCs w:val="24"/>
          <w:lang w:eastAsia="es-ES"/>
        </w:rPr>
        <w:t xml:space="preserve">?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 xml:space="preserve">¿Tenemos las herramientas adecuadas? </w:t>
      </w:r>
    </w:p>
    <w:p w:rsidR="000369FD"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r w:rsidRPr="00D510CA">
        <w:rPr>
          <w:rFonts w:ascii="Times New Roman" w:eastAsia="Times New Roman" w:hAnsi="Times New Roman" w:cs="Times New Roman"/>
          <w:iCs/>
          <w:sz w:val="24"/>
          <w:szCs w:val="24"/>
          <w:lang w:eastAsia="es-ES"/>
        </w:rPr>
        <w:t>¿En qué áreas podrían servicios de la Comisión y los Estad</w:t>
      </w:r>
      <w:r>
        <w:rPr>
          <w:rFonts w:ascii="Times New Roman" w:eastAsia="Times New Roman" w:hAnsi="Times New Roman" w:cs="Times New Roman"/>
          <w:iCs/>
          <w:sz w:val="24"/>
          <w:szCs w:val="24"/>
          <w:lang w:eastAsia="es-ES"/>
        </w:rPr>
        <w:t>os miembros trabajar más juntos</w:t>
      </w:r>
      <w:r w:rsidRPr="00D510CA">
        <w:rPr>
          <w:rFonts w:ascii="Times New Roman" w:eastAsia="Times New Roman" w:hAnsi="Times New Roman" w:cs="Times New Roman"/>
          <w:iCs/>
          <w:sz w:val="24"/>
          <w:szCs w:val="24"/>
          <w:lang w:eastAsia="es-ES"/>
        </w:rPr>
        <w:t xml:space="preserve">? </w:t>
      </w:r>
      <w:r w:rsidRPr="00573DD0">
        <w:rPr>
          <w:rFonts w:ascii="Times New Roman" w:eastAsia="Times New Roman" w:hAnsi="Times New Roman" w:cs="Times New Roman"/>
          <w:iCs/>
          <w:sz w:val="24"/>
          <w:szCs w:val="24"/>
          <w:lang w:eastAsia="es-ES"/>
        </w:rPr>
        <w:t xml:space="preserve"> </w:t>
      </w:r>
    </w:p>
    <w:p w:rsidR="000369FD" w:rsidRPr="00573DD0" w:rsidRDefault="000369FD" w:rsidP="000369FD">
      <w:pPr>
        <w:shd w:val="clear" w:color="auto" w:fill="FFFFFF"/>
        <w:spacing w:line="240" w:lineRule="auto"/>
        <w:jc w:val="both"/>
        <w:rPr>
          <w:rFonts w:ascii="Times New Roman" w:eastAsia="Times New Roman" w:hAnsi="Times New Roman" w:cs="Times New Roman"/>
          <w:iCs/>
          <w:sz w:val="24"/>
          <w:szCs w:val="24"/>
          <w:lang w:eastAsia="es-ES"/>
        </w:rPr>
      </w:pPr>
    </w:p>
    <w:p w:rsidR="000369FD" w:rsidRPr="00C47648" w:rsidRDefault="000369FD" w:rsidP="000369FD">
      <w:pPr>
        <w:shd w:val="clear" w:color="auto" w:fill="FFFFFF"/>
        <w:spacing w:line="240" w:lineRule="auto"/>
        <w:jc w:val="both"/>
        <w:rPr>
          <w:rFonts w:ascii="Times New Roman" w:eastAsia="Times New Roman" w:hAnsi="Times New Roman" w:cs="Times New Roman"/>
          <w:iCs/>
          <w:sz w:val="24"/>
          <w:szCs w:val="24"/>
          <w:lang w:val="en-US" w:eastAsia="es-ES"/>
        </w:rPr>
      </w:pPr>
      <w:r>
        <w:rPr>
          <w:rFonts w:ascii="Times New Roman" w:eastAsia="Times New Roman" w:hAnsi="Times New Roman" w:cs="Times New Roman"/>
          <w:sz w:val="24"/>
          <w:szCs w:val="24"/>
          <w:lang w:val="en-US" w:eastAsia="es-ES"/>
        </w:rPr>
        <w:lastRenderedPageBreak/>
        <w:t xml:space="preserve">- </w:t>
      </w:r>
      <w:r w:rsidRPr="00393A9F">
        <w:rPr>
          <w:rFonts w:ascii="Times New Roman" w:eastAsia="Times New Roman" w:hAnsi="Times New Roman" w:cs="Times New Roman"/>
          <w:sz w:val="24"/>
          <w:szCs w:val="24"/>
          <w:u w:val="single"/>
          <w:lang w:val="en-US" w:eastAsia="es-ES"/>
        </w:rPr>
        <w:t>The lies behind this transatlantic trade deal</w:t>
      </w:r>
      <w:r>
        <w:rPr>
          <w:rFonts w:ascii="Times New Roman" w:eastAsia="Times New Roman" w:hAnsi="Times New Roman" w:cs="Times New Roman"/>
          <w:sz w:val="24"/>
          <w:szCs w:val="24"/>
          <w:lang w:val="en-US" w:eastAsia="es-ES"/>
        </w:rPr>
        <w:t xml:space="preserve"> (The Guardian - </w:t>
      </w:r>
      <w:r w:rsidRPr="00393A9F">
        <w:rPr>
          <w:rFonts w:ascii="Times New Roman" w:eastAsia="Times New Roman" w:hAnsi="Times New Roman" w:cs="Times New Roman"/>
          <w:b/>
          <w:sz w:val="24"/>
          <w:szCs w:val="24"/>
          <w:lang w:val="en-US" w:eastAsia="es-ES"/>
        </w:rPr>
        <w:t>2/12/13</w:t>
      </w:r>
      <w:r>
        <w:rPr>
          <w:rFonts w:ascii="Times New Roman" w:eastAsia="Times New Roman" w:hAnsi="Times New Roman" w:cs="Times New Roman"/>
          <w:sz w:val="24"/>
          <w:szCs w:val="24"/>
          <w:lang w:val="en-US" w:eastAsia="es-ES"/>
        </w:rPr>
        <w:t>)</w:t>
      </w:r>
      <w:r w:rsidRPr="00393A9F">
        <w:rPr>
          <w:rFonts w:ascii="Times New Roman" w:eastAsia="Times New Roman" w:hAnsi="Times New Roman" w:cs="Times New Roman"/>
          <w:sz w:val="24"/>
          <w:szCs w:val="24"/>
          <w:lang w:val="en-US" w:eastAsia="es-ES"/>
        </w:rPr>
        <w:t xml:space="preserve"> </w:t>
      </w:r>
    </w:p>
    <w:p w:rsidR="000369FD" w:rsidRPr="00393A9F" w:rsidRDefault="000369FD" w:rsidP="000369FD">
      <w:pPr>
        <w:shd w:val="clear" w:color="auto" w:fill="FFFFFF"/>
        <w:spacing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 xml:space="preserve">(By </w:t>
      </w:r>
      <w:r w:rsidRPr="00393A9F">
        <w:rPr>
          <w:rFonts w:ascii="Times New Roman" w:eastAsia="Times New Roman" w:hAnsi="Times New Roman" w:cs="Times New Roman"/>
          <w:sz w:val="24"/>
          <w:szCs w:val="24"/>
          <w:lang w:val="en-US" w:eastAsia="es-ES"/>
        </w:rPr>
        <w:t xml:space="preserve">George Monbiot) </w:t>
      </w:r>
    </w:p>
    <w:p w:rsidR="000369FD" w:rsidRPr="00391641" w:rsidRDefault="000369FD" w:rsidP="000369FD">
      <w:pPr>
        <w:pStyle w:val="NormalWeb"/>
        <w:jc w:val="both"/>
        <w:rPr>
          <w:lang w:val="en-GB"/>
        </w:rPr>
      </w:pPr>
      <w:r w:rsidRPr="00391641">
        <w:rPr>
          <w:rStyle w:val="drop-capinner"/>
          <w:lang w:val="en-GB"/>
        </w:rPr>
        <w:t>P</w:t>
      </w:r>
      <w:r w:rsidRPr="00391641">
        <w:rPr>
          <w:lang w:val="en-GB"/>
        </w:rPr>
        <w:t xml:space="preserve">anic spreads through the European commission like ferrets in a rabbit warren. Its plans to create a single market incorporating Europe and the United States, progressing so nicely when hardly anyone knew, have been blown wide open. All over </w:t>
      </w:r>
      <w:hyperlink r:id="rId25" w:history="1">
        <w:r w:rsidRPr="00391641">
          <w:rPr>
            <w:rStyle w:val="Hipervnculo"/>
            <w:rFonts w:eastAsiaTheme="majorEastAsia"/>
            <w:color w:val="auto"/>
            <w:lang w:val="en-GB"/>
          </w:rPr>
          <w:t>Europe</w:t>
        </w:r>
      </w:hyperlink>
      <w:r w:rsidRPr="00391641">
        <w:rPr>
          <w:lang w:val="en-GB"/>
        </w:rPr>
        <w:t xml:space="preserve"> people are asking why this is happening; why we were not consulted; for whom it is being done.</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 xml:space="preserve">They have good reason to ask. The commission insists that its </w:t>
      </w:r>
      <w:hyperlink r:id="rId26" w:history="1">
        <w:r w:rsidRPr="00391641">
          <w:rPr>
            <w:rStyle w:val="Hipervnculo"/>
            <w:rFonts w:eastAsiaTheme="majorEastAsia"/>
            <w:color w:val="auto"/>
            <w:lang w:val="en-GB"/>
          </w:rPr>
          <w:t>Transatlantic Trade and Investment Partnership</w:t>
        </w:r>
      </w:hyperlink>
      <w:r w:rsidRPr="00391641">
        <w:rPr>
          <w:lang w:val="en-GB"/>
        </w:rPr>
        <w:t xml:space="preserve"> should include a toxic mechanism called </w:t>
      </w:r>
      <w:hyperlink r:id="rId27" w:history="1">
        <w:r w:rsidRPr="00391641">
          <w:rPr>
            <w:rStyle w:val="Hipervnculo"/>
            <w:rFonts w:eastAsiaTheme="majorEastAsia"/>
            <w:color w:val="auto"/>
            <w:lang w:val="en-GB"/>
          </w:rPr>
          <w:t>investor-state dispute settlement</w:t>
        </w:r>
      </w:hyperlink>
      <w:r w:rsidRPr="00391641">
        <w:rPr>
          <w:lang w:val="en-GB"/>
        </w:rPr>
        <w:t>. Where this has been forced into other trade agreements, it has allowed big corporations to sue governments before secretive arbitration panels composed of corporate lawyers, which bypass domestic courts and override the will of parliaments.</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This mechanism could threaten almost any means by which governments might seek to defend their citizens or protect the natural world. Already it is being used by mining companies to sue governments trying to keep them out of protected areas; by banks fighting financial regulation; by a</w:t>
      </w:r>
      <w:hyperlink r:id="rId28" w:history="1">
        <w:r w:rsidRPr="00391641">
          <w:rPr>
            <w:rStyle w:val="Hipervnculo"/>
            <w:rFonts w:eastAsiaTheme="majorEastAsia"/>
            <w:color w:val="auto"/>
            <w:lang w:val="en-GB"/>
          </w:rPr>
          <w:t xml:space="preserve"> nuclear company contesting Germany's decision to switch off atomic power</w:t>
        </w:r>
      </w:hyperlink>
      <w:r w:rsidRPr="00391641">
        <w:rPr>
          <w:lang w:val="en-GB"/>
        </w:rPr>
        <w:t xml:space="preserve">. After a big political fight we've now been promised plain packaging for cigarettes. But it could be nixed by an offshore arbitration panel. The tobacco company </w:t>
      </w:r>
      <w:hyperlink r:id="rId29" w:history="1">
        <w:r w:rsidRPr="00391641">
          <w:rPr>
            <w:rStyle w:val="Hipervnculo"/>
            <w:rFonts w:eastAsiaTheme="majorEastAsia"/>
            <w:color w:val="auto"/>
            <w:lang w:val="en-GB"/>
          </w:rPr>
          <w:t>Philip Morris is currently suing Australia</w:t>
        </w:r>
      </w:hyperlink>
      <w:r w:rsidRPr="00391641">
        <w:rPr>
          <w:lang w:val="en-GB"/>
        </w:rPr>
        <w:t xml:space="preserve"> through the same mechanism in another treaty.</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 xml:space="preserve">No longer able to keep this process quiet, the European commission has instead devised a strategy for lying to us. A few days ago an </w:t>
      </w:r>
      <w:hyperlink r:id="rId30" w:history="1">
        <w:r w:rsidRPr="00391641">
          <w:rPr>
            <w:rStyle w:val="Hipervnculo"/>
            <w:rFonts w:eastAsiaTheme="majorEastAsia"/>
            <w:color w:val="auto"/>
            <w:lang w:val="en-GB"/>
          </w:rPr>
          <w:t>internal document was leaked</w:t>
        </w:r>
      </w:hyperlink>
      <w:r>
        <w:rPr>
          <w:lang w:val="en-GB"/>
        </w:rPr>
        <w:t>. This reveals that a “</w:t>
      </w:r>
      <w:r w:rsidRPr="00391641">
        <w:rPr>
          <w:lang w:val="en-GB"/>
        </w:rPr>
        <w:t>ded</w:t>
      </w:r>
      <w:r>
        <w:rPr>
          <w:lang w:val="en-GB"/>
        </w:rPr>
        <w:t>icated communications operation” is being “</w:t>
      </w:r>
      <w:r w:rsidRPr="00391641">
        <w:rPr>
          <w:lang w:val="en-GB"/>
        </w:rPr>
        <w:t>co-</w:t>
      </w:r>
      <w:r>
        <w:rPr>
          <w:lang w:val="en-GB"/>
        </w:rPr>
        <w:t>ordinated across the commission”</w:t>
      </w:r>
      <w:r w:rsidRPr="00391641">
        <w:rPr>
          <w:lang w:val="en-GB"/>
        </w:rPr>
        <w:t>. It involves, to use the com</w:t>
      </w:r>
      <w:r>
        <w:rPr>
          <w:lang w:val="en-GB"/>
        </w:rPr>
        <w:t>mission's chilling phrase, the “</w:t>
      </w:r>
      <w:r w:rsidRPr="00391641">
        <w:rPr>
          <w:lang w:val="en-GB"/>
        </w:rPr>
        <w:t>management of stakeholders</w:t>
      </w:r>
      <w:r>
        <w:rPr>
          <w:lang w:val="en-GB"/>
        </w:rPr>
        <w:t>, social media and transparency”</w:t>
      </w:r>
      <w:r w:rsidRPr="00391641">
        <w:rPr>
          <w:lang w:val="en-GB"/>
        </w:rPr>
        <w:t>. Managing transparency should be adopted as its motto.</w:t>
      </w:r>
    </w:p>
    <w:p w:rsidR="000369FD" w:rsidRPr="00391641" w:rsidRDefault="000369FD" w:rsidP="000369FD">
      <w:pPr>
        <w:pStyle w:val="NormalWeb"/>
        <w:jc w:val="both"/>
        <w:rPr>
          <w:lang w:val="en-GB"/>
        </w:rPr>
      </w:pPr>
    </w:p>
    <w:p w:rsidR="000369FD" w:rsidRDefault="000369FD" w:rsidP="000369FD">
      <w:pPr>
        <w:pStyle w:val="NormalWeb"/>
        <w:jc w:val="both"/>
        <w:rPr>
          <w:lang w:val="en-GB"/>
        </w:rPr>
      </w:pPr>
      <w:r w:rsidRPr="00391641">
        <w:rPr>
          <w:lang w:val="en-GB"/>
        </w:rPr>
        <w:t>The message i</w:t>
      </w:r>
      <w:r>
        <w:rPr>
          <w:lang w:val="en-GB"/>
        </w:rPr>
        <w:t>s that the trade deal is about “delivering growth and jobs”</w:t>
      </w:r>
      <w:r w:rsidRPr="00391641">
        <w:rPr>
          <w:lang w:val="en-GB"/>
        </w:rPr>
        <w:t xml:space="preserve"> and will not </w:t>
      </w:r>
      <w:r>
        <w:rPr>
          <w:lang w:val="en-GB"/>
        </w:rPr>
        <w:t>“</w:t>
      </w:r>
      <w:r w:rsidRPr="00391641">
        <w:rPr>
          <w:lang w:val="en-GB"/>
        </w:rPr>
        <w:t>undermine regulation and existing levels of protection in areas like hea</w:t>
      </w:r>
      <w:r>
        <w:rPr>
          <w:lang w:val="en-GB"/>
        </w:rPr>
        <w:t>lth, safety and the environment”</w:t>
      </w:r>
      <w:r w:rsidRPr="00391641">
        <w:rPr>
          <w:lang w:val="en-GB"/>
        </w:rPr>
        <w:t>. Just one problem: it's not true.</w:t>
      </w:r>
    </w:p>
    <w:p w:rsidR="000369FD" w:rsidRPr="00391641" w:rsidRDefault="000369FD" w:rsidP="000369FD">
      <w:pPr>
        <w:pStyle w:val="NormalWeb"/>
        <w:jc w:val="both"/>
        <w:rPr>
          <w:lang w:val="en-GB"/>
        </w:rPr>
      </w:pPr>
    </w:p>
    <w:p w:rsidR="000369FD" w:rsidRPr="00391641" w:rsidRDefault="000369FD" w:rsidP="000369FD">
      <w:pPr>
        <w:spacing w:line="240" w:lineRule="auto"/>
        <w:jc w:val="both"/>
        <w:rPr>
          <w:rFonts w:ascii="Times New Roman" w:hAnsi="Times New Roman" w:cs="Times New Roman"/>
          <w:sz w:val="24"/>
          <w:szCs w:val="24"/>
          <w:lang w:val="en-GB"/>
        </w:rPr>
      </w:pPr>
      <w:r w:rsidRPr="00391641">
        <w:rPr>
          <w:rFonts w:ascii="Times New Roman" w:hAnsi="Times New Roman" w:cs="Times New Roman"/>
          <w:sz w:val="24"/>
          <w:szCs w:val="24"/>
          <w:lang w:val="en-GB"/>
        </w:rPr>
        <w:t>Advertisement</w:t>
      </w:r>
    </w:p>
    <w:p w:rsidR="000369FD" w:rsidRPr="00391641" w:rsidRDefault="000369FD" w:rsidP="000369FD">
      <w:pPr>
        <w:pStyle w:val="NormalWeb"/>
        <w:jc w:val="both"/>
        <w:rPr>
          <w:lang w:val="en-GB"/>
        </w:rPr>
      </w:pPr>
      <w:r w:rsidRPr="00391641">
        <w:rPr>
          <w:lang w:val="en-GB"/>
        </w:rPr>
        <w:t>From the outset, the transatlantic partnership has been driven by corporations and their lobby groups,</w:t>
      </w:r>
      <w:r>
        <w:rPr>
          <w:lang w:val="en-GB"/>
        </w:rPr>
        <w:t xml:space="preserve"> who boast of being able to “co-write”</w:t>
      </w:r>
      <w:r w:rsidRPr="00391641">
        <w:rPr>
          <w:lang w:val="en-GB"/>
        </w:rPr>
        <w:t xml:space="preserve"> it. Persistent digging by the </w:t>
      </w:r>
      <w:hyperlink r:id="rId31" w:history="1">
        <w:r w:rsidRPr="00391641">
          <w:rPr>
            <w:rStyle w:val="Hipervnculo"/>
            <w:rFonts w:eastAsiaTheme="majorEastAsia"/>
            <w:color w:val="auto"/>
            <w:lang w:val="en-GB"/>
          </w:rPr>
          <w:t>Corporate Europe Observatory</w:t>
        </w:r>
      </w:hyperlink>
      <w:r w:rsidRPr="00391641">
        <w:rPr>
          <w:lang w:val="en-GB"/>
        </w:rPr>
        <w:t xml:space="preserve"> reveals that the commission has held eight meetings on the issue with civil society groups, and 119 with corporations and their lobbyists. Unlike the civil society meetings, these have taken place behind closed doors and have not been disclosed online.</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Though the commission now tells t</w:t>
      </w:r>
      <w:r>
        <w:rPr>
          <w:lang w:val="en-GB"/>
        </w:rPr>
        <w:t>he public that it will protect “the state's right to regulate”</w:t>
      </w:r>
      <w:r w:rsidRPr="00391641">
        <w:rPr>
          <w:lang w:val="en-GB"/>
        </w:rPr>
        <w:t>, this isn't the message the corporations have been hearing. In an interview last week, Stuart Eizenstat, co-chair of the T</w:t>
      </w:r>
      <w:r>
        <w:rPr>
          <w:lang w:val="en-GB"/>
        </w:rPr>
        <w:t>ransatlantic Business Council -</w:t>
      </w:r>
      <w:r w:rsidRPr="00391641">
        <w:rPr>
          <w:lang w:val="en-GB"/>
        </w:rPr>
        <w:t xml:space="preserve">instrumental in </w:t>
      </w:r>
      <w:r>
        <w:rPr>
          <w:lang w:val="en-GB"/>
        </w:rPr>
        <w:t>driving the process-</w:t>
      </w:r>
      <w:r w:rsidRPr="00391641">
        <w:rPr>
          <w:lang w:val="en-GB"/>
        </w:rPr>
        <w:t xml:space="preserve"> was asked if companies whose products had been banned by regulators would be able to</w:t>
      </w:r>
      <w:r w:rsidR="00B454ED">
        <w:rPr>
          <w:lang w:val="en-GB"/>
        </w:rPr>
        <w:t xml:space="preserve"> sue (see footnote)</w:t>
      </w:r>
      <w:r>
        <w:rPr>
          <w:lang w:val="en-GB"/>
        </w:rPr>
        <w:t>. Yes. “</w:t>
      </w:r>
      <w:r w:rsidRPr="00391641">
        <w:rPr>
          <w:lang w:val="en-GB"/>
        </w:rPr>
        <w:t>If a suit like that was brought and was successful,</w:t>
      </w:r>
      <w:hyperlink r:id="rId32" w:history="1">
        <w:r w:rsidRPr="00B454ED">
          <w:rPr>
            <w:rStyle w:val="Hipervnculo"/>
            <w:rFonts w:eastAsiaTheme="majorEastAsia"/>
            <w:color w:val="auto"/>
            <w:u w:val="none"/>
            <w:lang w:val="en-GB"/>
          </w:rPr>
          <w:t xml:space="preserve"> it would mean that the country banning the product would have to pay compensation</w:t>
        </w:r>
      </w:hyperlink>
      <w:r w:rsidRPr="00391641">
        <w:rPr>
          <w:lang w:val="en-GB"/>
        </w:rPr>
        <w:t xml:space="preserve"> to the industry </w:t>
      </w:r>
      <w:r>
        <w:rPr>
          <w:lang w:val="en-GB"/>
        </w:rPr>
        <w:t>involved or let the product in”.</w:t>
      </w:r>
      <w:r w:rsidRPr="00391641">
        <w:rPr>
          <w:lang w:val="en-GB"/>
        </w:rPr>
        <w:t xml:space="preserve"> Would that apply to the </w:t>
      </w:r>
      <w:r w:rsidRPr="00391641">
        <w:rPr>
          <w:lang w:val="en-GB"/>
        </w:rPr>
        <w:lastRenderedPageBreak/>
        <w:t>European ban on chicken carcasses washed with chlorine, a controversial</w:t>
      </w:r>
      <w:r>
        <w:rPr>
          <w:lang w:val="en-GB"/>
        </w:rPr>
        <w:t xml:space="preserve"> practice permitted in the US? “</w:t>
      </w:r>
      <w:r w:rsidRPr="00391641">
        <w:rPr>
          <w:lang w:val="en-GB"/>
        </w:rPr>
        <w:t>Tha</w:t>
      </w:r>
      <w:r>
        <w:rPr>
          <w:lang w:val="en-GB"/>
        </w:rPr>
        <w:t>t's one example where it might”.</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What the commission and its member governments fail to explain is why we need offshore arbitration at all. I</w:t>
      </w:r>
      <w:r>
        <w:rPr>
          <w:lang w:val="en-GB"/>
        </w:rPr>
        <w:t>t insists that domestic courts “</w:t>
      </w:r>
      <w:r w:rsidRPr="00391641">
        <w:rPr>
          <w:lang w:val="en-GB"/>
        </w:rPr>
        <w:t>might</w:t>
      </w:r>
      <w:r>
        <w:rPr>
          <w:lang w:val="en-GB"/>
        </w:rPr>
        <w:t xml:space="preserve"> be biased or lack independence”</w:t>
      </w:r>
      <w:r w:rsidRPr="00391641">
        <w:rPr>
          <w:lang w:val="en-GB"/>
        </w:rPr>
        <w:t>, but which courts is it talking about? It won't say. Last month, while trying to defend the treaty, the British minister Kenneth Cl</w:t>
      </w:r>
      <w:r>
        <w:rPr>
          <w:lang w:val="en-GB"/>
        </w:rPr>
        <w:t>arke said something revealing: “</w:t>
      </w:r>
      <w:r w:rsidRPr="00391641">
        <w:rPr>
          <w:lang w:val="en-GB"/>
        </w:rPr>
        <w:t>Investor protection is a standard</w:t>
      </w:r>
      <w:r>
        <w:rPr>
          <w:lang w:val="en-GB"/>
        </w:rPr>
        <w:t xml:space="preserve"> part of free-trade agreements -</w:t>
      </w:r>
      <w:r w:rsidRPr="00391641">
        <w:rPr>
          <w:lang w:val="en-GB"/>
        </w:rPr>
        <w:t xml:space="preserve"> it was designed to support businesses investing in countries where the rule of law is u</w:t>
      </w:r>
      <w:r>
        <w:rPr>
          <w:lang w:val="en-GB"/>
        </w:rPr>
        <w:t>npredictable, to say the least”.</w:t>
      </w:r>
      <w:r w:rsidRPr="00391641">
        <w:rPr>
          <w:lang w:val="en-GB"/>
        </w:rPr>
        <w:t xml:space="preserve"> So what is it doing in an EU-US deal? Why are we using measures designed to protect corporate interests in failed states in countries with a functioning judicial system? Perhaps it's because functioning courts are less useful to corporations than opaque and unjust arbitration by corporate lawyers.</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 xml:space="preserve">As for the commission's claim that the trade deal will produce growth and jobs, this is also likely to be false. Barack Obama promised that the US-Korea Free Trade Agreement would increase US exports by $10bn. They immediately fell by $3.5bn. </w:t>
      </w:r>
      <w:hyperlink r:id="rId33" w:history="1">
        <w:r w:rsidR="00382947" w:rsidRPr="00B454ED">
          <w:rPr>
            <w:rStyle w:val="Hipervnculo"/>
            <w:rFonts w:eastAsiaTheme="majorEastAsia"/>
            <w:color w:val="auto"/>
            <w:u w:val="none"/>
            <w:lang w:val="en-GB"/>
          </w:rPr>
          <w:t>The 70.</w:t>
        </w:r>
        <w:r w:rsidRPr="00B454ED">
          <w:rPr>
            <w:rStyle w:val="Hipervnculo"/>
            <w:rFonts w:eastAsiaTheme="majorEastAsia"/>
            <w:color w:val="auto"/>
            <w:u w:val="none"/>
            <w:lang w:val="en-GB"/>
          </w:rPr>
          <w:t>00</w:t>
        </w:r>
        <w:r w:rsidR="00382947" w:rsidRPr="00B454ED">
          <w:rPr>
            <w:rStyle w:val="Hipervnculo"/>
            <w:rFonts w:eastAsiaTheme="majorEastAsia"/>
            <w:color w:val="auto"/>
            <w:u w:val="none"/>
            <w:lang w:val="en-GB"/>
          </w:rPr>
          <w:t>0 jobs it would deliver? Er, 40.</w:t>
        </w:r>
        <w:r w:rsidRPr="00B454ED">
          <w:rPr>
            <w:rStyle w:val="Hipervnculo"/>
            <w:rFonts w:eastAsiaTheme="majorEastAsia"/>
            <w:color w:val="auto"/>
            <w:u w:val="none"/>
            <w:lang w:val="en-GB"/>
          </w:rPr>
          <w:t>000 were lost</w:t>
        </w:r>
      </w:hyperlink>
      <w:r w:rsidRPr="00B454ED">
        <w:rPr>
          <w:lang w:val="en-GB"/>
        </w:rPr>
        <w:t xml:space="preserve">. Bill Clinton promised that the North American Free Trade Agreement would create 200,000 new jobs for the US; </w:t>
      </w:r>
      <w:hyperlink r:id="rId34" w:history="1">
        <w:r w:rsidR="00382947" w:rsidRPr="00B454ED">
          <w:rPr>
            <w:rStyle w:val="Hipervnculo"/>
            <w:rFonts w:eastAsiaTheme="majorEastAsia"/>
            <w:color w:val="auto"/>
            <w:u w:val="none"/>
            <w:lang w:val="en-GB"/>
          </w:rPr>
          <w:t>680.</w:t>
        </w:r>
        <w:r w:rsidRPr="00B454ED">
          <w:rPr>
            <w:rStyle w:val="Hipervnculo"/>
            <w:rFonts w:eastAsiaTheme="majorEastAsia"/>
            <w:color w:val="auto"/>
            <w:u w:val="none"/>
            <w:lang w:val="en-GB"/>
          </w:rPr>
          <w:t>000 went down the pan</w:t>
        </w:r>
      </w:hyperlink>
      <w:r w:rsidRPr="00B454ED">
        <w:rPr>
          <w:lang w:val="en-GB"/>
        </w:rPr>
        <w:t xml:space="preserve">. As the commentator Glyn Moody says: “The benefits are slight and illusory, </w:t>
      </w:r>
      <w:r w:rsidRPr="00391641">
        <w:rPr>
          <w:lang w:val="en-GB"/>
        </w:rPr>
        <w:t>while the risks ar</w:t>
      </w:r>
      <w:r>
        <w:rPr>
          <w:lang w:val="en-GB"/>
        </w:rPr>
        <w:t>e very real”.</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So where are our elected representatives? Fast asleep. Labour MEPs, now frantically trying to keep investor-state dispute mechanisms out of the agreement, are the exception; the rest are in Neverland. The Lib Dem MEP Graham Watson wrote in his newslette</w:t>
      </w:r>
      <w:r>
        <w:rPr>
          <w:lang w:val="en-GB"/>
        </w:rPr>
        <w:t>r, before dismissing the idea: “</w:t>
      </w:r>
      <w:r w:rsidRPr="00391641">
        <w:rPr>
          <w:lang w:val="en-GB"/>
        </w:rPr>
        <w:t>I am told that columnists on the Guardian and the Independent claim it will hugely advantage US multinational compan</w:t>
      </w:r>
      <w:r>
        <w:rPr>
          <w:lang w:val="en-GB"/>
        </w:rPr>
        <w:t>ies to the detriment of Europe”.</w:t>
      </w:r>
      <w:r w:rsidRPr="00391641">
        <w:rPr>
          <w:lang w:val="en-GB"/>
        </w:rPr>
        <w:t xml:space="preserve"> We said no such thing, as he would know had he read the articles, rather than idiotically relying on hearsay. The treaty is likely to advantage the corporations of both the US and the EU, while disadvantaging their people. It presents a danger to democracy and public protection throughout the trading area.</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 xml:space="preserve">Caroline Lucas, one of the few MPs interested in the sovereignty of parliament, has published an early-day motion on the issue. It has so far been signed by seven MPs. For the government, </w:t>
      </w:r>
      <w:hyperlink r:id="rId35" w:history="1">
        <w:r w:rsidRPr="00B454ED">
          <w:rPr>
            <w:rStyle w:val="Hipervnculo"/>
            <w:rFonts w:eastAsiaTheme="majorEastAsia"/>
            <w:color w:val="auto"/>
            <w:u w:val="none"/>
            <w:lang w:val="en-GB"/>
          </w:rPr>
          <w:t>Clarke argues</w:t>
        </w:r>
      </w:hyperlink>
      <w:r w:rsidRPr="00391641">
        <w:rPr>
          <w:lang w:val="en-GB"/>
        </w:rPr>
        <w:t xml:space="preserve"> that to ignor</w:t>
      </w:r>
      <w:r>
        <w:rPr>
          <w:lang w:val="en-GB"/>
        </w:rPr>
        <w:t>e the potential economic gains “</w:t>
      </w:r>
      <w:r w:rsidRPr="00391641">
        <w:rPr>
          <w:lang w:val="en-GB"/>
        </w:rPr>
        <w:t>in favour of blowing up a controversy around one small part of the negotiations, known as investor protection, seems to me positivel</w:t>
      </w:r>
      <w:r>
        <w:rPr>
          <w:lang w:val="en-GB"/>
        </w:rPr>
        <w:t>y Scrooge-like”</w:t>
      </w:r>
      <w:r w:rsidRPr="00391641">
        <w:rPr>
          <w:lang w:val="en-GB"/>
        </w:rPr>
        <w:t>.</w:t>
      </w:r>
    </w:p>
    <w:p w:rsidR="000369FD" w:rsidRPr="00391641" w:rsidRDefault="000369FD" w:rsidP="000369FD">
      <w:pPr>
        <w:pStyle w:val="NormalWeb"/>
        <w:jc w:val="both"/>
        <w:rPr>
          <w:lang w:val="en-GB"/>
        </w:rPr>
      </w:pPr>
    </w:p>
    <w:p w:rsidR="000369FD" w:rsidRPr="00391641" w:rsidRDefault="000369FD" w:rsidP="000369FD">
      <w:pPr>
        <w:pStyle w:val="NormalWeb"/>
        <w:jc w:val="both"/>
        <w:rPr>
          <w:lang w:val="en-GB"/>
        </w:rPr>
      </w:pPr>
      <w:r w:rsidRPr="00391641">
        <w:rPr>
          <w:lang w:val="en-GB"/>
        </w:rPr>
        <w:t>Quite right too. Overriding our laws, stripping away our rights, making parliament redundant: these are trivial and irrelevant beside the issue of how much money could be made. Don't worry your little heads about it.</w:t>
      </w:r>
    </w:p>
    <w:p w:rsidR="000369FD" w:rsidRPr="00391641" w:rsidRDefault="000369FD" w:rsidP="000369FD">
      <w:pPr>
        <w:pStyle w:val="NormalWeb"/>
        <w:jc w:val="both"/>
        <w:rPr>
          <w:rStyle w:val="bullet"/>
          <w:lang w:val="en-GB"/>
        </w:rPr>
      </w:pPr>
    </w:p>
    <w:p w:rsidR="000369FD" w:rsidRPr="00391641" w:rsidRDefault="000369FD" w:rsidP="000369FD">
      <w:pPr>
        <w:pStyle w:val="NormalWeb"/>
        <w:jc w:val="both"/>
        <w:rPr>
          <w:lang w:val="en-GB"/>
        </w:rPr>
      </w:pPr>
      <w:r w:rsidRPr="00391641">
        <w:rPr>
          <w:rStyle w:val="bullet"/>
          <w:lang w:val="en-GB"/>
        </w:rPr>
        <w:t>•</w:t>
      </w:r>
      <w:r w:rsidRPr="00391641">
        <w:rPr>
          <w:lang w:val="en-GB"/>
        </w:rPr>
        <w:t xml:space="preserve"> This footnote was appended on 16 December. Mr Eizenstat has asked us to make clear that he was not talking about investor-state agreements in the interview and was only referring to the EU obligations if a successful suit was brought under WTO regulations. </w:t>
      </w:r>
    </w:p>
    <w:p w:rsidR="000369FD" w:rsidRDefault="000369FD" w:rsidP="000369FD">
      <w:pPr>
        <w:pStyle w:val="NormalWeb"/>
        <w:shd w:val="clear" w:color="auto" w:fill="FFFFFF"/>
        <w:jc w:val="both"/>
        <w:rPr>
          <w:lang w:val="en-GB"/>
        </w:rPr>
      </w:pPr>
    </w:p>
    <w:p w:rsidR="000369FD" w:rsidRDefault="000369FD" w:rsidP="000369FD">
      <w:pPr>
        <w:pStyle w:val="NormalWeb"/>
        <w:shd w:val="clear" w:color="auto" w:fill="FFFFFF"/>
        <w:jc w:val="both"/>
      </w:pPr>
      <w:r>
        <w:t xml:space="preserve">- </w:t>
      </w:r>
      <w:r w:rsidRPr="0041428B">
        <w:rPr>
          <w:u w:val="single"/>
        </w:rPr>
        <w:t>Libre comercio a hurtadillas</w:t>
      </w:r>
      <w:r>
        <w:t xml:space="preserve"> (El País - </w:t>
      </w:r>
      <w:r w:rsidRPr="0041428B">
        <w:rPr>
          <w:b/>
        </w:rPr>
        <w:t>21/4/14</w:t>
      </w:r>
      <w:r>
        <w:t>)</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Los beneficios de un posible tratado ni están garantizados ni se repartirían equitativamente</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(Por Jordi Vaquer)</w:t>
      </w:r>
    </w:p>
    <w:p w:rsidR="000369FD" w:rsidRDefault="000369FD" w:rsidP="000369FD">
      <w:pPr>
        <w:pStyle w:val="NormalWeb"/>
        <w:shd w:val="clear" w:color="auto" w:fill="FFFFFF"/>
        <w:jc w:val="both"/>
      </w:pPr>
    </w:p>
    <w:p w:rsidR="000369FD" w:rsidRPr="00391641" w:rsidRDefault="000369FD" w:rsidP="000369FD">
      <w:pPr>
        <w:pStyle w:val="NormalWeb"/>
        <w:shd w:val="clear" w:color="auto" w:fill="FFFFFF"/>
        <w:jc w:val="both"/>
        <w:rPr>
          <w:u w:val="single"/>
        </w:rPr>
      </w:pPr>
      <w:r>
        <w:t xml:space="preserve">La parálisis institucional durante el período electoral ha dejado en suspenso un </w:t>
      </w:r>
      <w:r>
        <w:rPr>
          <w:rStyle w:val="nfasis"/>
        </w:rPr>
        <w:t>dossier</w:t>
      </w:r>
      <w:r>
        <w:t xml:space="preserve"> de especial relevancia: las negociaciones sobre la Asociación Transatlántica de Comercio e Inversión (TTIP, en sus siglas en inglés). </w:t>
      </w:r>
      <w:r w:rsidRPr="00391641">
        <w:rPr>
          <w:u w:val="single"/>
        </w:rPr>
        <w:t xml:space="preserve">De hacerse efectiva, la Asociación permitiría el libre comercio entre la </w:t>
      </w:r>
      <w:hyperlink r:id="rId36" w:history="1">
        <w:r w:rsidRPr="00391641">
          <w:rPr>
            <w:rStyle w:val="Hipervnculo"/>
            <w:rFonts w:eastAsiaTheme="majorEastAsia"/>
            <w:color w:val="auto"/>
          </w:rPr>
          <w:t>Unión Europea (UE)</w:t>
        </w:r>
      </w:hyperlink>
      <w:r w:rsidRPr="00391641">
        <w:rPr>
          <w:u w:val="single"/>
        </w:rPr>
        <w:t xml:space="preserve"> y </w:t>
      </w:r>
      <w:hyperlink r:id="rId37" w:history="1">
        <w:r>
          <w:rPr>
            <w:rStyle w:val="Hipervnculo"/>
            <w:rFonts w:eastAsiaTheme="majorEastAsia"/>
            <w:color w:val="auto"/>
          </w:rPr>
          <w:t>Estados Unidos (EE</w:t>
        </w:r>
        <w:r w:rsidRPr="00391641">
          <w:rPr>
            <w:rStyle w:val="Hipervnculo"/>
            <w:rFonts w:eastAsiaTheme="majorEastAsia"/>
            <w:color w:val="auto"/>
          </w:rPr>
          <w:t>UU)</w:t>
        </w:r>
      </w:hyperlink>
      <w:r w:rsidRPr="00391641">
        <w:rPr>
          <w:u w:val="single"/>
        </w:rPr>
        <w:t xml:space="preserve">, dos economías que, juntas, representan el 60% del PIB mundial. La </w:t>
      </w:r>
      <w:hyperlink r:id="rId38" w:history="1">
        <w:r w:rsidRPr="00391641">
          <w:rPr>
            <w:rStyle w:val="Hipervnculo"/>
            <w:rFonts w:eastAsiaTheme="majorEastAsia"/>
            <w:color w:val="auto"/>
          </w:rPr>
          <w:t>Comisión Europea</w:t>
        </w:r>
      </w:hyperlink>
      <w:r w:rsidRPr="00391641">
        <w:rPr>
          <w:u w:val="single"/>
        </w:rPr>
        <w:t xml:space="preserve"> estima los beneficios agregados de este tratado en cientos de miles de millones para la UE, Estados Unidos y el resto del mundo. Tales beneficios, huelga decirlo, ni están garantizados ni se repartirían equitativamente. La polémica, sin embargo, no es tanto un enfrentamiento entre potenciales ganadores contra perdedores cuanto el cómo se está negociando: mientras la Comisión presume de más transparencia que nunca, grupos de consumidores y activistas denuncian un sistema opaco y sesgado a favor de los grandes intereses industriales.</w:t>
      </w:r>
    </w:p>
    <w:p w:rsidR="000369FD" w:rsidRPr="00391641" w:rsidRDefault="000369FD" w:rsidP="000369FD">
      <w:pPr>
        <w:pStyle w:val="NormalWeb"/>
        <w:shd w:val="clear" w:color="auto" w:fill="FFFFFF"/>
        <w:jc w:val="both"/>
      </w:pPr>
    </w:p>
    <w:p w:rsidR="000369FD" w:rsidRPr="00391641" w:rsidRDefault="000369FD" w:rsidP="000369FD">
      <w:pPr>
        <w:pStyle w:val="NormalWeb"/>
        <w:shd w:val="clear" w:color="auto" w:fill="FFFFFF"/>
        <w:jc w:val="both"/>
        <w:rPr>
          <w:u w:val="single"/>
        </w:rPr>
      </w:pPr>
      <w:r w:rsidRPr="00391641">
        <w:rPr>
          <w:u w:val="single"/>
        </w:rPr>
        <w:t xml:space="preserve">La Comisión, tras el voto del Parlamento Europeo contra </w:t>
      </w:r>
      <w:hyperlink r:id="rId39" w:history="1">
        <w:r w:rsidRPr="00391641">
          <w:rPr>
            <w:rStyle w:val="Hipervnculo"/>
            <w:rFonts w:eastAsiaTheme="majorEastAsia"/>
            <w:color w:val="auto"/>
          </w:rPr>
          <w:t>ACTA</w:t>
        </w:r>
      </w:hyperlink>
      <w:r w:rsidRPr="00391641">
        <w:rPr>
          <w:u w:val="single"/>
        </w:rPr>
        <w:t xml:space="preserve"> (el acuerdo de protección a la propiedad intelectual rechazado, tras una extraordinaria campaña ciudadana, por sus consecuencias sobre la libertad en internet), está a la defensiva ante las acusaciones de acceso privilegiado a la industria</w:t>
      </w:r>
      <w:r>
        <w:t xml:space="preserve">. </w:t>
      </w:r>
      <w:r w:rsidRPr="00391641">
        <w:rPr>
          <w:u w:val="single"/>
        </w:rPr>
        <w:t>Lo que ahora está en juego no es tanto el proteccionismo o los aranceles, cuanto otros resortes con los cuales las grandes empresas quieren modificar las reglas a su favor. Los mecanismos de arbitraje de disputas, por ejemplo, pueden servir para presionar a los estados que legislen contra sus intereses. La convergencia a la baja de los estándares ambientales, de seguridad, de privacidad, etc. de industrias tan cruciales como la del automóvil, la química, la farmacéutica, o las tecnologías de la información y de la comunicación deterioraría la protección ambiental y del consumidor en ambos lados del Atlántico norte, en particular en Europa. El resto del mundo, además, teme la emergencia de estándares globales que tendrán que cumplir para acceder a los dos mayores mercados del mundo, sin haber podido tener impacto alguno en su definición.</w:t>
      </w:r>
    </w:p>
    <w:p w:rsidR="000369FD" w:rsidRPr="00391641" w:rsidRDefault="000369FD" w:rsidP="000369FD">
      <w:pPr>
        <w:pStyle w:val="NormalWeb"/>
        <w:shd w:val="clear" w:color="auto" w:fill="FFFFFF"/>
        <w:jc w:val="both"/>
        <w:rPr>
          <w:u w:val="single"/>
        </w:rPr>
      </w:pPr>
    </w:p>
    <w:p w:rsidR="000369FD" w:rsidRPr="00391641" w:rsidRDefault="000369FD" w:rsidP="000369FD">
      <w:pPr>
        <w:pStyle w:val="NormalWeb"/>
        <w:shd w:val="clear" w:color="auto" w:fill="FFFFFF"/>
        <w:jc w:val="both"/>
        <w:rPr>
          <w:u w:val="single"/>
        </w:rPr>
      </w:pPr>
      <w:r w:rsidRPr="00391641">
        <w:rPr>
          <w:u w:val="single"/>
        </w:rPr>
        <w:t xml:space="preserve">Liberalización de un tercio del comercio mundial, creación de millones de empleos, reactivación de economías anémicas: las promesas del TTIP son superlativas, pero las posibilidades de no alcanzar un acuerdo o de no ratificación por un lado, o por ambos, son elevadas. En la UE, el despliegue de los peores tics del sistema europeo de negociaciones comerciales, en particular el acceso privilegiado de los </w:t>
      </w:r>
      <w:r w:rsidRPr="00391641">
        <w:rPr>
          <w:rStyle w:val="nfasis"/>
          <w:u w:val="single"/>
        </w:rPr>
        <w:t>lobbies</w:t>
      </w:r>
      <w:r w:rsidRPr="00391641">
        <w:rPr>
          <w:u w:val="single"/>
        </w:rPr>
        <w:t xml:space="preserve"> industriales, genera inquietud.</w:t>
      </w:r>
    </w:p>
    <w:p w:rsidR="000369FD" w:rsidRDefault="000369FD" w:rsidP="000369FD">
      <w:pPr>
        <w:pStyle w:val="NormalWeb"/>
        <w:shd w:val="clear" w:color="auto" w:fill="FFFFFF"/>
        <w:jc w:val="both"/>
      </w:pPr>
    </w:p>
    <w:p w:rsidR="000369FD" w:rsidRPr="00391641" w:rsidRDefault="000369FD" w:rsidP="000369FD">
      <w:pPr>
        <w:pStyle w:val="NormalWeb"/>
        <w:shd w:val="clear" w:color="auto" w:fill="FFFFFF"/>
        <w:jc w:val="both"/>
        <w:rPr>
          <w:u w:val="single"/>
        </w:rPr>
      </w:pPr>
      <w:r w:rsidRPr="00391641">
        <w:rPr>
          <w:u w:val="single"/>
        </w:rPr>
        <w:t>Dado el impacto de estas negociaciones sobre cuestiones que afectan a la ciudadanía (la seguridad alimentaria, el acceso a medicamentos, la privacidad en la Red, por ejemplo), la nueva Comisión haría bien en rectificar antes de que la sociedad civil, que aprendió las lecciones de la derrota del ACTA; un nuevo Parlamento Europeo que, muy probablemente, sea menos dúctil que el saliente; o algún Parlamento nacional le vuelvan a dejar en evidencia por su peculiar interpretación de lo que significa defender el interés general europeo.</w:t>
      </w:r>
    </w:p>
    <w:p w:rsidR="000369FD" w:rsidRPr="00391641" w:rsidRDefault="000369FD" w:rsidP="000369FD">
      <w:pPr>
        <w:pStyle w:val="NormalWeb"/>
        <w:shd w:val="clear" w:color="auto" w:fill="FFFFFF"/>
        <w:jc w:val="both"/>
        <w:rPr>
          <w:u w:val="single"/>
        </w:rPr>
      </w:pPr>
    </w:p>
    <w:p w:rsidR="000369FD" w:rsidRDefault="000369FD" w:rsidP="000369FD">
      <w:pPr>
        <w:pStyle w:val="NormalWeb"/>
        <w:shd w:val="clear" w:color="auto" w:fill="FFFFFF"/>
        <w:jc w:val="both"/>
      </w:pPr>
      <w:r>
        <w:t xml:space="preserve">- </w:t>
      </w:r>
      <w:r w:rsidRPr="0041428B">
        <w:rPr>
          <w:u w:val="single"/>
        </w:rPr>
        <w:t>Temas que vuelan bajo el radar ciudadano</w:t>
      </w:r>
      <w:r>
        <w:t xml:space="preserve"> (El País - </w:t>
      </w:r>
      <w:r w:rsidRPr="0041428B">
        <w:rPr>
          <w:b/>
        </w:rPr>
        <w:t>27/4/14</w:t>
      </w:r>
      <w:r>
        <w:t>)</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El Tratado comercial UE-EEUU se negocia en un falso ambiente de aburrimiento que aleja la atención europea</w:t>
      </w:r>
    </w:p>
    <w:p w:rsidR="000369FD" w:rsidRDefault="000369FD" w:rsidP="000369FD">
      <w:pPr>
        <w:pStyle w:val="NormalWeb"/>
        <w:shd w:val="clear" w:color="auto" w:fill="FFFFFF"/>
        <w:jc w:val="both"/>
      </w:pPr>
      <w:r>
        <w:lastRenderedPageBreak/>
        <w:t>(Por Soledad Gallego-Díaz)</w:t>
      </w:r>
    </w:p>
    <w:p w:rsidR="000369FD" w:rsidRDefault="000369FD" w:rsidP="000369FD">
      <w:pPr>
        <w:pStyle w:val="NormalWeb"/>
        <w:shd w:val="clear" w:color="auto" w:fill="FFFFFF"/>
        <w:jc w:val="both"/>
      </w:pPr>
    </w:p>
    <w:p w:rsidR="000369FD" w:rsidRPr="00391641" w:rsidRDefault="000369FD" w:rsidP="000369FD">
      <w:pPr>
        <w:pStyle w:val="NormalWeb"/>
        <w:shd w:val="clear" w:color="auto" w:fill="FFFFFF"/>
        <w:jc w:val="both"/>
        <w:rPr>
          <w:u w:val="single"/>
        </w:rPr>
      </w:pPr>
      <w:r w:rsidRPr="00391641">
        <w:rPr>
          <w:u w:val="single"/>
        </w:rPr>
        <w:t>Una de las cosas importantes que deberá hacer el próximo Parlamento Europeo será supervisar y aprobar el nuevo Tratado Transatlántico de Comercio e Inversiones (TTIP) entre la Unión Europea y Estados Unidos. Es uno de esos temas que vuelan por debajo del radar de los ciudadanos normales y que, sin embargo, terminan influyendo de una manera descomunal en su vida cotidiana.</w:t>
      </w:r>
    </w:p>
    <w:p w:rsidR="000369FD" w:rsidRPr="00391641" w:rsidRDefault="000369FD" w:rsidP="000369FD">
      <w:pPr>
        <w:pStyle w:val="NormalWeb"/>
        <w:shd w:val="clear" w:color="auto" w:fill="FFFFFF"/>
        <w:jc w:val="both"/>
        <w:rPr>
          <w:u w:val="single"/>
        </w:rPr>
      </w:pPr>
    </w:p>
    <w:p w:rsidR="000369FD" w:rsidRPr="00421C0E" w:rsidRDefault="000369FD" w:rsidP="000369FD">
      <w:pPr>
        <w:pStyle w:val="NormalWeb"/>
        <w:shd w:val="clear" w:color="auto" w:fill="FFFFFF"/>
        <w:jc w:val="both"/>
        <w:rPr>
          <w:u w:val="single"/>
        </w:rPr>
      </w:pPr>
      <w:r>
        <w:rPr>
          <w:u w:val="single"/>
        </w:rPr>
        <w:t>El Tratado entre la UE y EE</w:t>
      </w:r>
      <w:r w:rsidRPr="00421C0E">
        <w:rPr>
          <w:u w:val="single"/>
        </w:rPr>
        <w:t>UU supondrá el mayor acuerdo comercial del mundo (y de la historia) y tendrá, según los expertos, un fuerte impacto económico, social y medioambiental, pero es uno de esos acuerdos que se negocian no en secreto, pero sí en un falso ambiente de sordina y aburrimiento que aleja la atención de los ciudadanos, hasta que ya está en marcha y se empiezan a notar sus efectos, que en ese momento ya no son modificables.</w:t>
      </w:r>
    </w:p>
    <w:p w:rsidR="000369FD" w:rsidRPr="00421C0E" w:rsidRDefault="000369FD" w:rsidP="000369FD">
      <w:pPr>
        <w:pStyle w:val="NormalWeb"/>
        <w:shd w:val="clear" w:color="auto" w:fill="FFFFFF"/>
        <w:jc w:val="both"/>
        <w:rPr>
          <w:u w:val="single"/>
        </w:rPr>
      </w:pPr>
    </w:p>
    <w:p w:rsidR="000369FD" w:rsidRPr="00421C0E" w:rsidRDefault="000369FD" w:rsidP="000369FD">
      <w:pPr>
        <w:pStyle w:val="NormalWeb"/>
        <w:shd w:val="clear" w:color="auto" w:fill="FFFFFF"/>
        <w:jc w:val="both"/>
        <w:rPr>
          <w:u w:val="single"/>
        </w:rPr>
      </w:pPr>
      <w:r>
        <w:t xml:space="preserve">Las negociaciones, que se iniciaron en julio de 2013 y no terminarán antes de fin de año o de 2015, están siendo seguidas con mucha atención por todo tipo de grupos de influencia. </w:t>
      </w:r>
      <w:r w:rsidRPr="00421C0E">
        <w:rPr>
          <w:u w:val="single"/>
        </w:rPr>
        <w:t>Unos, los más potentes, que defienden el acuerdo con uñas y dientes, aseguran que tendrá efectos beneficiosos porque reactivará la economía y reducirá costes burocráticos.</w:t>
      </w:r>
    </w:p>
    <w:p w:rsidR="000369FD" w:rsidRPr="00421C0E" w:rsidRDefault="000369FD" w:rsidP="000369FD">
      <w:pPr>
        <w:pStyle w:val="NormalWeb"/>
        <w:shd w:val="clear" w:color="auto" w:fill="FFFFFF"/>
        <w:jc w:val="both"/>
        <w:rPr>
          <w:u w:val="single"/>
        </w:rPr>
      </w:pPr>
    </w:p>
    <w:p w:rsidR="000369FD" w:rsidRPr="00421C0E" w:rsidRDefault="000369FD" w:rsidP="000369FD">
      <w:pPr>
        <w:pStyle w:val="NormalWeb"/>
        <w:shd w:val="clear" w:color="auto" w:fill="FFFFFF"/>
        <w:jc w:val="both"/>
        <w:rPr>
          <w:u w:val="single"/>
        </w:rPr>
      </w:pPr>
      <w:r w:rsidRPr="00421C0E">
        <w:rPr>
          <w:u w:val="single"/>
        </w:rPr>
        <w:t>El ejemplo más clásico es el de los automóviles: en este momento, en EEUU y en la UE se exigen requisitos de seguridad muy parecidos, pero que difieren lo suficiente como para que no se puedan vender coches de un lado al otro del Atlántico sin tener que hacer modificaciones. El Tratado acabará con esos problemas.</w:t>
      </w:r>
    </w:p>
    <w:p w:rsidR="000369FD" w:rsidRDefault="000369FD" w:rsidP="000369FD">
      <w:pPr>
        <w:pStyle w:val="NormalWeb"/>
        <w:shd w:val="clear" w:color="auto" w:fill="FFFFFF"/>
        <w:jc w:val="both"/>
      </w:pPr>
    </w:p>
    <w:p w:rsidR="000369FD" w:rsidRPr="00421C0E" w:rsidRDefault="000369FD" w:rsidP="000369FD">
      <w:pPr>
        <w:pStyle w:val="NormalWeb"/>
        <w:shd w:val="clear" w:color="auto" w:fill="FFFFFF"/>
        <w:jc w:val="both"/>
        <w:rPr>
          <w:u w:val="single"/>
        </w:rPr>
      </w:pPr>
      <w:r w:rsidRPr="00421C0E">
        <w:rPr>
          <w:u w:val="single"/>
        </w:rPr>
        <w:t xml:space="preserve">Otros grupos, menos potentes, pero muy activos, se oponen al Tratado o, más frecuentemente, piden que se vigilen las negociaciones, porque temen que detrás de la promoción del comercio y de la prosperidad que se anuncian se escondan los intereses de poderosos grupos de presión industriales (relacionados con la técnica del </w:t>
      </w:r>
      <w:r w:rsidRPr="00421C0E">
        <w:rPr>
          <w:rStyle w:val="nfasis"/>
          <w:u w:val="single"/>
        </w:rPr>
        <w:t>fracking</w:t>
      </w:r>
      <w:r w:rsidRPr="00421C0E">
        <w:rPr>
          <w:u w:val="single"/>
        </w:rPr>
        <w:t xml:space="preserve"> y con los alimentos genéticamente modificados) y, sobre todo, financieros, que buscan sacudirse los intentos de regulación a través de fórmulas confusas.</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Eso es lo que deberá hacer el próximo Parlamento: vigilar. Se supone que la Comisión, que es el organismo que lleva a cabo la negociación, está también atenta, pero la Eurocámara es el instrumento por excelencia para intentar defender los intereses generales de los ciudadanos, y el Tratado entra de lleno en ese apartado.</w:t>
      </w:r>
    </w:p>
    <w:p w:rsidR="000369FD" w:rsidRDefault="000369FD" w:rsidP="000369FD">
      <w:pPr>
        <w:pStyle w:val="NormalWeb"/>
        <w:shd w:val="clear" w:color="auto" w:fill="FFFFFF"/>
        <w:jc w:val="both"/>
      </w:pPr>
    </w:p>
    <w:p w:rsidR="000369FD" w:rsidRPr="00421C0E" w:rsidRDefault="000369FD" w:rsidP="000369FD">
      <w:pPr>
        <w:pStyle w:val="NormalWeb"/>
        <w:shd w:val="clear" w:color="auto" w:fill="FFFFFF"/>
        <w:jc w:val="both"/>
        <w:rPr>
          <w:u w:val="single"/>
        </w:rPr>
      </w:pPr>
      <w:r w:rsidRPr="00421C0E">
        <w:rPr>
          <w:u w:val="single"/>
        </w:rPr>
        <w:t>Por el momento, ya se ha planteado una batalla importante. En diciembre de 2013, 200 expertos en medio ambiente, defensores de consumidores y juristas europeos hicieron pública una carta exigiendo que en el Tratado se eliminen los acuerdos sobre disputas entre inversores y Gobiernos. Parece algo muy técnico, pero no lo es, ni mucho menos. De lo que se trata es de impedir que un simple acuerdo comercial termine por entorpecer que los Gobiernos legislen con libertad en beneficio del bien común</w:t>
      </w:r>
      <w:r>
        <w:t xml:space="preserve">. </w:t>
      </w:r>
      <w:r w:rsidRPr="00421C0E">
        <w:rPr>
          <w:u w:val="single"/>
        </w:rPr>
        <w:t>El peligro es que se establezca que cuando una nueva ley reduzca indirectamente los beneficios de un gran conglomerado, este pueda demandar al Gobierno y obtener indemnizaciones tan disparatadas que disuadan del movimiento inicial.</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 xml:space="preserve">La batalla es tan seria que la Comisión ha terminado por lanzar lo que se llama “consulta pública”. Desde hace muy pocos días existe </w:t>
      </w:r>
      <w:hyperlink r:id="rId40" w:history="1">
        <w:r w:rsidRPr="00421C0E">
          <w:rPr>
            <w:rStyle w:val="Hipervnculo"/>
            <w:rFonts w:eastAsiaTheme="majorEastAsia"/>
            <w:color w:val="auto"/>
          </w:rPr>
          <w:t>una página web</w:t>
        </w:r>
      </w:hyperlink>
      <w:r>
        <w:t xml:space="preserve"> con un cuestionario para que </w:t>
      </w:r>
      <w:r>
        <w:lastRenderedPageBreak/>
        <w:t>los ciudadanos interesados en el tema planteen sus observaciones. “Esta iniciativa es parte de nuestros esfuerzos para que la negociación con Estados Unidos sea abierta y transparente”, asegura la Comisión, aunque la realidad es que la idea no partió de Bruselas y que el texto de la propia Comisión se esfuerza por restar importancia al asunto.</w:t>
      </w:r>
    </w:p>
    <w:p w:rsidR="000369FD" w:rsidRDefault="000369FD" w:rsidP="000369FD">
      <w:pPr>
        <w:pStyle w:val="NormalWeb"/>
        <w:shd w:val="clear" w:color="auto" w:fill="FFFFFF"/>
        <w:jc w:val="both"/>
      </w:pPr>
    </w:p>
    <w:p w:rsidR="000369FD" w:rsidRPr="00421C0E" w:rsidRDefault="000369FD" w:rsidP="000369FD">
      <w:pPr>
        <w:pStyle w:val="NormalWeb"/>
        <w:shd w:val="clear" w:color="auto" w:fill="FFFFFF"/>
        <w:jc w:val="both"/>
        <w:rPr>
          <w:u w:val="single"/>
        </w:rPr>
      </w:pPr>
      <w:r w:rsidRPr="00421C0E">
        <w:rPr>
          <w:u w:val="single"/>
        </w:rPr>
        <w:t>Transparencia va a hacer falta, y mucha, porque lo habitual en este tipo de negociaciones es que las posiciones más enfrentadas terminen encontrando solución en lo que se denomina el “triálogo”, un tipo de reuniones informales a tres bandas (funcionarios de la Comisión, del Consejo Europeo y miembros de la correspondiente comisión parlamentaria) que hace furor en Bruselas pese a que, en teoría, no existen. </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 xml:space="preserve">- </w:t>
      </w:r>
      <w:r w:rsidRPr="0041428B">
        <w:rPr>
          <w:u w:val="single"/>
        </w:rPr>
        <w:t>La relación transatlántica</w:t>
      </w:r>
      <w:r>
        <w:t xml:space="preserve"> (El País - </w:t>
      </w:r>
      <w:r w:rsidRPr="0041428B">
        <w:rPr>
          <w:b/>
        </w:rPr>
        <w:t>5/6/14</w:t>
      </w:r>
      <w:r>
        <w:t>)</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Europa debe estar junto a Estados Unidos en la primera línea del escenario mundial</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rPr>
          <w:lang w:val="en-US"/>
        </w:rPr>
      </w:pPr>
      <w:r w:rsidRPr="0041428B">
        <w:rPr>
          <w:lang w:val="en-US"/>
        </w:rPr>
        <w:t>(Por Matt Browne / Brian</w:t>
      </w:r>
      <w:r>
        <w:rPr>
          <w:lang w:val="en-US"/>
        </w:rPr>
        <w:t xml:space="preserve"> Katulis)</w:t>
      </w:r>
    </w:p>
    <w:p w:rsidR="000369FD" w:rsidRDefault="000369FD" w:rsidP="000369FD">
      <w:pPr>
        <w:pStyle w:val="NormalWeb"/>
        <w:shd w:val="clear" w:color="auto" w:fill="FFFFFF"/>
        <w:jc w:val="both"/>
        <w:rPr>
          <w:lang w:val="en-US"/>
        </w:rPr>
      </w:pP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1428B">
        <w:rPr>
          <w:rFonts w:ascii="Times New Roman" w:eastAsia="Times New Roman" w:hAnsi="Times New Roman" w:cs="Times New Roman"/>
          <w:sz w:val="24"/>
          <w:szCs w:val="24"/>
          <w:lang w:eastAsia="es-ES"/>
        </w:rPr>
        <w:t>El viaje del presidente Obama a Europa va a permitir desarrollar las ideas perfiladas en su discurso de hace unos días en West Point y planificar la renovación de la relación transatlántica, que ha sido la columna vertebral de la alianza de democracias liberales en el mundo y del orden de posguerra pero hoy afronta nuevos desafíos.</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1428B">
        <w:rPr>
          <w:rFonts w:ascii="Times New Roman" w:eastAsia="Times New Roman" w:hAnsi="Times New Roman" w:cs="Times New Roman"/>
          <w:sz w:val="24"/>
          <w:szCs w:val="24"/>
          <w:lang w:eastAsia="es-ES"/>
        </w:rPr>
        <w:t>Estos días se celebran los logros históricos de esa relación, con motivo del 70º aniversario del desembarco en Normandía. Los aliados liberaron el continente europeo del fascismo y el nazismo, lo defendieron del comunismo y crearon una estructura multilateral de economía y seguridad en beneficio del mundo libre. Tras la caída de la Unión Soviética, la alianza contribuyó a expandir y proteger las democracias liberales y a resolver el sangriento conflicto de los Balcanes.</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1428B">
        <w:rPr>
          <w:rFonts w:ascii="Times New Roman" w:eastAsia="Times New Roman" w:hAnsi="Times New Roman" w:cs="Times New Roman"/>
          <w:sz w:val="24"/>
          <w:szCs w:val="24"/>
          <w:lang w:eastAsia="es-ES"/>
        </w:rPr>
        <w:t>Pero los retos actuales surgen de la nueva dinámica creada en la pasada década: los atentados del 11-S y la amenaza de las redes terroristas, la guerra de Irak con todas sus consecuencias, la primera operación militar de la OTAN fuera de su territorio, en Afganistán, y la crisis financiera mundial de 2008. La ilusión de que habíamos llegado al fin de la historia se ha hecho añicos. El inexorable triunfo de la democracia liberal no es tan inexorable, sino que exige esfuerzo y vigilancia constantes.</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421C0E">
        <w:rPr>
          <w:rFonts w:ascii="Times New Roman" w:eastAsia="Times New Roman" w:hAnsi="Times New Roman" w:cs="Times New Roman"/>
          <w:sz w:val="24"/>
          <w:szCs w:val="24"/>
          <w:u w:val="single"/>
          <w:lang w:eastAsia="es-ES"/>
        </w:rPr>
        <w:t>En los últimos años, sin embargo, la alianza ha estado desatendida. La elección de Obama en 2008 hizo pensar en la posibilidad de transformar y reconstruir una tensa relación. Pero su interés en reevaluar las prioridades internacionales de Estados Unidos durante su primer mandato -simbolizadas en el giro asiático- sembraron la confusión y la inseguridad entre sus socios, en vez de tranquilizarles.</w:t>
      </w: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1428B">
        <w:rPr>
          <w:rFonts w:ascii="Times New Roman" w:eastAsia="Times New Roman" w:hAnsi="Times New Roman" w:cs="Times New Roman"/>
          <w:sz w:val="24"/>
          <w:szCs w:val="24"/>
          <w:lang w:eastAsia="es-ES"/>
        </w:rPr>
        <w:t>A ello contribuyó además que Europa estaba preocupada con su propia crisis de la deuda soberana y su futuro. Y, mientras nuestra alianza flaqueaba, otras regiones del mundo con valores y modelos de gobierno distintos a los nuestros fueron aumentando su importancia geopolítica y económica.</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421C0E">
        <w:rPr>
          <w:rFonts w:ascii="Times New Roman" w:eastAsia="Times New Roman" w:hAnsi="Times New Roman" w:cs="Times New Roman"/>
          <w:sz w:val="24"/>
          <w:szCs w:val="24"/>
          <w:u w:val="single"/>
          <w:lang w:eastAsia="es-ES"/>
        </w:rPr>
        <w:t xml:space="preserve">Ahora que digerimos los resultados de las recientes elecciones europeas y la comunidad transatlántica sigue afrontando las nuevas amenazas de Rusia en Ucrania y otros lugares, es el momento de tomar serias medidas para revivir la relación. La existencia de una </w:t>
      </w:r>
      <w:r w:rsidRPr="00421C0E">
        <w:rPr>
          <w:rFonts w:ascii="Times New Roman" w:eastAsia="Times New Roman" w:hAnsi="Times New Roman" w:cs="Times New Roman"/>
          <w:sz w:val="24"/>
          <w:szCs w:val="24"/>
          <w:u w:val="single"/>
          <w:lang w:eastAsia="es-ES"/>
        </w:rPr>
        <w:lastRenderedPageBreak/>
        <w:t>alianza transatlántica renovada es crucial para garantizar el predominio de nuestros valores en el mundo y la protección de nuestros intereses estratégicos y comerciales. Y la base deben ser tres pilares comunes: seguridad, prosperidad y diplomacia.</w:t>
      </w: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21C0E">
        <w:rPr>
          <w:rFonts w:ascii="Times New Roman" w:eastAsia="Times New Roman" w:hAnsi="Times New Roman" w:cs="Times New Roman"/>
          <w:sz w:val="24"/>
          <w:szCs w:val="24"/>
          <w:u w:val="single"/>
          <w:lang w:eastAsia="es-ES"/>
        </w:rPr>
        <w:t>Seguridad común</w:t>
      </w:r>
      <w:r w:rsidRPr="0041428B">
        <w:rPr>
          <w:rFonts w:ascii="Times New Roman" w:eastAsia="Times New Roman" w:hAnsi="Times New Roman" w:cs="Times New Roman"/>
          <w:sz w:val="24"/>
          <w:szCs w:val="24"/>
          <w:lang w:eastAsia="es-ES"/>
        </w:rPr>
        <w:t>: la cumbre de la OTAN en Bruselas confirmó la respuesta inicial de la alianza a Rusia; la que se celebrará en Gales en septiembre permitirá redefinir sus propósitos para el futuro. Hace unos días, Obama presentó su idea de que la OTAN debe dejar definitivamente atrás su mentalidad de la Guerra Fría y emprender nuevas misiones dentro y fuera de las fronteras de Europa. Si la OTAN quiere contribuir a fortalecer Estados fallidos y combatir el terrorismo, debe definir sus prioridades, repartir las cargas y racionalizar las capacidades y visiones estratégicas. Una de las pruebas más urgentes es el aumento de los peligros en Libia. Después de una audaz intervención que acabó con Gadafi, la misión ha quedado inacabada. Y la inestabilidad en el país es una amenaza contra la seguridad en el norte de África y el sur de Europa. La OTAN debe redoblar esfuerzos para ayudar a Libia a combatir el terrorismo y construir instituciones democráticas.</w:t>
      </w: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421C0E">
        <w:rPr>
          <w:rFonts w:ascii="Times New Roman" w:eastAsia="Times New Roman" w:hAnsi="Times New Roman" w:cs="Times New Roman"/>
          <w:sz w:val="24"/>
          <w:szCs w:val="24"/>
          <w:u w:val="single"/>
          <w:lang w:eastAsia="es-ES"/>
        </w:rPr>
        <w:t>Prosperidad común</w:t>
      </w:r>
      <w:r w:rsidRPr="0041428B">
        <w:rPr>
          <w:rFonts w:ascii="Times New Roman" w:eastAsia="Times New Roman" w:hAnsi="Times New Roman" w:cs="Times New Roman"/>
          <w:sz w:val="24"/>
          <w:szCs w:val="24"/>
          <w:lang w:eastAsia="es-ES"/>
        </w:rPr>
        <w:t xml:space="preserve">: el año pasado, Estados Unidos y Europa anunciaron la intención de formar una Asociación Transatlántica para el Comercio y la Inversión (ATCI, o TTIP en sus siglas en inglés), que sería el acuerdo de libre comercio más amplio de la historia y englobaría un tercio de la economía mundial. </w:t>
      </w:r>
      <w:r w:rsidRPr="00421C0E">
        <w:rPr>
          <w:rFonts w:ascii="Times New Roman" w:eastAsia="Times New Roman" w:hAnsi="Times New Roman" w:cs="Times New Roman"/>
          <w:sz w:val="24"/>
          <w:szCs w:val="24"/>
          <w:u w:val="single"/>
          <w:lang w:eastAsia="es-ES"/>
        </w:rPr>
        <w:t>El ATCI no tiene un camino fácil, porque en las dos partes existe preocupación por la repercusión del ascenso de los partidos antisistema en las elecciones europeas y el populismo económico anticomercio en Estados Unidos. Debemos resolver esas diferencias políticas internas, porque a las dos partes les interesa enormemente fijar las normas que regulen la futura economía mundial. Nuestros servicios e industrias solo podrán prosperar y proporcionar un empleo bien remunerado que permita combatir la desigualdad de rentas si trabajamos unidos para difundir y hacer respetar unas normas comunes en todo el mundo.</w:t>
      </w: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p>
    <w:p w:rsidR="000369FD"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r w:rsidRPr="00421C0E">
        <w:rPr>
          <w:rFonts w:ascii="Times New Roman" w:eastAsia="Times New Roman" w:hAnsi="Times New Roman" w:cs="Times New Roman"/>
          <w:sz w:val="24"/>
          <w:szCs w:val="24"/>
          <w:u w:val="single"/>
          <w:lang w:eastAsia="es-ES"/>
        </w:rPr>
        <w:t>Diplomacia común</w:t>
      </w:r>
      <w:r w:rsidRPr="0041428B">
        <w:rPr>
          <w:rFonts w:ascii="Times New Roman" w:eastAsia="Times New Roman" w:hAnsi="Times New Roman" w:cs="Times New Roman"/>
          <w:sz w:val="24"/>
          <w:szCs w:val="24"/>
          <w:lang w:eastAsia="es-ES"/>
        </w:rPr>
        <w:t>: a medida que adquieren más importancia los foros mundiales como el G-20 y las nuevas potencias como Brasil, India y China, Europa y Estados Unidos deben encontrar intereses comunes y definir una estrategia política y diplomática común para lograrlos. Tanto si queremos que las potencias emergentes asuman más responsabilidad en la seguridad y la prosperidad mundial como si deseamos que las instituciones de gobernanza mundial sean más eficaces, es indispensable contar con una estrategia transatlántica.</w:t>
      </w:r>
    </w:p>
    <w:p w:rsidR="000369FD" w:rsidRPr="0041428B" w:rsidRDefault="000369FD" w:rsidP="000369FD">
      <w:pPr>
        <w:shd w:val="clear" w:color="auto" w:fill="FFFFFF"/>
        <w:spacing w:after="0" w:line="240" w:lineRule="auto"/>
        <w:jc w:val="both"/>
        <w:rPr>
          <w:rFonts w:ascii="Times New Roman" w:eastAsia="Times New Roman" w:hAnsi="Times New Roman" w:cs="Times New Roman"/>
          <w:sz w:val="24"/>
          <w:szCs w:val="24"/>
          <w:lang w:eastAsia="es-ES"/>
        </w:rPr>
      </w:pPr>
    </w:p>
    <w:p w:rsidR="000369FD" w:rsidRPr="00421C0E" w:rsidRDefault="000369FD" w:rsidP="000369FD">
      <w:pPr>
        <w:shd w:val="clear" w:color="auto" w:fill="FFFFFF"/>
        <w:spacing w:after="0" w:line="240" w:lineRule="auto"/>
        <w:jc w:val="both"/>
        <w:rPr>
          <w:rFonts w:ascii="Times New Roman" w:eastAsia="Times New Roman" w:hAnsi="Times New Roman" w:cs="Times New Roman"/>
          <w:sz w:val="24"/>
          <w:szCs w:val="24"/>
          <w:u w:val="single"/>
          <w:lang w:eastAsia="es-ES"/>
        </w:rPr>
      </w:pPr>
      <w:r w:rsidRPr="00421C0E">
        <w:rPr>
          <w:rFonts w:ascii="Times New Roman" w:eastAsia="Times New Roman" w:hAnsi="Times New Roman" w:cs="Times New Roman"/>
          <w:sz w:val="24"/>
          <w:szCs w:val="24"/>
          <w:u w:val="single"/>
          <w:lang w:eastAsia="es-ES"/>
        </w:rPr>
        <w:t>Como afirmó el presidente Obama la semana pasada, “Estados Unidos debe estar siempre en primera línea en el escenario mundial”. Pero Europa y Estados Unidos pueden conseguir más cosas si lo hacen juntos. Debemos ocupar la primera línea los dos. Si no, nadie más lo hará.</w:t>
      </w:r>
    </w:p>
    <w:p w:rsidR="000369FD" w:rsidRDefault="000369FD" w:rsidP="000369FD">
      <w:pPr>
        <w:shd w:val="clear" w:color="auto" w:fill="FFFFFF"/>
        <w:spacing w:line="240" w:lineRule="auto"/>
        <w:jc w:val="both"/>
        <w:rPr>
          <w:rFonts w:ascii="Times New Roman" w:eastAsia="Times New Roman" w:hAnsi="Times New Roman" w:cs="Times New Roman"/>
          <w:b/>
          <w:bCs/>
          <w:sz w:val="24"/>
          <w:szCs w:val="24"/>
          <w:u w:val="single"/>
          <w:lang w:eastAsia="es-ES"/>
        </w:rPr>
      </w:pP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bCs/>
          <w:sz w:val="24"/>
          <w:szCs w:val="24"/>
          <w:lang w:eastAsia="es-ES"/>
        </w:rPr>
        <w:t>(</w:t>
      </w:r>
      <w:r w:rsidRPr="0041428B">
        <w:rPr>
          <w:rFonts w:ascii="Times New Roman" w:eastAsia="Times New Roman" w:hAnsi="Times New Roman" w:cs="Times New Roman"/>
          <w:bCs/>
          <w:sz w:val="24"/>
          <w:szCs w:val="24"/>
          <w:lang w:eastAsia="es-ES"/>
        </w:rPr>
        <w:t>Matt Browne</w:t>
      </w:r>
      <w:r w:rsidRPr="0041428B">
        <w:rPr>
          <w:rFonts w:ascii="Times New Roman" w:eastAsia="Times New Roman" w:hAnsi="Times New Roman" w:cs="Times New Roman"/>
          <w:sz w:val="24"/>
          <w:szCs w:val="24"/>
          <w:lang w:eastAsia="es-ES"/>
        </w:rPr>
        <w:t xml:space="preserve"> y </w:t>
      </w:r>
      <w:r w:rsidRPr="0041428B">
        <w:rPr>
          <w:rFonts w:ascii="Times New Roman" w:eastAsia="Times New Roman" w:hAnsi="Times New Roman" w:cs="Times New Roman"/>
          <w:bCs/>
          <w:sz w:val="24"/>
          <w:szCs w:val="24"/>
          <w:lang w:eastAsia="es-ES"/>
        </w:rPr>
        <w:t>Brian Katulis</w:t>
      </w:r>
      <w:r w:rsidRPr="0041428B">
        <w:rPr>
          <w:rFonts w:ascii="Times New Roman" w:eastAsia="Times New Roman" w:hAnsi="Times New Roman" w:cs="Times New Roman"/>
          <w:sz w:val="24"/>
          <w:szCs w:val="24"/>
          <w:lang w:eastAsia="es-ES"/>
        </w:rPr>
        <w:t xml:space="preserve"> son investigadores titulares en </w:t>
      </w:r>
      <w:r>
        <w:rPr>
          <w:rFonts w:ascii="Times New Roman" w:eastAsia="Times New Roman" w:hAnsi="Times New Roman" w:cs="Times New Roman"/>
          <w:sz w:val="24"/>
          <w:szCs w:val="24"/>
          <w:lang w:eastAsia="es-ES"/>
        </w:rPr>
        <w:t>el Center for American Progress)</w:t>
      </w:r>
    </w:p>
    <w:p w:rsidR="000369FD" w:rsidRPr="0041428B"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w:t>
      </w:r>
      <w:r w:rsidRPr="00611B92">
        <w:rPr>
          <w:rFonts w:ascii="Times New Roman" w:eastAsia="Times New Roman" w:hAnsi="Times New Roman" w:cs="Times New Roman"/>
          <w:sz w:val="24"/>
          <w:szCs w:val="24"/>
          <w:u w:val="single"/>
          <w:lang w:eastAsia="es-ES"/>
        </w:rPr>
        <w:t xml:space="preserve">Efecto </w:t>
      </w:r>
      <w:r>
        <w:rPr>
          <w:rFonts w:ascii="Times New Roman" w:eastAsia="Times New Roman" w:hAnsi="Times New Roman" w:cs="Times New Roman"/>
          <w:sz w:val="24"/>
          <w:szCs w:val="24"/>
          <w:u w:val="single"/>
          <w:lang w:eastAsia="es-ES"/>
        </w:rPr>
        <w:t>Drácula”</w:t>
      </w:r>
      <w:r w:rsidRPr="00611B92">
        <w:rPr>
          <w:rFonts w:ascii="Times New Roman" w:eastAsia="Times New Roman" w:hAnsi="Times New Roman" w:cs="Times New Roman"/>
          <w:sz w:val="24"/>
          <w:szCs w:val="24"/>
          <w:u w:val="single"/>
          <w:lang w:eastAsia="es-ES"/>
        </w:rPr>
        <w:t xml:space="preserve"> transatlántico</w:t>
      </w:r>
      <w:r>
        <w:rPr>
          <w:rFonts w:ascii="Times New Roman" w:eastAsia="Times New Roman" w:hAnsi="Times New Roman" w:cs="Times New Roman"/>
          <w:sz w:val="24"/>
          <w:szCs w:val="24"/>
          <w:lang w:eastAsia="es-ES"/>
        </w:rPr>
        <w:t xml:space="preserve"> (El País - </w:t>
      </w:r>
      <w:r w:rsidRPr="00611B92">
        <w:rPr>
          <w:rFonts w:ascii="Times New Roman" w:eastAsia="Times New Roman" w:hAnsi="Times New Roman" w:cs="Times New Roman"/>
          <w:b/>
          <w:sz w:val="24"/>
          <w:szCs w:val="24"/>
          <w:lang w:eastAsia="es-ES"/>
        </w:rPr>
        <w:t>16/6/14</w:t>
      </w:r>
      <w:r>
        <w:rPr>
          <w:rFonts w:ascii="Times New Roman" w:eastAsia="Times New Roman" w:hAnsi="Times New Roman" w:cs="Times New Roman"/>
          <w:sz w:val="24"/>
          <w:szCs w:val="24"/>
          <w:lang w:eastAsia="es-ES"/>
        </w:rPr>
        <w:t>)</w:t>
      </w:r>
    </w:p>
    <w:p w:rsidR="000369FD" w:rsidRPr="0041428B"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41428B">
        <w:rPr>
          <w:rFonts w:ascii="Times New Roman" w:eastAsia="Times New Roman" w:hAnsi="Times New Roman" w:cs="Times New Roman"/>
          <w:sz w:val="24"/>
          <w:szCs w:val="24"/>
          <w:lang w:eastAsia="es-ES"/>
        </w:rPr>
        <w:t xml:space="preserve">El secretismo en la </w:t>
      </w:r>
      <w:r>
        <w:rPr>
          <w:rFonts w:ascii="Times New Roman" w:eastAsia="Times New Roman" w:hAnsi="Times New Roman" w:cs="Times New Roman"/>
          <w:sz w:val="24"/>
          <w:szCs w:val="24"/>
          <w:lang w:eastAsia="es-ES"/>
        </w:rPr>
        <w:t>negociación comercial entre EE</w:t>
      </w:r>
      <w:r w:rsidRPr="0041428B">
        <w:rPr>
          <w:rFonts w:ascii="Times New Roman" w:eastAsia="Times New Roman" w:hAnsi="Times New Roman" w:cs="Times New Roman"/>
          <w:sz w:val="24"/>
          <w:szCs w:val="24"/>
          <w:lang w:eastAsia="es-ES"/>
        </w:rPr>
        <w:t>UU y la U</w:t>
      </w:r>
      <w:r>
        <w:rPr>
          <w:rFonts w:ascii="Times New Roman" w:eastAsia="Times New Roman" w:hAnsi="Times New Roman" w:cs="Times New Roman"/>
          <w:sz w:val="24"/>
          <w:szCs w:val="24"/>
          <w:lang w:eastAsia="es-ES"/>
        </w:rPr>
        <w:t>E genera todo tipo de sospechas</w:t>
      </w: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 xml:space="preserve">(Por </w:t>
      </w:r>
      <w:r w:rsidRPr="0041428B">
        <w:rPr>
          <w:rFonts w:ascii="Times New Roman" w:eastAsia="Times New Roman" w:hAnsi="Times New Roman" w:cs="Times New Roman"/>
          <w:sz w:val="24"/>
          <w:szCs w:val="24"/>
          <w:lang w:eastAsia="es-ES"/>
        </w:rPr>
        <w:t>Joaquín Est</w:t>
      </w:r>
      <w:r>
        <w:rPr>
          <w:rFonts w:ascii="Times New Roman" w:eastAsia="Times New Roman" w:hAnsi="Times New Roman" w:cs="Times New Roman"/>
          <w:sz w:val="24"/>
          <w:szCs w:val="24"/>
          <w:lang w:eastAsia="es-ES"/>
        </w:rPr>
        <w:t>efanía)</w:t>
      </w:r>
    </w:p>
    <w:p w:rsidR="000369FD" w:rsidRPr="00421C0E" w:rsidRDefault="000369FD" w:rsidP="000369FD">
      <w:pPr>
        <w:pStyle w:val="NormalWeb"/>
        <w:shd w:val="clear" w:color="auto" w:fill="FFFFFF"/>
        <w:jc w:val="both"/>
      </w:pPr>
      <w:r w:rsidRPr="00421C0E">
        <w:rPr>
          <w:u w:val="single"/>
        </w:rPr>
        <w:t xml:space="preserve">El sector financiero ha quedado hasta ahora fuera de las negociaciones que desde hace más de un año mantienen EEUU y la Unión Europea (UE) para firmar un </w:t>
      </w:r>
      <w:hyperlink r:id="rId41" w:history="1">
        <w:r w:rsidRPr="00421C0E">
          <w:rPr>
            <w:rStyle w:val="Hipervnculo"/>
            <w:rFonts w:eastAsiaTheme="majorEastAsia"/>
            <w:color w:val="auto"/>
          </w:rPr>
          <w:t>Acuerdo Transatlántico para el Comercio y la Inversión</w:t>
        </w:r>
      </w:hyperlink>
      <w:r w:rsidRPr="00421C0E">
        <w:rPr>
          <w:u w:val="single"/>
        </w:rPr>
        <w:t xml:space="preserve"> (TTIP en sus siglas inglesas).</w:t>
      </w:r>
      <w:r w:rsidRPr="00421C0E">
        <w:t xml:space="preserve"> Lo dicen los documentos que han aparecido en la red filtrala.org (herramienta de filtración ciudadana que hace posible que se conozcan documentos secretos oficiales) y que han sido reproducidos por </w:t>
      </w:r>
      <w:r w:rsidRPr="00421C0E">
        <w:rPr>
          <w:rStyle w:val="nfasis"/>
        </w:rPr>
        <w:t>eldiario.es</w:t>
      </w:r>
      <w:r w:rsidRPr="00421C0E">
        <w:t xml:space="preserve"> y, posteriormente, por el </w:t>
      </w:r>
      <w:r w:rsidRPr="00421C0E">
        <w:rPr>
          <w:rStyle w:val="nfasis"/>
        </w:rPr>
        <w:t>Financial Times</w:t>
      </w:r>
      <w:r w:rsidRPr="00421C0E">
        <w:t>.</w:t>
      </w:r>
    </w:p>
    <w:p w:rsidR="000369FD" w:rsidRPr="00421C0E" w:rsidRDefault="000369FD" w:rsidP="000369FD">
      <w:pPr>
        <w:pStyle w:val="NormalWeb"/>
        <w:shd w:val="clear" w:color="auto" w:fill="FFFFFF"/>
        <w:jc w:val="both"/>
      </w:pPr>
    </w:p>
    <w:p w:rsidR="000369FD" w:rsidRPr="00421C0E" w:rsidRDefault="000369FD" w:rsidP="000369FD">
      <w:pPr>
        <w:pStyle w:val="NormalWeb"/>
        <w:shd w:val="clear" w:color="auto" w:fill="FFFFFF"/>
        <w:jc w:val="both"/>
      </w:pPr>
      <w:r w:rsidRPr="00421C0E">
        <w:t xml:space="preserve">¿Es posible que en una negociación en la que entra casi todo se aísle a la banca y a la industria financiera, que permanece con su </w:t>
      </w:r>
      <w:r w:rsidRPr="00421C0E">
        <w:rPr>
          <w:rStyle w:val="nfasis"/>
        </w:rPr>
        <w:t>statu quo</w:t>
      </w:r>
      <w:r w:rsidRPr="00421C0E">
        <w:t>? Nadie lo puede confirmar ni desmentir, más allá de los documentos citados, dada la enorme opacidad de unas conversaciones de las que ni siquiera se conoce su mandato negociador. Este secretismo es tan agresivo para unos ciudadanos que no saben cómo les van a afectar los contenidos del TTIP, que le podría ocurrir lo que al fallecido Acuerdo Multilateral de Inversiones (AMI) en 1998. El AMI era un tratado comercial que pretendía dotar a las empresas de más derechos y menos deberes cuando invirtiesen en el extranjero. Su absoluta falta de transparencia lo desintegró antes de nacer, ante las protestas por todo el mundo.</w:t>
      </w:r>
    </w:p>
    <w:p w:rsidR="000369FD" w:rsidRPr="00421C0E" w:rsidRDefault="000369FD" w:rsidP="000369FD">
      <w:pPr>
        <w:pStyle w:val="NormalWeb"/>
        <w:shd w:val="clear" w:color="auto" w:fill="FFFFFF"/>
        <w:jc w:val="both"/>
      </w:pPr>
    </w:p>
    <w:p w:rsidR="000369FD" w:rsidRPr="00421C0E" w:rsidRDefault="000369FD" w:rsidP="000369FD">
      <w:pPr>
        <w:pStyle w:val="NormalWeb"/>
        <w:shd w:val="clear" w:color="auto" w:fill="FFFFFF"/>
        <w:jc w:val="both"/>
        <w:rPr>
          <w:u w:val="single"/>
        </w:rPr>
      </w:pPr>
      <w:r w:rsidRPr="00421C0E">
        <w:rPr>
          <w:u w:val="single"/>
        </w:rPr>
        <w:t xml:space="preserve">Si el TTIP avanza, habrá de ser aprobado por el Parlamento Europeo. Por ello es sorprendente que, con algunas excepciones, haya ocupado un papel tan secundario en la campaña electoral al Europarlamento. Esta hubiera sido la ocasión para alumbrar aquello de lo que hablan los funcionarios de la Comisión Europea y sus homólogos del Tesoro americano, comprobar qué reparto de intereses se negocian, y si es cierto lo que declaró Obama: se trata de un acuerdo que “podría aumentar nuestras exportaciones en decenas de miles de millones de dólares, inducir a la creación de cientos de miles de puestos de trabajo suplementarios en EEUU y en la UE, y estimular el crecimiento en ambas orillas del Atlántico”. Sin embargo, el TTIP soporta la analogía de lo que alguien ha denominado el </w:t>
      </w:r>
      <w:r w:rsidRPr="00421C0E">
        <w:rPr>
          <w:rStyle w:val="nfasis"/>
          <w:u w:val="single"/>
        </w:rPr>
        <w:t>efecto Drácula</w:t>
      </w:r>
      <w:r w:rsidRPr="00421C0E">
        <w:rPr>
          <w:u w:val="single"/>
        </w:rPr>
        <w:t>, siguiendo la versión cinematográfica (Coppola) de la novela de Bram Stoker, según la cual Drácula es un vampiro que no soporta ver la luz del sol.</w:t>
      </w:r>
    </w:p>
    <w:p w:rsidR="000369FD" w:rsidRPr="00421C0E"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rPr>
          <w:u w:val="single"/>
        </w:rPr>
      </w:pPr>
      <w:r w:rsidRPr="00DF3A9C">
        <w:rPr>
          <w:u w:val="single"/>
        </w:rPr>
        <w:t>El TTIP debe estar concluido el año que viene y crear la zona de libre comercio más importante del mundo. Entre los dos bloques absorben casi la mitad del PIB global y sus relaciones comerciales suponen un tercio de las transacciones mundiales. Asimilaría a unos 800 millones de consumidores y trataría de eliminar las últimas barreras arancelarias (en general, ya muy bajas) pero también de reducir las no arancelarias, las barreras normativas, regulatorias (derechos laborales, medioambientales, de seguridad, etc.).</w:t>
      </w:r>
    </w:p>
    <w:p w:rsidR="000369FD" w:rsidRPr="00DF3A9C"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rPr>
          <w:u w:val="single"/>
        </w:rPr>
      </w:pPr>
      <w:r w:rsidRPr="00DF3A9C">
        <w:rPr>
          <w:u w:val="single"/>
        </w:rPr>
        <w:t>Habrá que suspender el juicio definitivo sobre las bondades del TTIP hasta que se conozca la letra pequeña del mismo. La experiencia de otras negociaciones (por ejemplo, la del acuerdo entre EEUU, Canadá y México, de 1994) indica que los consensos se logran en el mínimo común denominador de los asuntos, por lo que se firman a la baja. En general, los aspectos regulatorios europeos suelen ser superiores a los americanos excepto, precisamente, en el sector financiero. A raíz de la crisis financiera de 2008, EEUU adoptó una norma (la ley Dodd-Frank) más exigente -sobre todo cuando acabe de aplicarse- que la legislación europea: refuerzo de la protección de los inversores; fuerte supervisión de las firmas bancarias; supervisión de los activos susceptibles de convertirse en productos tóxicos, tales como las titulizaciones y los derivados; vigilancia de las agencias de calificación de riesgos; no más bancos demasiado grandes para caer, con su cierre y liquidación ordenada en caso de problemas, sin que se haya de acudir al dinero de los contribuyentes,…</w:t>
      </w:r>
    </w:p>
    <w:p w:rsidR="000369FD" w:rsidRPr="00421C0E" w:rsidRDefault="000369FD" w:rsidP="000369FD">
      <w:pPr>
        <w:pStyle w:val="NormalWeb"/>
        <w:shd w:val="clear" w:color="auto" w:fill="FFFFFF"/>
        <w:jc w:val="both"/>
      </w:pPr>
    </w:p>
    <w:p w:rsidR="000369FD" w:rsidRPr="00421C0E" w:rsidRDefault="000369FD" w:rsidP="000369FD">
      <w:pPr>
        <w:pStyle w:val="NormalWeb"/>
        <w:shd w:val="clear" w:color="auto" w:fill="FFFFFF"/>
        <w:jc w:val="both"/>
      </w:pPr>
      <w:r w:rsidRPr="00DF3A9C">
        <w:rPr>
          <w:u w:val="single"/>
        </w:rPr>
        <w:t>El TTIP también tiene su aspecto geopolítico: una alianza euroamericana compensaría la extraordinaria pujanza asiática, que en pocos años tendrá más PIB, más gasto militar, más inversión en tecnología y, por supuesto, más población</w:t>
      </w:r>
      <w:r w:rsidRPr="00421C0E">
        <w:t>. Y una rémora que ha enquistado por algún tiempo las negociaciones: los papeles hechos públicos por Edward Snowden que demostraban el espionaje de la Agencia de Seguridad Americana a decenas de millones de ciudadanos, entre ellos los líderes políticos europeos aliados de Washington.</w:t>
      </w:r>
    </w:p>
    <w:p w:rsidR="000369FD" w:rsidRDefault="000369FD" w:rsidP="000369FD">
      <w:pPr>
        <w:pStyle w:val="NormalWeb"/>
        <w:shd w:val="clear" w:color="auto" w:fill="FFFFFF"/>
        <w:jc w:val="both"/>
      </w:pPr>
      <w:r>
        <w:t> </w:t>
      </w:r>
    </w:p>
    <w:p w:rsidR="000369FD" w:rsidRPr="00611B9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611B92">
        <w:rPr>
          <w:rFonts w:ascii="Times New Roman" w:eastAsia="Times New Roman" w:hAnsi="Times New Roman" w:cs="Times New Roman"/>
          <w:sz w:val="24"/>
          <w:szCs w:val="24"/>
          <w:u w:val="single"/>
          <w:lang w:eastAsia="es-ES"/>
        </w:rPr>
        <w:t>Europa alboroza a Wall Street</w:t>
      </w:r>
      <w:r>
        <w:rPr>
          <w:rFonts w:ascii="Times New Roman" w:eastAsia="Times New Roman" w:hAnsi="Times New Roman" w:cs="Times New Roman"/>
          <w:sz w:val="24"/>
          <w:szCs w:val="24"/>
          <w:lang w:eastAsia="es-ES"/>
        </w:rPr>
        <w:t xml:space="preserve"> (El País - </w:t>
      </w:r>
      <w:r w:rsidRPr="00611B92">
        <w:rPr>
          <w:rFonts w:ascii="Times New Roman" w:eastAsia="Times New Roman" w:hAnsi="Times New Roman" w:cs="Times New Roman"/>
          <w:b/>
          <w:sz w:val="24"/>
          <w:szCs w:val="24"/>
          <w:lang w:eastAsia="es-ES"/>
        </w:rPr>
        <w:t>6/7/14</w:t>
      </w:r>
      <w:r>
        <w:rPr>
          <w:rFonts w:ascii="Times New Roman" w:eastAsia="Times New Roman" w:hAnsi="Times New Roman" w:cs="Times New Roman"/>
          <w:sz w:val="24"/>
          <w:szCs w:val="24"/>
          <w:lang w:eastAsia="es-ES"/>
        </w:rPr>
        <w:t>)</w:t>
      </w:r>
    </w:p>
    <w:p w:rsidR="000369FD" w:rsidRPr="00611B9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El Tratado EE</w:t>
      </w:r>
      <w:r w:rsidRPr="00611B92">
        <w:rPr>
          <w:rFonts w:ascii="Times New Roman" w:eastAsia="Times New Roman" w:hAnsi="Times New Roman" w:cs="Times New Roman"/>
          <w:sz w:val="24"/>
          <w:szCs w:val="24"/>
          <w:lang w:eastAsia="es-ES"/>
        </w:rPr>
        <w:t>UU-UE sugiere que los bancos tienen más poder en Eur</w:t>
      </w:r>
      <w:r>
        <w:rPr>
          <w:rFonts w:ascii="Times New Roman" w:eastAsia="Times New Roman" w:hAnsi="Times New Roman" w:cs="Times New Roman"/>
          <w:sz w:val="24"/>
          <w:szCs w:val="24"/>
          <w:lang w:eastAsia="es-ES"/>
        </w:rPr>
        <w:t>opa que en USA</w:t>
      </w: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w:t>
      </w:r>
      <w:r w:rsidRPr="00611B92">
        <w:rPr>
          <w:rFonts w:ascii="Times New Roman" w:eastAsia="Times New Roman" w:hAnsi="Times New Roman" w:cs="Times New Roman"/>
          <w:sz w:val="24"/>
          <w:szCs w:val="24"/>
          <w:lang w:eastAsia="es-ES"/>
        </w:rPr>
        <w:t>Soledad Gall</w:t>
      </w:r>
      <w:r>
        <w:rPr>
          <w:rFonts w:ascii="Times New Roman" w:eastAsia="Times New Roman" w:hAnsi="Times New Roman" w:cs="Times New Roman"/>
          <w:sz w:val="24"/>
          <w:szCs w:val="24"/>
          <w:lang w:eastAsia="es-ES"/>
        </w:rPr>
        <w:t>ego-Díaz)</w:t>
      </w:r>
    </w:p>
    <w:p w:rsidR="000369FD" w:rsidRPr="00DF3A9C" w:rsidRDefault="000369FD" w:rsidP="000369FD">
      <w:pPr>
        <w:pStyle w:val="NormalWeb"/>
        <w:shd w:val="clear" w:color="auto" w:fill="FFFFFF"/>
        <w:jc w:val="both"/>
        <w:rPr>
          <w:u w:val="single"/>
        </w:rPr>
      </w:pPr>
      <w:r w:rsidRPr="00DF3A9C">
        <w:rPr>
          <w:u w:val="single"/>
        </w:rPr>
        <w:t>¿Tiene más poder el mundo financiero en Europa que en Estados Unidos? ¿Mandan más los grandes bancos en el Eurogrupo que Wall Street en la Casa Blanca? Algunos expertos creen que sí y que la mejor prueba están siendo las reservadas negociaciones que se llevan a cabo para el futuro Tratado Trasatlántico de Comercio e Inversiones, es decir, el acuerdo económico más importante nunca firmado entre Estados Unidos y la Unión Europea. De hecho, la posición de la UE respecto a las normas comunes de regulación financiera es casi siempre acogida con alborozo en Wall Street, aseguran los analistas del Corporate Europe Observatory (CEO), una ONG holandesa, especializada en el control de las grandes empresas.</w:t>
      </w:r>
    </w:p>
    <w:p w:rsidR="000369FD" w:rsidRDefault="000369FD" w:rsidP="000369FD">
      <w:pPr>
        <w:pStyle w:val="NormalWeb"/>
        <w:shd w:val="clear" w:color="auto" w:fill="FFFFFF"/>
        <w:jc w:val="both"/>
      </w:pPr>
    </w:p>
    <w:p w:rsidR="000369FD" w:rsidRPr="00DF3A9C" w:rsidRDefault="000369FD" w:rsidP="000369FD">
      <w:pPr>
        <w:pStyle w:val="NormalWeb"/>
        <w:shd w:val="clear" w:color="auto" w:fill="FFFFFF"/>
        <w:jc w:val="both"/>
        <w:rPr>
          <w:u w:val="single"/>
        </w:rPr>
      </w:pPr>
      <w:r w:rsidRPr="00DF3A9C">
        <w:rPr>
          <w:u w:val="single"/>
        </w:rPr>
        <w:t>Los responsables del CEO estiman que las propuestas europeas debilitarán los intentos de poner en marcha una legislación estricta para el control de los bancos y de sus actividades financieras, que dificulte el estallido de crisis similares, o peores, a la de 2008</w:t>
      </w:r>
      <w:r>
        <w:t xml:space="preserve">. Su análisis se basa en </w:t>
      </w:r>
      <w:r w:rsidRPr="00DF3A9C">
        <w:rPr>
          <w:u w:val="single"/>
        </w:rPr>
        <w:t xml:space="preserve">un documento titulado </w:t>
      </w:r>
      <w:r w:rsidRPr="00DF3A9C">
        <w:rPr>
          <w:rStyle w:val="nfasis"/>
          <w:u w:val="single"/>
        </w:rPr>
        <w:t>Regulatory Co-operation on Financial Regulation in TTIP</w:t>
      </w:r>
      <w:r w:rsidRPr="00DF3A9C">
        <w:rPr>
          <w:u w:val="single"/>
        </w:rPr>
        <w:t>, elaborado por los servicios de la UE y filtrado esta semana (http://corporateeurope.org)</w:t>
      </w:r>
      <w:r>
        <w:t xml:space="preserve">, que, a su juicio, muestra que </w:t>
      </w:r>
      <w:r w:rsidRPr="00DF3A9C">
        <w:rPr>
          <w:u w:val="single"/>
        </w:rPr>
        <w:t>los negociadores de la UE están más preocupados por defender los puros intereses de los bancos europeos que por acordar una regulación y supervisión adecuada, que defienda a los usuarios y a la sociedad en su conjunto. “La Unión Europea está a punto de concluir su agenda de reformas, consecuencia de la crisis de 2008, con una serie de reglas que son más débiles que las que ha puesto en marcha Estados Unidos en aspectos clave, como la regulación bancaria”, aseguran.</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Se trata de una negociación extremadamente complicada, porque la Unión tiene la obligación de conseguir que los bancos europeos no resulten perjudicados a la hora de operar en Estados Unidos. Pero una cosa es garantizar que no son discriminados, y otra, intentar que el Tratado impulse normas de supervisión y solvencia financiera más relajadas, influidos, o mejor dicho, atrapados, por el formidable grupo de presión que forman los grandes bancos europeos.</w:t>
      </w:r>
    </w:p>
    <w:p w:rsidR="000369FD" w:rsidRPr="00DF3A9C" w:rsidRDefault="000369FD" w:rsidP="000369FD">
      <w:pPr>
        <w:pStyle w:val="NormalWeb"/>
        <w:shd w:val="clear" w:color="auto" w:fill="FFFFFF"/>
        <w:jc w:val="both"/>
        <w:rPr>
          <w:u w:val="single"/>
        </w:rPr>
      </w:pPr>
      <w:r>
        <w:br/>
      </w:r>
      <w:r w:rsidRPr="00DF3A9C">
        <w:rPr>
          <w:u w:val="single"/>
        </w:rPr>
        <w:t>Los expertos ponen un ejemplo: Estados Unidos quiere que los bancos que operen en su país informen a la Comisión de Comercio en Futuros (CFTC, en sus siglas inglesas) sobre las operaciones derivadas realizadas fuera de Estados Unidos. La Unión Europea no exige reciprocidad, sino que no existan normas extraterritoriales, algo que provoca gran alegría en Wall Street. </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rPr>
          <w:u w:val="single"/>
        </w:rPr>
      </w:pPr>
      <w:r w:rsidRPr="00DF3A9C">
        <w:rPr>
          <w:u w:val="single"/>
        </w:rPr>
        <w:lastRenderedPageBreak/>
        <w:t>Las negociaciones del Tratado Estados Unidos-Unión Europea siguen su marcha, sin que se conozca el detalle de los acuerdos que se van alcanzando. Cierto que el texto final tendrá que ser ratificado por los Parlamentos de todos los Estados miembros de la UE, pero cierto también que los ciudadanos no han sido todavía alertados sobre el alcance que tendrá este extraordinario Tratado. Se adelanta que tendrá efectos positivos en la vida económica, porque revitalizará el comercio entre los dos grandes monstruos económicos del mundo. Pero no se dice ni palabra sobre sus efectos en la vida política.</w:t>
      </w:r>
    </w:p>
    <w:p w:rsidR="000369FD" w:rsidRPr="00DF3A9C"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rPr>
          <w:u w:val="single"/>
        </w:rPr>
      </w:pPr>
      <w:r>
        <w:t xml:space="preserve">Como es habitual, los tratados internacionales obligan a los países firmantes, que no pueden legislar en desencuentro con los acuerdos ya firmados. En este caso, además, parece que </w:t>
      </w:r>
      <w:r w:rsidRPr="00DF3A9C">
        <w:rPr>
          <w:u w:val="single"/>
        </w:rPr>
        <w:t xml:space="preserve">Estados Unidos propone que siempre que la UE proyecte una nueva legislación “que potencialmente pueda tener efecto significativo sobre el comercio internacional de servicios financieros”, la Comisión esté obligada a realizar consultas previas con Washington. Es decir, que no existirá un control </w:t>
      </w:r>
      <w:r w:rsidRPr="00DF3A9C">
        <w:rPr>
          <w:rStyle w:val="nfasis"/>
          <w:u w:val="single"/>
        </w:rPr>
        <w:t>a posteriori</w:t>
      </w:r>
      <w:r w:rsidRPr="00DF3A9C">
        <w:rPr>
          <w:u w:val="single"/>
        </w:rPr>
        <w:t xml:space="preserve"> por parte del socio estadounidense, sino que será previo, y obligado, lo que resulta muy poco habitual.</w:t>
      </w:r>
    </w:p>
    <w:p w:rsidR="000369FD" w:rsidRPr="00DF3A9C"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rPr>
          <w:u w:val="single"/>
        </w:rPr>
      </w:pPr>
      <w:r w:rsidRPr="00DF3A9C">
        <w:rPr>
          <w:u w:val="single"/>
        </w:rPr>
        <w:t>Sea como sea, son muchos quienes advierten sobre las presiones que están volviendo a ejercer las entidades financieras europeas para suavizar las medidas de control y supervisión de sus actividades, temerosas de que se les aplique aunque solo sea el mismo trato que quiere dar el Gobierno de Estados Unidos a las suyas. Con su habitual lenguaje adulterado, protestan contra medidas “más gravosas de lo necesario”, como si la experiencia no hubiera demostrado que nunca hay que dejar que sean ellos mismos quienes realicen ese cálculo.</w:t>
      </w:r>
    </w:p>
    <w:p w:rsidR="004265B7" w:rsidRDefault="004265B7" w:rsidP="000369FD">
      <w:pPr>
        <w:shd w:val="clear" w:color="auto" w:fill="FFFFFF"/>
        <w:spacing w:line="240" w:lineRule="auto"/>
        <w:jc w:val="both"/>
        <w:rPr>
          <w:rFonts w:ascii="Times New Roman" w:eastAsia="Times New Roman" w:hAnsi="Times New Roman" w:cs="Times New Roman"/>
          <w:sz w:val="24"/>
          <w:szCs w:val="24"/>
          <w:lang w:eastAsia="es-ES"/>
        </w:rPr>
      </w:pPr>
    </w:p>
    <w:p w:rsidR="000369FD" w:rsidRPr="00611B9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611B92">
        <w:rPr>
          <w:rFonts w:ascii="Times New Roman" w:eastAsia="Times New Roman" w:hAnsi="Times New Roman" w:cs="Times New Roman"/>
          <w:sz w:val="24"/>
          <w:szCs w:val="24"/>
          <w:u w:val="single"/>
          <w:lang w:eastAsia="es-ES"/>
        </w:rPr>
        <w:t>Para exportar mucho más</w:t>
      </w:r>
      <w:r>
        <w:rPr>
          <w:rFonts w:ascii="Times New Roman" w:eastAsia="Times New Roman" w:hAnsi="Times New Roman" w:cs="Times New Roman"/>
          <w:sz w:val="24"/>
          <w:szCs w:val="24"/>
          <w:lang w:eastAsia="es-ES"/>
        </w:rPr>
        <w:t xml:space="preserve"> (El País - </w:t>
      </w:r>
      <w:r w:rsidRPr="00611B92">
        <w:rPr>
          <w:rFonts w:ascii="Times New Roman" w:eastAsia="Times New Roman" w:hAnsi="Times New Roman" w:cs="Times New Roman"/>
          <w:b/>
          <w:sz w:val="24"/>
          <w:szCs w:val="24"/>
          <w:lang w:eastAsia="es-ES"/>
        </w:rPr>
        <w:t>17/7/14</w:t>
      </w:r>
      <w:r>
        <w:rPr>
          <w:rFonts w:ascii="Times New Roman" w:eastAsia="Times New Roman" w:hAnsi="Times New Roman" w:cs="Times New Roman"/>
          <w:sz w:val="24"/>
          <w:szCs w:val="24"/>
          <w:lang w:eastAsia="es-ES"/>
        </w:rPr>
        <w:t>)</w:t>
      </w: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w:t>
      </w:r>
      <w:r w:rsidRPr="00611B92">
        <w:rPr>
          <w:rFonts w:ascii="Times New Roman" w:eastAsia="Times New Roman" w:hAnsi="Times New Roman" w:cs="Times New Roman"/>
          <w:sz w:val="24"/>
          <w:szCs w:val="24"/>
          <w:lang w:eastAsia="es-ES"/>
        </w:rPr>
        <w:t>Xavier Vidal</w:t>
      </w:r>
      <w:r>
        <w:rPr>
          <w:rFonts w:ascii="Times New Roman" w:eastAsia="Times New Roman" w:hAnsi="Times New Roman" w:cs="Times New Roman"/>
          <w:sz w:val="24"/>
          <w:szCs w:val="24"/>
          <w:lang w:eastAsia="es-ES"/>
        </w:rPr>
        <w:t>-Folch)</w:t>
      </w:r>
    </w:p>
    <w:p w:rsidR="000369FD" w:rsidRDefault="000369FD" w:rsidP="000369FD">
      <w:pPr>
        <w:pStyle w:val="NormalWeb"/>
        <w:shd w:val="clear" w:color="auto" w:fill="FFFFFF"/>
        <w:jc w:val="both"/>
      </w:pPr>
      <w:r>
        <w:t>Una manera de exportar más, para crecer más, es apretar el pedalín: aplicar políticas domésticas transversales, industriales, de innovación, de apoyo a la exportación. Tienen recorrido (se hace poco, y con poco dinero), aunque limitado.</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La otra es de mayor ambición: apretar en favor de los acuerdos comerciales del área de la que formamos parte, la Unión Europea. Sobre todo, el más polémico, el planteado con EEUU. Es el TTIP o Transatlantic Trade and Investment Partnership, cuya sexta ronda negociadora se celebra estos días en Bruselas, justo mientras usted está desayunando.</w:t>
      </w:r>
    </w:p>
    <w:p w:rsidR="000369FD" w:rsidRDefault="000369FD" w:rsidP="000369FD">
      <w:pPr>
        <w:pStyle w:val="NormalWeb"/>
        <w:shd w:val="clear" w:color="auto" w:fill="FFFFFF"/>
        <w:jc w:val="both"/>
      </w:pPr>
    </w:p>
    <w:p w:rsidR="000369FD" w:rsidRPr="00DF3A9C" w:rsidRDefault="000369FD" w:rsidP="000369FD">
      <w:pPr>
        <w:pStyle w:val="NormalWeb"/>
        <w:shd w:val="clear" w:color="auto" w:fill="FFFFFF"/>
        <w:jc w:val="both"/>
        <w:rPr>
          <w:u w:val="single"/>
        </w:rPr>
      </w:pPr>
      <w:r w:rsidRPr="00DF3A9C">
        <w:rPr>
          <w:u w:val="single"/>
        </w:rPr>
        <w:t xml:space="preserve">Este proyecto contempla la anulación de los aranceles o tarifas transfonterizas supervivientes (menos del 4%, de media, si bien muy altos en algún subsector). Pero también la destrucción de las barreras no arancelarias y una regulación cada vez más común, que homogenice o reconozca los estándares de calidad y seguridad de la otra parte. Es pues, más que un acuerdo comercial. </w:t>
      </w:r>
    </w:p>
    <w:p w:rsidR="000369FD" w:rsidRDefault="000369FD" w:rsidP="000369FD">
      <w:pPr>
        <w:pStyle w:val="NormalWeb"/>
        <w:shd w:val="clear" w:color="auto" w:fill="FFFFFF"/>
        <w:jc w:val="both"/>
      </w:pPr>
    </w:p>
    <w:p w:rsidR="000369FD" w:rsidRPr="00DF3A9C" w:rsidRDefault="000369FD" w:rsidP="000369FD">
      <w:pPr>
        <w:pStyle w:val="NormalWeb"/>
        <w:shd w:val="clear" w:color="auto" w:fill="FFFFFF"/>
        <w:jc w:val="both"/>
        <w:rPr>
          <w:u w:val="single"/>
        </w:rPr>
      </w:pPr>
      <w:r w:rsidRPr="00DF3A9C">
        <w:t xml:space="preserve">Aunque recelemos de los estudios económicos prospectivos, por optimistas, a veces sirven de referencia. </w:t>
      </w:r>
      <w:r w:rsidRPr="00DF3A9C">
        <w:rPr>
          <w:u w:val="single"/>
        </w:rPr>
        <w:t>El PIB per cápita español sería de los europeos más beneficiados, un 6,55%, como los escandinavos, algo menos que el británico y más del doble que el francés, según la Fundación Bertelsmann (“</w:t>
      </w:r>
      <w:hyperlink r:id="rId42" w:tgtFrame="_blank" w:history="1">
        <w:r w:rsidRPr="00DF3A9C">
          <w:rPr>
            <w:rStyle w:val="Hipervnculo"/>
            <w:rFonts w:eastAsiaTheme="majorEastAsia"/>
            <w:color w:val="auto"/>
          </w:rPr>
          <w:t>TTIP, who benefits from a free trade deal?</w:t>
        </w:r>
      </w:hyperlink>
      <w:r w:rsidRPr="00DF3A9C">
        <w:rPr>
          <w:u w:val="single"/>
        </w:rPr>
        <w:t xml:space="preserve">”; </w:t>
      </w:r>
      <w:hyperlink r:id="rId43" w:tgtFrame="_blank" w:history="1">
        <w:r w:rsidRPr="00DF3A9C">
          <w:rPr>
            <w:rStyle w:val="Hipervnculo"/>
            <w:rFonts w:eastAsiaTheme="majorEastAsia"/>
            <w:color w:val="auto"/>
          </w:rPr>
          <w:t>www.bfna.org</w:t>
        </w:r>
      </w:hyperlink>
      <w:r w:rsidRPr="00DF3A9C">
        <w:rPr>
          <w:u w:val="single"/>
        </w:rPr>
        <w:t>).</w:t>
      </w:r>
    </w:p>
    <w:p w:rsidR="000369FD" w:rsidRPr="00DF3A9C" w:rsidRDefault="000369FD" w:rsidP="000369FD">
      <w:pPr>
        <w:pStyle w:val="NormalWeb"/>
        <w:shd w:val="clear" w:color="auto" w:fill="FFFFFF"/>
        <w:jc w:val="both"/>
      </w:pPr>
    </w:p>
    <w:p w:rsidR="000369FD" w:rsidRPr="00DF3A9C" w:rsidRDefault="000369FD" w:rsidP="000369FD">
      <w:pPr>
        <w:pStyle w:val="NormalWeb"/>
        <w:shd w:val="clear" w:color="auto" w:fill="FFFFFF"/>
        <w:jc w:val="both"/>
        <w:rPr>
          <w:u w:val="single"/>
        </w:rPr>
      </w:pPr>
      <w:r w:rsidRPr="00DF3A9C">
        <w:rPr>
          <w:u w:val="single"/>
        </w:rPr>
        <w:lastRenderedPageBreak/>
        <w:t>Si el acuerdo fuera tan ambicioso como se pretende, la UE generaría un crecimiento adicional de 119.000 millones anuales en la UE (cerca del 1% de su PIB) y de 95.000 en EEUU, a resultas de un fuerte incremento del comercio, en su inmensa mayor parte (el 80%) gracias a la abolición de las barreras no tarifarias. Así lo calcula el estudio “Reducing Transatlantic Barriers”, del Centre for Economic Policy Research (</w:t>
      </w:r>
      <w:hyperlink r:id="rId44" w:tgtFrame="_blank" w:history="1">
        <w:r w:rsidRPr="00DF3A9C">
          <w:rPr>
            <w:rStyle w:val="Hipervnculo"/>
            <w:rFonts w:eastAsiaTheme="majorEastAsia"/>
            <w:color w:val="auto"/>
          </w:rPr>
          <w:t>www.cepr.org</w:t>
        </w:r>
      </w:hyperlink>
      <w:r w:rsidRPr="00DF3A9C">
        <w:rPr>
          <w:u w:val="single"/>
        </w:rPr>
        <w:t>).</w:t>
      </w:r>
    </w:p>
    <w:p w:rsidR="000369FD" w:rsidRPr="00DF3A9C" w:rsidRDefault="000369FD" w:rsidP="000369FD">
      <w:pPr>
        <w:pStyle w:val="NormalWeb"/>
        <w:shd w:val="clear" w:color="auto" w:fill="FFFFFF"/>
        <w:jc w:val="both"/>
      </w:pPr>
    </w:p>
    <w:p w:rsidR="000369FD" w:rsidRPr="00DF3A9C" w:rsidRDefault="000369FD" w:rsidP="000369FD">
      <w:pPr>
        <w:pStyle w:val="NormalWeb"/>
        <w:shd w:val="clear" w:color="auto" w:fill="FFFFFF"/>
        <w:jc w:val="both"/>
        <w:rPr>
          <w:u w:val="single"/>
        </w:rPr>
      </w:pPr>
      <w:r w:rsidRPr="00DF3A9C">
        <w:rPr>
          <w:u w:val="single"/>
        </w:rPr>
        <w:t>Vigila las negociaciones de cerca, desde hace un año, el Parlamento Europeo. En su resolución 2558 de 23 de mayo de 2013 impuso condiciones exigentes: exclusión de lo audiovisual; respeto a los estándares europeos de derechos humanos; cumplimiento de las condiciones laborales y medioambientales europeas; inclusión de los servicios financieros (Washington se niega); cautelas sobre los organismos genéticamente modificados...</w:t>
      </w:r>
    </w:p>
    <w:p w:rsidR="000369FD" w:rsidRPr="00DF3A9C"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rPr>
          <w:u w:val="single"/>
        </w:rPr>
      </w:pPr>
      <w:r w:rsidRPr="00DF3A9C">
        <w:rPr>
          <w:u w:val="single"/>
        </w:rPr>
        <w:t xml:space="preserve">Más allá de todo eso, permanece una rémora inaceptable en la discusión del TTIP: el secretismo de las negociaciones, impuesto por la parte norteamericana y (en menor medida) por algún Gobierno europeo, que obligó a la Comisión a ocultar el mandato negociador: está filtrado en </w:t>
      </w:r>
      <w:hyperlink r:id="rId45" w:tgtFrame="_blank" w:history="1">
        <w:r w:rsidRPr="00DF3A9C">
          <w:rPr>
            <w:rStyle w:val="Hipervnculo"/>
            <w:rFonts w:eastAsiaTheme="majorEastAsia"/>
            <w:color w:val="auto"/>
          </w:rPr>
          <w:t>www.laquadrature.net/en/TAFTA</w:t>
        </w:r>
      </w:hyperlink>
      <w:r w:rsidRPr="00DF3A9C">
        <w:rPr>
          <w:u w:val="single"/>
        </w:rPr>
        <w:t>.</w:t>
      </w:r>
    </w:p>
    <w:p w:rsidR="000369FD" w:rsidRPr="00DF3A9C" w:rsidRDefault="000369FD" w:rsidP="000369FD">
      <w:pPr>
        <w:pStyle w:val="NormalWeb"/>
        <w:shd w:val="clear" w:color="auto" w:fill="FFFFFF"/>
        <w:jc w:val="both"/>
        <w:rPr>
          <w:u w:val="single"/>
        </w:rPr>
      </w:pPr>
    </w:p>
    <w:p w:rsidR="000369FD" w:rsidRPr="00DF3A9C" w:rsidRDefault="000369FD" w:rsidP="000369FD">
      <w:pPr>
        <w:pStyle w:val="NormalWeb"/>
        <w:shd w:val="clear" w:color="auto" w:fill="FFFFFF"/>
        <w:jc w:val="both"/>
      </w:pPr>
      <w:r w:rsidRPr="00DF3A9C">
        <w:rPr>
          <w:u w:val="single"/>
        </w:rPr>
        <w:t>El otro gran motivo de escándalo (hay más cuestiones polémicas) es la propuesta de un mecanismo de arbitraje para que los Estados, si cambian su legislación, indemnicen a las multinacionales si ese cambio recorta sus beneficios futuros.</w:t>
      </w:r>
      <w:r w:rsidRPr="00DF3A9C">
        <w:t xml:space="preserve"> “¿Para qué queremos un sistema de arbitraje, si la protección de las inversiones es equivalente a ambos lados?”, reacciona el negociador jefe europeo, el español Ignacio García Berceo, un monstruo en los detalles, un (para bien) </w:t>
      </w:r>
      <w:r w:rsidRPr="00DF3A9C">
        <w:rPr>
          <w:rStyle w:val="nfasis"/>
        </w:rPr>
        <w:t>culo di ferro</w:t>
      </w:r>
      <w:r w:rsidRPr="00DF3A9C">
        <w:t xml:space="preserve"> inasequible al desaliento.</w:t>
      </w: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p>
    <w:p w:rsidR="000369FD" w:rsidRPr="00611B9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El acuerdo EE</w:t>
      </w:r>
      <w:r w:rsidRPr="00611B92">
        <w:rPr>
          <w:rFonts w:ascii="Times New Roman" w:eastAsia="Times New Roman" w:hAnsi="Times New Roman" w:cs="Times New Roman"/>
          <w:sz w:val="24"/>
          <w:szCs w:val="24"/>
          <w:u w:val="single"/>
          <w:lang w:eastAsia="es-ES"/>
        </w:rPr>
        <w:t>UU-UE se empantana</w:t>
      </w:r>
      <w:r>
        <w:rPr>
          <w:rFonts w:ascii="Times New Roman" w:eastAsia="Times New Roman" w:hAnsi="Times New Roman" w:cs="Times New Roman"/>
          <w:sz w:val="24"/>
          <w:szCs w:val="24"/>
          <w:lang w:eastAsia="es-ES"/>
        </w:rPr>
        <w:t xml:space="preserve"> (El País - </w:t>
      </w:r>
      <w:r w:rsidRPr="00611B92">
        <w:rPr>
          <w:rFonts w:ascii="Times New Roman" w:eastAsia="Times New Roman" w:hAnsi="Times New Roman" w:cs="Times New Roman"/>
          <w:b/>
          <w:sz w:val="24"/>
          <w:szCs w:val="24"/>
          <w:lang w:eastAsia="es-ES"/>
        </w:rPr>
        <w:t>20/7/14</w:t>
      </w:r>
      <w:r>
        <w:rPr>
          <w:rFonts w:ascii="Times New Roman" w:eastAsia="Times New Roman" w:hAnsi="Times New Roman" w:cs="Times New Roman"/>
          <w:sz w:val="24"/>
          <w:szCs w:val="24"/>
          <w:lang w:eastAsia="es-ES"/>
        </w:rPr>
        <w:t>)</w:t>
      </w:r>
    </w:p>
    <w:p w:rsidR="000369FD" w:rsidRPr="00611B9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611B92">
        <w:rPr>
          <w:rFonts w:ascii="Times New Roman" w:eastAsia="Times New Roman" w:hAnsi="Times New Roman" w:cs="Times New Roman"/>
          <w:sz w:val="24"/>
          <w:szCs w:val="24"/>
          <w:lang w:eastAsia="es-ES"/>
        </w:rPr>
        <w:t xml:space="preserve">La falta de avances en la negociación comercial hace necesario más </w:t>
      </w:r>
      <w:r>
        <w:rPr>
          <w:rFonts w:ascii="Times New Roman" w:eastAsia="Times New Roman" w:hAnsi="Times New Roman" w:cs="Times New Roman"/>
          <w:sz w:val="24"/>
          <w:szCs w:val="24"/>
          <w:lang w:eastAsia="es-ES"/>
        </w:rPr>
        <w:t>apoyo político</w:t>
      </w:r>
    </w:p>
    <w:p w:rsidR="000369FD"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(Por Alicia González)</w:t>
      </w:r>
    </w:p>
    <w:p w:rsidR="000369FD" w:rsidRPr="00DF3A9C" w:rsidRDefault="000369FD" w:rsidP="000369FD">
      <w:pPr>
        <w:pStyle w:val="NormalWeb"/>
        <w:shd w:val="clear" w:color="auto" w:fill="FFFFFF"/>
        <w:jc w:val="both"/>
        <w:rPr>
          <w:u w:val="single"/>
        </w:rPr>
      </w:pPr>
      <w:r w:rsidRPr="00DF3A9C">
        <w:rPr>
          <w:u w:val="single"/>
        </w:rPr>
        <w:t>Negociar un acuerdo de libre comercio nunca es fácil. Si lo hacen dos potencias comerciales como Estados Unidos y la Unión Europea, las dificultades crecen. Y si los apoyos políticos a la negociación flaquean, la negociación puede llegar a fracasar. No es el caso del Acuerdo Transatlántico para el Comercio y la Inversión (TTIP, por sus siglas en inglés) que negocian Estados Unidos y la Unión Europea. Todavía.</w:t>
      </w:r>
    </w:p>
    <w:p w:rsidR="000369FD" w:rsidRDefault="000369FD" w:rsidP="000369FD">
      <w:pPr>
        <w:pStyle w:val="NormalWeb"/>
        <w:shd w:val="clear" w:color="auto" w:fill="FFFFFF"/>
        <w:jc w:val="both"/>
      </w:pPr>
    </w:p>
    <w:p w:rsidR="000369FD" w:rsidRPr="00551B43" w:rsidRDefault="000369FD" w:rsidP="000369FD">
      <w:pPr>
        <w:pStyle w:val="NormalWeb"/>
        <w:shd w:val="clear" w:color="auto" w:fill="FFFFFF"/>
        <w:jc w:val="both"/>
        <w:rPr>
          <w:u w:val="single"/>
        </w:rPr>
      </w:pPr>
      <w:r w:rsidRPr="00551B43">
        <w:rPr>
          <w:u w:val="single"/>
        </w:rPr>
        <w:t>El Partido Republicano ya ha advertido que no aprobará ningún acuerdo comercial, empezando por el acuerdo de asociación con el Pacífico, que negocie la actual Administración de Estados Unidos si el presidente Barack Obama no hace más esfuerzos para lograr la Autoridad de Promoción Comercial (TPA por sus siglas en inglés), por la cual el Congreso solo puede aprobar o rechazar, sin enmiendas, un acuerdo comercial. “Dada la crítica importancia de la TPA para asegurar el éxito en las negociaciones del Acuerdo de Asociación Transpacífico, no apoyaremos este acuerdo si se completa antes de que apruebe la Autoridad Comercial”, advertían esta semana en una carta enviada por los congresistas republicanos del comité de Comercio al Alto Representante de Comercio de EEUU, Michael Froman.</w:t>
      </w:r>
    </w:p>
    <w:p w:rsidR="000369FD" w:rsidRPr="00551B43" w:rsidRDefault="000369FD" w:rsidP="000369FD">
      <w:pPr>
        <w:pStyle w:val="NormalWeb"/>
        <w:shd w:val="clear" w:color="auto" w:fill="FFFFFF"/>
        <w:jc w:val="both"/>
        <w:rPr>
          <w:u w:val="single"/>
        </w:rPr>
      </w:pPr>
    </w:p>
    <w:p w:rsidR="000369FD" w:rsidRPr="00551B43" w:rsidRDefault="000369FD" w:rsidP="000369FD">
      <w:pPr>
        <w:pStyle w:val="NormalWeb"/>
        <w:shd w:val="clear" w:color="auto" w:fill="FFFFFF"/>
        <w:jc w:val="both"/>
        <w:rPr>
          <w:u w:val="single"/>
        </w:rPr>
      </w:pPr>
      <w:r w:rsidRPr="00551B43">
        <w:rPr>
          <w:u w:val="single"/>
        </w:rPr>
        <w:lastRenderedPageBreak/>
        <w:t>En Europa, la negociación del TTIP fue uno de los primeros asuntos que discutió el nuevo Parlamento y el nuevo presidente de la Comisión Europea, Jean Claude Juncker, expresó su apoyo a la negociación pero advirtió que “no sacrificaré en el altar del libre comercio las normas europeas en los ámbitos de la salud, la seguridad o la protección social y de los datos ni nuestra diversidad cultural”, garantizó ante la Cámara.</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La sexta ronda de negociaciones ha tenido lugar esta semana en Bruselas, con escasos avances concretos. Pero las delegaciones negociadoras mantienen el optimismo. “Estamos en un momento de transición importante en la negociación. La fase de preparación ya se ha acabado, en prácticamente todos los temas de negociación ya estamos empezando a trabajar sobre propuestas concretas. Ambas partes han puesto ya sus cartas sobre la mesa”, asegura Ignacio García-Bercero, el jefe de la delegación europea en las negociaciones. García-Bercero participó a principios de mes en un seminario sobre el acuerdo comercial en Santander y allí se reunió con EL PAÍS.</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Son todavía trabajos técnicos, “necesarios para preparar el campo para las decisiones políticas que se tendrán que tomar más adelante”, como explica el negociador, pero que ya afloran las dificultades de acuerdo. “Todo lo que se refiere a explorar las posibilidades de reconocimiento mutuo, equivalencias en sectores como el automóvil o el farmacéutico son temas complejos. Ahí hay que tener creatividad para ver cómo se puede establecer puentes para mejorar la cooperación reglamentaria sin pretender cambiar el enfoque de cada una de las partes”. Uno de los nudos gordianos de la negociación es el interés de los europeos en eliminar la discriminación en los concursos de obras públicas en Estados Unidos, lo que viene determinado por la legislación americana del Buy American, comprar productos americanos.</w:t>
      </w:r>
    </w:p>
    <w:p w:rsidR="000369FD" w:rsidRDefault="000369FD" w:rsidP="000369FD">
      <w:pPr>
        <w:pStyle w:val="NormalWeb"/>
        <w:shd w:val="clear" w:color="auto" w:fill="FFFFFF"/>
        <w:jc w:val="both"/>
      </w:pPr>
    </w:p>
    <w:p w:rsidR="000369FD" w:rsidRPr="00551B43" w:rsidRDefault="000369FD" w:rsidP="000369FD">
      <w:pPr>
        <w:pStyle w:val="NormalWeb"/>
        <w:shd w:val="clear" w:color="auto" w:fill="FFFFFF"/>
        <w:jc w:val="both"/>
        <w:rPr>
          <w:u w:val="single"/>
        </w:rPr>
      </w:pPr>
      <w:r w:rsidRPr="00551B43">
        <w:rPr>
          <w:u w:val="single"/>
        </w:rPr>
        <w:t>“No hay ningún tipo de exigencia en la legislación europea sobre que las compras públicas deban tener un cierto contenido de productos europeos. Ese tipo de legislación no existe en Europa, mientras que en EEUU para contratos públicos importantes, sobre todo en infraestructuras de transporte, existe un mandato de que cierto porcentaje de los contratos públicos debe ser de fabricación americana. Por eso damos mucha importancia a que esa discriminación no se mantenga y que, en definitiva, el Buy American se pueda convertir en un Compra Transatlántico, que puedas competir igualmente con productos europeos o americanos”.</w:t>
      </w:r>
    </w:p>
    <w:p w:rsidR="000369FD" w:rsidRDefault="000369FD" w:rsidP="000369FD">
      <w:pPr>
        <w:pStyle w:val="NormalWeb"/>
        <w:shd w:val="clear" w:color="auto" w:fill="FFFFFF"/>
        <w:jc w:val="both"/>
      </w:pPr>
    </w:p>
    <w:p w:rsidR="000369FD" w:rsidRPr="00551B43" w:rsidRDefault="000369FD" w:rsidP="000369FD">
      <w:pPr>
        <w:pStyle w:val="NormalWeb"/>
        <w:shd w:val="clear" w:color="auto" w:fill="FFFFFF"/>
        <w:jc w:val="both"/>
        <w:rPr>
          <w:u w:val="single"/>
        </w:rPr>
      </w:pPr>
      <w:r w:rsidRPr="00551B43">
        <w:rPr>
          <w:u w:val="single"/>
        </w:rPr>
        <w:t>La filtración de unos documentos de la negociación, en los que se abría la puerta a la gestión hospitalaria por parte de empresas estadounidenses, extremo negado por los negociadores europeos, ha forzado a los gobiernos a pronunciarse al respecto y a rechazar tal posibilidad.</w:t>
      </w:r>
    </w:p>
    <w:p w:rsidR="000369FD" w:rsidRPr="00551B43" w:rsidRDefault="000369FD" w:rsidP="000369FD">
      <w:pPr>
        <w:pStyle w:val="NormalWeb"/>
        <w:shd w:val="clear" w:color="auto" w:fill="FFFFFF"/>
        <w:jc w:val="both"/>
        <w:rPr>
          <w:u w:val="single"/>
        </w:rPr>
      </w:pPr>
    </w:p>
    <w:p w:rsidR="000369FD" w:rsidRPr="00551B43" w:rsidRDefault="000369FD" w:rsidP="000369FD">
      <w:pPr>
        <w:pStyle w:val="NormalWeb"/>
        <w:shd w:val="clear" w:color="auto" w:fill="FFFFFF"/>
        <w:jc w:val="both"/>
        <w:rPr>
          <w:u w:val="single"/>
        </w:rPr>
      </w:pPr>
      <w:r w:rsidRPr="00551B43">
        <w:rPr>
          <w:u w:val="single"/>
        </w:rPr>
        <w:t>“En principio, si hay servicios públicos prestados por empresas privadas normalmente esos servicios podrán ser prestados también por empresas americanas porque no hay discriminación. Pero la decisión de base, si se decide abrir o no un servicio a la competencia privada esa es una decisión soberana de cada Estado que no va a verse afectada por nuestros acuerdos transatlánticos porque en todos nuestros acuerdos de comercio hay unas reservas específicas al respecto. No es una decisión que pueda ser impuesta por el acuerdo, es una competencia nacional</w:t>
      </w:r>
      <w:r>
        <w:t xml:space="preserve">. </w:t>
      </w:r>
      <w:r w:rsidRPr="00551B43">
        <w:rPr>
          <w:u w:val="single"/>
        </w:rPr>
        <w:t xml:space="preserve">Lo que hablamos respecto a las compras públicas no es tanto de hospitales o educación. Estamos hablando fundamentalmente del sector de las infraestructuras de aeropuertos, ferrocarriles, metro, que son grandes contratos donde las empresas españolas tienen una posición competitiva </w:t>
      </w:r>
      <w:r w:rsidRPr="00551B43">
        <w:rPr>
          <w:u w:val="single"/>
        </w:rPr>
        <w:lastRenderedPageBreak/>
        <w:t>fuerte y donde actualmente las empresas solo pueden participar en una licitación si los materiales que utilizan son americanos”, explica García-Bercero.</w:t>
      </w:r>
    </w:p>
    <w:p w:rsidR="000369FD" w:rsidRDefault="000369FD" w:rsidP="000369FD">
      <w:pPr>
        <w:pStyle w:val="NormalWeb"/>
        <w:shd w:val="clear" w:color="auto" w:fill="FFFFFF"/>
        <w:jc w:val="both"/>
      </w:pPr>
    </w:p>
    <w:p w:rsidR="000369FD" w:rsidRPr="00551B43" w:rsidRDefault="000369FD" w:rsidP="000369FD">
      <w:pPr>
        <w:pStyle w:val="NormalWeb"/>
        <w:shd w:val="clear" w:color="auto" w:fill="FFFFFF"/>
        <w:jc w:val="both"/>
        <w:rPr>
          <w:u w:val="single"/>
        </w:rPr>
      </w:pPr>
      <w:r w:rsidRPr="00551B43">
        <w:rPr>
          <w:u w:val="single"/>
        </w:rPr>
        <w:t>El acuerdo corre el riesgo de ser poco ambicioso, ya que Estados Unidos ha excluido al sector financiero de las materias de acuerdo, por cuestiones puramente políticas explican expertos del sector que no forman parte de las negociaciones. “No tenemos la más mínima intención de poner en tela de juicio la reglamentación americana sobre servicios financieros, la ley Dodd-Frank. Lo que nos parece lógico es que los reguladores de ambas partes tengan en cuenta lo que están haciendo los otros reguladores y que, por tanto, los reguladores estadounidenses y europeos se consulten en una etapa temprana del desarrollo de la reglamentación, examinen cuáles son las posibilidades de hacer reglamentaciones que sean compatibles o equivalentes y, si ese es el caso, que se llegue a algún tipo de reconocimiento de equivalencia”.</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rsidRPr="00551B43">
        <w:rPr>
          <w:u w:val="single"/>
        </w:rPr>
        <w:t>Los plazos para la negociación son muy ajustados. El objetivo es alcanzar un acuerdo para 2015 y una de las incógnitas para lograrlo es si el presidente Obama contará con la TPA, que dé garantías a la UE de que lo que se acuerde no será modificado por el Congreso de EEUU.</w:t>
      </w:r>
      <w:r>
        <w:t xml:space="preserve"> “La fase actual de la negociación no es un problema que el presidente Obama carezca de la autoridad comercial porque hay mucho trabajo técnico aún por delante pero cuando haya que discutir los problemas políticamente más complejos es muy difícil hacerlo si no tiene la garantía de que la otra parte lo que la administración acuerde no pueda ser modificado por el Congreso”.</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rsidRPr="00551B43">
        <w:rPr>
          <w:u w:val="single"/>
        </w:rPr>
        <w:t>Para los legisladores europeos es fundamental garantizar que las negociaciones no van a suponer una merma de derechos sociales y laborales ni de los estándares climáticos</w:t>
      </w:r>
      <w:r>
        <w:t>. El nuevo Parlamento cuenta con un mayor número de diputados que rechazan estas negociaciones pero los dos grupos mayoritarios de la Cámara, el Partido Popular Europeo y el Partido Socialista, han expresado su apoyo al acuerdo.</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“Los riesgos de fracaso siempre existen. Pero creo que el compromiso político detrás de esta negociación es muy fuerte por ambas partes y son conscientes de que fracasar en este ámbito tendría un impacto muy negativo sobre la relación transatlántica. Estoy seguro de que se hará lo necesario para que la negociación llegue a buen puerto”.</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t xml:space="preserve">- </w:t>
      </w:r>
      <w:r w:rsidRPr="009A7958">
        <w:rPr>
          <w:u w:val="single"/>
        </w:rPr>
        <w:t>Un proyecto, pero dos realidades</w:t>
      </w:r>
      <w:r>
        <w:t xml:space="preserve"> (elmundo.es - </w:t>
      </w:r>
      <w:r w:rsidRPr="009A7958">
        <w:rPr>
          <w:b/>
        </w:rPr>
        <w:t>14/8/14</w:t>
      </w:r>
      <w:r>
        <w:t>)</w:t>
      </w:r>
    </w:p>
    <w:p w:rsidR="000369FD" w:rsidRDefault="000369FD" w:rsidP="000369FD">
      <w:pPr>
        <w:pStyle w:val="NormalWeb"/>
        <w:shd w:val="clear" w:color="auto" w:fill="FFFFFF"/>
        <w:jc w:val="both"/>
      </w:pPr>
    </w:p>
    <w:p w:rsidR="000369FD" w:rsidRDefault="000369FD" w:rsidP="000369FD">
      <w:pPr>
        <w:pStyle w:val="NormalWeb"/>
        <w:shd w:val="clear" w:color="auto" w:fill="FFFFFF"/>
        <w:jc w:val="both"/>
      </w:pPr>
      <w:r w:rsidRPr="009A7958">
        <w:t>Grandes diferencias complican aún el tratado de libre comercio entre EEUU y la UE</w:t>
      </w:r>
    </w:p>
    <w:p w:rsidR="000369FD" w:rsidRDefault="000369FD" w:rsidP="000369FD">
      <w:pPr>
        <w:pStyle w:val="NormalWeb"/>
        <w:shd w:val="clear" w:color="auto" w:fill="FFFFFF"/>
        <w:jc w:val="both"/>
      </w:pPr>
    </w:p>
    <w:p w:rsidR="000369FD" w:rsidRDefault="000369FD" w:rsidP="000369FD">
      <w:pPr>
        <w:pStyle w:val="DireccinHTML"/>
        <w:shd w:val="clear" w:color="auto" w:fill="FFFFFF"/>
        <w:jc w:val="both"/>
      </w:pPr>
      <w:r>
        <w:t>(Por Rosa Meneses)</w:t>
      </w:r>
    </w:p>
    <w:p w:rsidR="000369FD" w:rsidRDefault="000369FD" w:rsidP="000369FD">
      <w:pPr>
        <w:pStyle w:val="DireccinHTML"/>
        <w:shd w:val="clear" w:color="auto" w:fill="FFFFFF"/>
        <w:jc w:val="both"/>
      </w:pPr>
    </w:p>
    <w:p w:rsidR="000369FD" w:rsidRPr="009A7958" w:rsidRDefault="000369FD" w:rsidP="000369FD">
      <w:pPr>
        <w:pStyle w:val="DireccinHTML"/>
        <w:shd w:val="clear" w:color="auto" w:fill="FFFFFF"/>
        <w:jc w:val="both"/>
      </w:pPr>
      <w:r w:rsidRPr="009A7958">
        <w:rPr>
          <w:rStyle w:val="Textoennegrita"/>
        </w:rPr>
        <w:t>Estados Unidos y la Unión Europea negocian desde 2013 un acuerdo de libre comercio</w:t>
      </w:r>
      <w:r w:rsidRPr="009A7958">
        <w:t xml:space="preserve"> que consolidará la mayor alianza comercial y estratégica del mundo. Aunque la relación comercial entre ambos ya es muy abierta, </w:t>
      </w:r>
      <w:r w:rsidRPr="009A7958">
        <w:rPr>
          <w:rStyle w:val="Textoennegrita"/>
        </w:rPr>
        <w:t>el Acuerdo Transatlántico de Comercio e Inversión</w:t>
      </w:r>
      <w:r w:rsidRPr="009A7958">
        <w:t xml:space="preserve"> (TTIP, en sus siglas en inglés) </w:t>
      </w:r>
      <w:r w:rsidRPr="009A7958">
        <w:rPr>
          <w:rStyle w:val="Textoennegrita"/>
        </w:rPr>
        <w:t>pretende eliminar barreras</w:t>
      </w:r>
      <w:r w:rsidRPr="009A7958">
        <w:t xml:space="preserve"> basadas en diferentes normas </w:t>
      </w:r>
      <w:r w:rsidRPr="009A7958">
        <w:rPr>
          <w:rStyle w:val="Textoennegrita"/>
        </w:rPr>
        <w:t>técnicas y estándares</w:t>
      </w:r>
      <w:r w:rsidRPr="009A7958">
        <w:t xml:space="preserve"> para productos y servicios. Pero </w:t>
      </w:r>
      <w:r w:rsidRPr="009A7958">
        <w:rPr>
          <w:rStyle w:val="Textoennegrita"/>
        </w:rPr>
        <w:t>lo que nos separa aún pesa más que lo que nos acerca en las negociaciones.</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Protección de datos</w:t>
      </w:r>
    </w:p>
    <w:p w:rsidR="000369FD" w:rsidRPr="00FB30C8" w:rsidRDefault="000369FD" w:rsidP="000369FD">
      <w:pPr>
        <w:shd w:val="clear" w:color="auto" w:fill="FFFFFF"/>
        <w:spacing w:before="100" w:beforeAutospacing="1" w:after="345" w:line="240" w:lineRule="auto"/>
        <w:jc w:val="both"/>
        <w:rPr>
          <w:rFonts w:ascii="Times New Roman" w:hAnsi="Times New Roman" w:cs="Times New Roman"/>
          <w:sz w:val="24"/>
          <w:szCs w:val="24"/>
          <w:u w:val="single"/>
        </w:rPr>
      </w:pPr>
      <w:r w:rsidRPr="00FB30C8">
        <w:rPr>
          <w:rFonts w:ascii="Times New Roman" w:hAnsi="Times New Roman" w:cs="Times New Roman"/>
          <w:sz w:val="24"/>
          <w:szCs w:val="24"/>
          <w:u w:val="single"/>
        </w:rPr>
        <w:t xml:space="preserve">A raíz del </w:t>
      </w:r>
      <w:hyperlink r:id="rId46" w:history="1">
        <w:r w:rsidRPr="00FB30C8">
          <w:rPr>
            <w:rStyle w:val="Hipervnculo"/>
            <w:rFonts w:ascii="Times New Roman" w:hAnsi="Times New Roman" w:cs="Times New Roman"/>
            <w:b/>
            <w:bCs/>
            <w:color w:val="auto"/>
            <w:sz w:val="24"/>
            <w:szCs w:val="24"/>
          </w:rPr>
          <w:t>escándalo de las escuchas telefónicas</w:t>
        </w:r>
      </w:hyperlink>
      <w:r w:rsidRPr="00FB30C8">
        <w:rPr>
          <w:rFonts w:ascii="Times New Roman" w:hAnsi="Times New Roman" w:cs="Times New Roman"/>
          <w:sz w:val="24"/>
          <w:szCs w:val="24"/>
          <w:u w:val="single"/>
        </w:rPr>
        <w:t xml:space="preserve"> a millones de ciudadanos por parte de la NSA, la </w:t>
      </w:r>
      <w:r w:rsidRPr="00FB30C8">
        <w:rPr>
          <w:rStyle w:val="Textoennegrita"/>
          <w:rFonts w:ascii="Times New Roman" w:hAnsi="Times New Roman" w:cs="Times New Roman"/>
          <w:sz w:val="24"/>
          <w:szCs w:val="24"/>
        </w:rPr>
        <w:t>desconfianza que se ha instalado entre los países de la UE</w:t>
      </w:r>
      <w:r w:rsidRPr="00FB30C8">
        <w:rPr>
          <w:rFonts w:ascii="Times New Roman" w:hAnsi="Times New Roman" w:cs="Times New Roman"/>
          <w:sz w:val="24"/>
          <w:szCs w:val="24"/>
          <w:u w:val="single"/>
        </w:rPr>
        <w:t xml:space="preserve"> y EEUU amenaza </w:t>
      </w:r>
      <w:r w:rsidRPr="00FB30C8">
        <w:rPr>
          <w:rFonts w:ascii="Times New Roman" w:hAnsi="Times New Roman" w:cs="Times New Roman"/>
          <w:sz w:val="24"/>
          <w:szCs w:val="24"/>
          <w:u w:val="single"/>
        </w:rPr>
        <w:lastRenderedPageBreak/>
        <w:t>las negociaciones del TTIP</w:t>
      </w:r>
      <w:r w:rsidRPr="009A7958">
        <w:rPr>
          <w:rFonts w:ascii="Times New Roman" w:hAnsi="Times New Roman" w:cs="Times New Roman"/>
          <w:sz w:val="24"/>
          <w:szCs w:val="24"/>
        </w:rPr>
        <w:t xml:space="preserve">. </w:t>
      </w:r>
      <w:r w:rsidRPr="00551B43">
        <w:rPr>
          <w:rStyle w:val="Textoennegrita"/>
          <w:rFonts w:ascii="Times New Roman" w:hAnsi="Times New Roman" w:cs="Times New Roman"/>
          <w:sz w:val="24"/>
          <w:szCs w:val="24"/>
        </w:rPr>
        <w:t>Alemania encabeza las críticas</w:t>
      </w:r>
      <w:r w:rsidRPr="00551B43">
        <w:rPr>
          <w:rFonts w:ascii="Times New Roman" w:hAnsi="Times New Roman" w:cs="Times New Roman"/>
          <w:sz w:val="24"/>
          <w:szCs w:val="24"/>
          <w:u w:val="single"/>
        </w:rPr>
        <w:t xml:space="preserve"> y la revelación de que incluso la canciller Angela Merkel fue espiada ha enfriado las relaciones. La protección de datos es uno de los temas que más preocupan a las asociaciones de consumidores europeas</w:t>
      </w:r>
      <w:r w:rsidRPr="009A7958">
        <w:rPr>
          <w:rFonts w:ascii="Times New Roman" w:hAnsi="Times New Roman" w:cs="Times New Roman"/>
          <w:sz w:val="24"/>
          <w:szCs w:val="24"/>
        </w:rPr>
        <w:t>. Para Garrett Workman, director asociado del think tank es</w:t>
      </w:r>
      <w:r>
        <w:rPr>
          <w:rFonts w:ascii="Times New Roman" w:hAnsi="Times New Roman" w:cs="Times New Roman"/>
          <w:sz w:val="24"/>
          <w:szCs w:val="24"/>
        </w:rPr>
        <w:t>tadounidense Atlantic Council, “</w:t>
      </w:r>
      <w:r w:rsidRPr="00FB30C8">
        <w:rPr>
          <w:rFonts w:ascii="Times New Roman" w:hAnsi="Times New Roman" w:cs="Times New Roman"/>
          <w:sz w:val="24"/>
          <w:szCs w:val="24"/>
          <w:u w:val="single"/>
        </w:rPr>
        <w:t xml:space="preserve">la protección de datos y la polémica con la NSA es uno de los dos problemas más importantes de las negociaciones del TTIP. Las relaciones con la UE, especialmente con Alemania, están en decadencia y EEUU debe trabajar más para mejorarlas”. </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 xml:space="preserve">Mercado laboral </w:t>
      </w:r>
    </w:p>
    <w:p w:rsidR="000369FD" w:rsidRPr="00B454ED" w:rsidRDefault="000369FD" w:rsidP="000369FD">
      <w:pPr>
        <w:shd w:val="clear" w:color="auto" w:fill="FFFFFF"/>
        <w:spacing w:before="100" w:beforeAutospacing="1" w:after="345" w:line="240" w:lineRule="auto"/>
        <w:jc w:val="both"/>
        <w:rPr>
          <w:rFonts w:ascii="Times New Roman" w:hAnsi="Times New Roman" w:cs="Times New Roman"/>
          <w:sz w:val="24"/>
          <w:szCs w:val="24"/>
          <w:u w:val="single"/>
        </w:rPr>
      </w:pPr>
      <w:r w:rsidRPr="00FB30C8">
        <w:rPr>
          <w:rStyle w:val="Textoennegrita"/>
          <w:rFonts w:ascii="Times New Roman" w:hAnsi="Times New Roman" w:cs="Times New Roman"/>
          <w:sz w:val="24"/>
          <w:szCs w:val="24"/>
        </w:rPr>
        <w:t xml:space="preserve">Las últimas proyecciones estiman que el TTIP creará 400.000 nuevos empleos en Europa </w:t>
      </w:r>
      <w:r w:rsidRPr="00DD2260">
        <w:rPr>
          <w:rStyle w:val="Textoennegrita"/>
          <w:rFonts w:ascii="Times New Roman" w:hAnsi="Times New Roman" w:cs="Times New Roman"/>
          <w:sz w:val="24"/>
          <w:szCs w:val="24"/>
        </w:rPr>
        <w:t>-</w:t>
      </w:r>
      <w:hyperlink r:id="rId47" w:history="1">
        <w:r w:rsidRPr="00DD2260">
          <w:rPr>
            <w:rStyle w:val="Hipervnculo"/>
            <w:rFonts w:ascii="Times New Roman" w:hAnsi="Times New Roman" w:cs="Times New Roman"/>
            <w:bCs/>
            <w:color w:val="auto"/>
            <w:sz w:val="24"/>
            <w:szCs w:val="24"/>
          </w:rPr>
          <w:t>140.000</w:t>
        </w:r>
      </w:hyperlink>
      <w:r w:rsidRPr="00FB30C8">
        <w:rPr>
          <w:rStyle w:val="Textoennegrita"/>
          <w:rFonts w:ascii="Times New Roman" w:hAnsi="Times New Roman" w:cs="Times New Roman"/>
          <w:sz w:val="24"/>
          <w:szCs w:val="24"/>
        </w:rPr>
        <w:t xml:space="preserve"> en España</w:t>
      </w:r>
      <w:r w:rsidRPr="00FB30C8">
        <w:rPr>
          <w:rFonts w:ascii="Times New Roman" w:hAnsi="Times New Roman" w:cs="Times New Roman"/>
          <w:sz w:val="24"/>
          <w:szCs w:val="24"/>
          <w:u w:val="single"/>
        </w:rPr>
        <w:t xml:space="preserve">-. Pero </w:t>
      </w:r>
      <w:r w:rsidRPr="00FB30C8">
        <w:rPr>
          <w:rStyle w:val="Textoennegrita"/>
          <w:rFonts w:ascii="Times New Roman" w:hAnsi="Times New Roman" w:cs="Times New Roman"/>
          <w:sz w:val="24"/>
          <w:szCs w:val="24"/>
        </w:rPr>
        <w:t>el mayor sindicato de EEUU, AFL-CIO,</w:t>
      </w:r>
      <w:r w:rsidRPr="00FB30C8">
        <w:rPr>
          <w:rFonts w:ascii="Times New Roman" w:hAnsi="Times New Roman" w:cs="Times New Roman"/>
          <w:sz w:val="24"/>
          <w:szCs w:val="24"/>
          <w:u w:val="single"/>
        </w:rPr>
        <w:t xml:space="preserve"> alerta de que si se sigue el ejemplo del NAFTA (el acuerdo de libre comercio entre EEUU, Canadá y México) l</w:t>
      </w:r>
      <w:r w:rsidRPr="00FB30C8">
        <w:rPr>
          <w:rStyle w:val="Textoennegrita"/>
          <w:rFonts w:ascii="Times New Roman" w:hAnsi="Times New Roman" w:cs="Times New Roman"/>
          <w:sz w:val="24"/>
          <w:szCs w:val="24"/>
        </w:rPr>
        <w:t>as perspectivas no serán tan halagüeñas</w:t>
      </w:r>
      <w:r w:rsidRPr="00FB30C8">
        <w:rPr>
          <w:rFonts w:ascii="Times New Roman" w:hAnsi="Times New Roman" w:cs="Times New Roman"/>
          <w:sz w:val="24"/>
          <w:szCs w:val="24"/>
          <w:u w:val="single"/>
        </w:rPr>
        <w:t xml:space="preserve">. “NAFTA fue un fracaso en términos de creación de empleo. Dio mucho poder a las superestructuras globales y muy poco a la población. Su resultado ha sido más negativo que positivo”, afirma Celeste Drake, especialista en Políticas de Comercio de AFL-CIO. </w:t>
      </w:r>
      <w:r w:rsidRPr="00FB30C8">
        <w:rPr>
          <w:rStyle w:val="Textoennegrita"/>
          <w:rFonts w:ascii="Times New Roman" w:hAnsi="Times New Roman" w:cs="Times New Roman"/>
          <w:sz w:val="24"/>
          <w:szCs w:val="24"/>
        </w:rPr>
        <w:t xml:space="preserve">“Necesitamos un capítulo en TTIP sobre protección laboral, </w:t>
      </w:r>
      <w:r w:rsidRPr="00FB30C8">
        <w:rPr>
          <w:rFonts w:ascii="Times New Roman" w:hAnsi="Times New Roman" w:cs="Times New Roman"/>
          <w:sz w:val="24"/>
          <w:szCs w:val="24"/>
          <w:u w:val="single"/>
        </w:rPr>
        <w:t xml:space="preserve">para que los bajos estándares en el derecho de los trabajadores que hay en EEUU no empujen a la baja los europeos. Se esgrime la flexibilidad para crear empleo. Mejor protejamos el empleo. </w:t>
      </w:r>
      <w:r w:rsidRPr="00B454ED">
        <w:rPr>
          <w:rStyle w:val="Textoennegrita"/>
          <w:rFonts w:ascii="Times New Roman" w:hAnsi="Times New Roman" w:cs="Times New Roman"/>
          <w:sz w:val="24"/>
          <w:szCs w:val="24"/>
          <w:u w:val="single"/>
        </w:rPr>
        <w:t>Más regulación y menos liberalización</w:t>
      </w:r>
      <w:r w:rsidRPr="00B454ED">
        <w:rPr>
          <w:rFonts w:ascii="Times New Roman" w:hAnsi="Times New Roman" w:cs="Times New Roman"/>
          <w:sz w:val="24"/>
          <w:szCs w:val="24"/>
          <w:u w:val="single"/>
        </w:rPr>
        <w:t>”, añade.</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 xml:space="preserve">Pymes </w:t>
      </w:r>
    </w:p>
    <w:p w:rsidR="000369FD" w:rsidRPr="00FB30C8" w:rsidRDefault="000369FD" w:rsidP="000369FD">
      <w:pPr>
        <w:shd w:val="clear" w:color="auto" w:fill="FFFFFF"/>
        <w:spacing w:before="100" w:beforeAutospacing="1" w:after="345" w:line="240" w:lineRule="auto"/>
        <w:jc w:val="both"/>
        <w:rPr>
          <w:rFonts w:ascii="Times New Roman" w:hAnsi="Times New Roman" w:cs="Times New Roman"/>
          <w:sz w:val="24"/>
          <w:szCs w:val="24"/>
          <w:u w:val="single"/>
        </w:rPr>
      </w:pPr>
      <w:r w:rsidRPr="00FB30C8">
        <w:rPr>
          <w:rStyle w:val="Textoennegrita"/>
          <w:rFonts w:ascii="Times New Roman" w:hAnsi="Times New Roman" w:cs="Times New Roman"/>
          <w:sz w:val="24"/>
          <w:szCs w:val="24"/>
        </w:rPr>
        <w:t xml:space="preserve">El 90% de las compañías en Europa son pequeñas y medianas empresas </w:t>
      </w:r>
      <w:r w:rsidRPr="00FB30C8">
        <w:rPr>
          <w:rFonts w:ascii="Times New Roman" w:hAnsi="Times New Roman" w:cs="Times New Roman"/>
          <w:sz w:val="24"/>
          <w:szCs w:val="24"/>
          <w:u w:val="single"/>
        </w:rPr>
        <w:t>(Pymes), con una media de seis empleados. Aunque un 41% de ellas están internacionalizadas, l</w:t>
      </w:r>
      <w:r w:rsidRPr="00FB30C8">
        <w:rPr>
          <w:rStyle w:val="Textoennegrita"/>
          <w:rFonts w:ascii="Times New Roman" w:hAnsi="Times New Roman" w:cs="Times New Roman"/>
          <w:sz w:val="24"/>
          <w:szCs w:val="24"/>
        </w:rPr>
        <w:t>as asociaciones europeas expresan su preocupación por las consecuencias del TTIP</w:t>
      </w:r>
      <w:r w:rsidRPr="00FB30C8">
        <w:rPr>
          <w:rFonts w:ascii="Times New Roman" w:hAnsi="Times New Roman" w:cs="Times New Roman"/>
          <w:sz w:val="24"/>
          <w:szCs w:val="24"/>
          <w:u w:val="single"/>
        </w:rPr>
        <w:t xml:space="preserve"> en las pymes con limitaciones para exportar.</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 xml:space="preserve">Transgénicos </w:t>
      </w:r>
    </w:p>
    <w:p w:rsidR="000369FD" w:rsidRPr="009A7958"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sidRPr="00FB30C8">
        <w:rPr>
          <w:rStyle w:val="Textoennegrita"/>
          <w:rFonts w:ascii="Times New Roman" w:hAnsi="Times New Roman" w:cs="Times New Roman"/>
          <w:sz w:val="24"/>
          <w:szCs w:val="24"/>
        </w:rPr>
        <w:t>EEUU se enfrenta de plano al rechazo total de los gobiernos y de la opinión pública europea a los alimentos transgénicos</w:t>
      </w:r>
      <w:r w:rsidRPr="00FB30C8">
        <w:rPr>
          <w:rFonts w:ascii="Times New Roman" w:hAnsi="Times New Roman" w:cs="Times New Roman"/>
          <w:sz w:val="24"/>
          <w:szCs w:val="24"/>
          <w:u w:val="single"/>
        </w:rPr>
        <w:t>. En la UE se tiene la total convicción de que los organismos genéticamente modificados (GMO, en sus siglas en inglés) sólo sirven a corporaciones como Monsanto -el mayor fabricante mundial de semillas transgénicas- para controlar el sistema alimentario.</w:t>
      </w:r>
      <w:r w:rsidRPr="009A7958">
        <w:rPr>
          <w:rFonts w:ascii="Times New Roman" w:hAnsi="Times New Roman" w:cs="Times New Roman"/>
          <w:sz w:val="24"/>
          <w:szCs w:val="24"/>
        </w:rPr>
        <w:t xml:space="preserve"> Pamela Ronald, profesora de genética de la Universidad de California-Da</w:t>
      </w:r>
      <w:r>
        <w:rPr>
          <w:rFonts w:ascii="Times New Roman" w:hAnsi="Times New Roman" w:cs="Times New Roman"/>
          <w:sz w:val="24"/>
          <w:szCs w:val="24"/>
        </w:rPr>
        <w:t>vis, cree que sólo se trata de “</w:t>
      </w:r>
      <w:r w:rsidRPr="009A7958">
        <w:rPr>
          <w:rFonts w:ascii="Times New Roman" w:hAnsi="Times New Roman" w:cs="Times New Roman"/>
          <w:sz w:val="24"/>
          <w:szCs w:val="24"/>
        </w:rPr>
        <w:t>alimentar a una población creciente</w:t>
      </w:r>
      <w:r>
        <w:rPr>
          <w:rFonts w:ascii="Times New Roman" w:hAnsi="Times New Roman" w:cs="Times New Roman"/>
          <w:sz w:val="24"/>
          <w:szCs w:val="24"/>
        </w:rPr>
        <w:t xml:space="preserve"> sin destruir el medio ambiente”</w:t>
      </w:r>
      <w:r w:rsidRPr="009A7958">
        <w:rPr>
          <w:rFonts w:ascii="Times New Roman" w:hAnsi="Times New Roman" w:cs="Times New Roman"/>
          <w:sz w:val="24"/>
          <w:szCs w:val="24"/>
        </w:rPr>
        <w:t xml:space="preserve">. Ronald, que ha desarrollado un tipo de arroz resistente a inundaciones prolongadas, dice que el debate se produce por falta de </w:t>
      </w:r>
      <w:r>
        <w:rPr>
          <w:rFonts w:ascii="Times New Roman" w:hAnsi="Times New Roman" w:cs="Times New Roman"/>
          <w:sz w:val="24"/>
          <w:szCs w:val="24"/>
        </w:rPr>
        <w:t>información. “</w:t>
      </w:r>
      <w:r w:rsidRPr="009A7958">
        <w:rPr>
          <w:rFonts w:ascii="Times New Roman" w:hAnsi="Times New Roman" w:cs="Times New Roman"/>
          <w:sz w:val="24"/>
          <w:szCs w:val="24"/>
        </w:rPr>
        <w:t xml:space="preserve">No utilizar GMO empuja a los agricultores a usar </w:t>
      </w:r>
      <w:r>
        <w:rPr>
          <w:rFonts w:ascii="Times New Roman" w:hAnsi="Times New Roman" w:cs="Times New Roman"/>
          <w:sz w:val="24"/>
          <w:szCs w:val="24"/>
        </w:rPr>
        <w:t>pesticidas cada vez más tóxicos”</w:t>
      </w:r>
      <w:r w:rsidRPr="009A7958">
        <w:rPr>
          <w:rFonts w:ascii="Times New Roman" w:hAnsi="Times New Roman" w:cs="Times New Roman"/>
          <w:sz w:val="24"/>
          <w:szCs w:val="24"/>
        </w:rPr>
        <w:t>, añade.</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Denominación de origen</w:t>
      </w:r>
    </w:p>
    <w:p w:rsidR="000369FD" w:rsidRPr="009A7958"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sidRPr="00FB30C8">
        <w:rPr>
          <w:rFonts w:ascii="Times New Roman" w:hAnsi="Times New Roman" w:cs="Times New Roman"/>
          <w:sz w:val="24"/>
          <w:szCs w:val="24"/>
          <w:u w:val="single"/>
        </w:rPr>
        <w:t>“¡No nos gustan!”. Así de claro se pronuncia Shuan Donnelly, vicepresidente del Consejo para el Comercio Internacional de EEUU cuando se le preguntaba por el sistema de Denominación de Origen (DO) o de indicador geográfico en que se basan muchos productos agroalimentarios europeos. “</w:t>
      </w:r>
      <w:r w:rsidRPr="00FB30C8">
        <w:rPr>
          <w:rStyle w:val="Textoennegrita"/>
          <w:rFonts w:ascii="Times New Roman" w:hAnsi="Times New Roman" w:cs="Times New Roman"/>
          <w:sz w:val="24"/>
          <w:szCs w:val="24"/>
        </w:rPr>
        <w:t>Las denominaciones de origen sólo sirven para crear un monopolio de Europa</w:t>
      </w:r>
      <w:r w:rsidRPr="00FB30C8">
        <w:rPr>
          <w:rFonts w:ascii="Times New Roman" w:hAnsi="Times New Roman" w:cs="Times New Roman"/>
          <w:sz w:val="24"/>
          <w:szCs w:val="24"/>
          <w:u w:val="single"/>
        </w:rPr>
        <w:t>. Nuestra industria alimentaria está en contra y prefiere nuestro sistema de marcas registradas”, afirma.</w:t>
      </w:r>
      <w:r w:rsidRPr="009A7958">
        <w:rPr>
          <w:rFonts w:ascii="Times New Roman" w:hAnsi="Times New Roman" w:cs="Times New Roman"/>
          <w:sz w:val="24"/>
          <w:szCs w:val="24"/>
        </w:rPr>
        <w:t xml:space="preserve"> El ejemplo del queso feta o del parmesano </w:t>
      </w:r>
      <w:r w:rsidRPr="009A7958">
        <w:rPr>
          <w:rFonts w:ascii="Times New Roman" w:hAnsi="Times New Roman" w:cs="Times New Roman"/>
          <w:sz w:val="24"/>
          <w:szCs w:val="24"/>
        </w:rPr>
        <w:lastRenderedPageBreak/>
        <w:t xml:space="preserve">es esgrimido en </w:t>
      </w:r>
      <w:r>
        <w:rPr>
          <w:rFonts w:ascii="Times New Roman" w:hAnsi="Times New Roman" w:cs="Times New Roman"/>
          <w:sz w:val="24"/>
          <w:szCs w:val="24"/>
        </w:rPr>
        <w:t>EEUU como ejemplo de ese “monopolio”</w:t>
      </w:r>
      <w:r w:rsidRPr="009A7958">
        <w:rPr>
          <w:rFonts w:ascii="Times New Roman" w:hAnsi="Times New Roman" w:cs="Times New Roman"/>
          <w:sz w:val="24"/>
          <w:szCs w:val="24"/>
        </w:rPr>
        <w:t xml:space="preserve"> que perjudica a muchas empresas norteamericanas. En cuanto al vino, también suscita críticas entre la mayoría de compañías vinícolas californianas, que no pueden usar c</w:t>
      </w:r>
      <w:r>
        <w:rPr>
          <w:rFonts w:ascii="Times New Roman" w:hAnsi="Times New Roman" w:cs="Times New Roman"/>
          <w:sz w:val="24"/>
          <w:szCs w:val="24"/>
        </w:rPr>
        <w:t>iertos nombres, como champagne u</w:t>
      </w:r>
      <w:r w:rsidRPr="009A7958">
        <w:rPr>
          <w:rFonts w:ascii="Times New Roman" w:hAnsi="Times New Roman" w:cs="Times New Roman"/>
          <w:sz w:val="24"/>
          <w:szCs w:val="24"/>
        </w:rPr>
        <w:t xml:space="preserve"> oporto, aunque sí coincidan en el método de elaboración. Un acuerdo entre ambas potencias de 2006 facilita las exportaciones vinícolas europeas y da reconocimiento y protección a ciertas DO de vinos. Sin embargo, como señala José Ramón Fernández, del Comité Europeo de Empresas Vinícolas, otras 17 DO no están proteg</w:t>
      </w:r>
      <w:r>
        <w:rPr>
          <w:rFonts w:ascii="Times New Roman" w:hAnsi="Times New Roman" w:cs="Times New Roman"/>
          <w:sz w:val="24"/>
          <w:szCs w:val="24"/>
        </w:rPr>
        <w:t>idas porque EEUU las considera “semigenéricos”, un statu quo “que no puede ser una opción”</w:t>
      </w:r>
      <w:r w:rsidRPr="009A7958">
        <w:rPr>
          <w:rFonts w:ascii="Times New Roman" w:hAnsi="Times New Roman" w:cs="Times New Roman"/>
          <w:sz w:val="24"/>
          <w:szCs w:val="24"/>
        </w:rPr>
        <w:t xml:space="preserve"> para el TTIP. Ambas potencias están condenadas a entenderse:</w:t>
      </w:r>
      <w:r w:rsidRPr="009A7958">
        <w:rPr>
          <w:rStyle w:val="Textoennegrita"/>
          <w:rFonts w:ascii="Times New Roman" w:hAnsi="Times New Roman" w:cs="Times New Roman"/>
          <w:sz w:val="24"/>
          <w:szCs w:val="24"/>
        </w:rPr>
        <w:t xml:space="preserve"> EEUU es el primer mercado del mundo para la industria del vino y la UE es el primer destino de las exportaciones de caldos estadounidenses</w:t>
      </w:r>
      <w:r>
        <w:rPr>
          <w:rFonts w:ascii="Times New Roman" w:hAnsi="Times New Roman" w:cs="Times New Roman"/>
          <w:sz w:val="24"/>
          <w:szCs w:val="24"/>
        </w:rPr>
        <w:t>. “</w:t>
      </w:r>
      <w:r w:rsidRPr="009A7958">
        <w:rPr>
          <w:rFonts w:ascii="Times New Roman" w:hAnsi="Times New Roman" w:cs="Times New Roman"/>
          <w:sz w:val="24"/>
          <w:szCs w:val="24"/>
        </w:rPr>
        <w:t>Queremos un c</w:t>
      </w:r>
      <w:r>
        <w:rPr>
          <w:rFonts w:ascii="Times New Roman" w:hAnsi="Times New Roman" w:cs="Times New Roman"/>
          <w:sz w:val="24"/>
          <w:szCs w:val="24"/>
        </w:rPr>
        <w:t>apítulo específico para el vino”</w:t>
      </w:r>
      <w:r w:rsidRPr="009A7958">
        <w:rPr>
          <w:rFonts w:ascii="Times New Roman" w:hAnsi="Times New Roman" w:cs="Times New Roman"/>
          <w:sz w:val="24"/>
          <w:szCs w:val="24"/>
        </w:rPr>
        <w:t>, reclama Fernández.</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 xml:space="preserve">Estándares alimentarios </w:t>
      </w:r>
    </w:p>
    <w:p w:rsidR="000369FD" w:rsidRPr="009A7958"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sidRPr="004B7B58">
        <w:rPr>
          <w:rFonts w:ascii="Times New Roman" w:hAnsi="Times New Roman" w:cs="Times New Roman"/>
          <w:sz w:val="24"/>
          <w:szCs w:val="24"/>
          <w:u w:val="single"/>
        </w:rPr>
        <w:t xml:space="preserve">Desde la Organización Europea de Consumidores (BEUC, en sus siglas en francés), se insiste en que </w:t>
      </w:r>
      <w:r w:rsidRPr="004B7B58">
        <w:rPr>
          <w:rStyle w:val="Textoennegrita"/>
          <w:rFonts w:ascii="Times New Roman" w:hAnsi="Times New Roman" w:cs="Times New Roman"/>
          <w:sz w:val="24"/>
          <w:szCs w:val="24"/>
        </w:rPr>
        <w:t>el TTIP no debe servir para relajar estándares</w:t>
      </w:r>
      <w:r w:rsidRPr="004B7B58">
        <w:rPr>
          <w:rFonts w:ascii="Times New Roman" w:hAnsi="Times New Roman" w:cs="Times New Roman"/>
          <w:sz w:val="24"/>
          <w:szCs w:val="24"/>
          <w:u w:val="single"/>
        </w:rPr>
        <w:t xml:space="preserve">. En principio, es el mantra que también repiten los negociadores, pero </w:t>
      </w:r>
      <w:r w:rsidRPr="004B7B58">
        <w:rPr>
          <w:rStyle w:val="Textoennegrita"/>
          <w:rFonts w:ascii="Times New Roman" w:hAnsi="Times New Roman" w:cs="Times New Roman"/>
          <w:sz w:val="24"/>
          <w:szCs w:val="24"/>
        </w:rPr>
        <w:t>las asociaciones están alerta</w:t>
      </w:r>
      <w:r w:rsidRPr="004B7B58">
        <w:rPr>
          <w:rFonts w:ascii="Times New Roman" w:hAnsi="Times New Roman" w:cs="Times New Roman"/>
          <w:sz w:val="24"/>
          <w:szCs w:val="24"/>
          <w:u w:val="single"/>
        </w:rPr>
        <w:t>: “Pensamos que se puede ganar con el TTIP pero hay zonas difuminadas sobre diferencias sustanciales entre EEUU y la UE que deberían abordarse.</w:t>
      </w:r>
      <w:r w:rsidRPr="009A7958">
        <w:rPr>
          <w:rFonts w:ascii="Times New Roman" w:hAnsi="Times New Roman" w:cs="Times New Roman"/>
          <w:sz w:val="24"/>
          <w:szCs w:val="24"/>
        </w:rPr>
        <w:t xml:space="preserve"> Tenemos cierto miedo y preocupación por los estándares, por cómo se van a reconciliar esas diferencias y si el reconocimiento mutuo de estándares</w:t>
      </w:r>
      <w:r>
        <w:rPr>
          <w:rFonts w:ascii="Times New Roman" w:hAnsi="Times New Roman" w:cs="Times New Roman"/>
          <w:sz w:val="24"/>
          <w:szCs w:val="24"/>
        </w:rPr>
        <w:t xml:space="preserve"> los puede dejar por los suelos”</w:t>
      </w:r>
      <w:r w:rsidRPr="009A7958">
        <w:rPr>
          <w:rFonts w:ascii="Times New Roman" w:hAnsi="Times New Roman" w:cs="Times New Roman"/>
          <w:sz w:val="24"/>
          <w:szCs w:val="24"/>
        </w:rPr>
        <w:t xml:space="preserve">, expresa Clelia Imperiali. </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 xml:space="preserve">Cosméticos </w:t>
      </w:r>
    </w:p>
    <w:p w:rsidR="000369FD" w:rsidRPr="004B7B58" w:rsidRDefault="000369FD" w:rsidP="000369FD">
      <w:pPr>
        <w:shd w:val="clear" w:color="auto" w:fill="FFFFFF"/>
        <w:spacing w:before="100" w:beforeAutospacing="1" w:after="345" w:line="240" w:lineRule="auto"/>
        <w:jc w:val="both"/>
        <w:rPr>
          <w:rFonts w:ascii="Times New Roman" w:hAnsi="Times New Roman" w:cs="Times New Roman"/>
          <w:sz w:val="24"/>
          <w:szCs w:val="24"/>
          <w:u w:val="single"/>
        </w:rPr>
      </w:pPr>
      <w:r w:rsidRPr="004B7B58">
        <w:rPr>
          <w:rStyle w:val="Textoennegrita"/>
          <w:rFonts w:ascii="Times New Roman" w:hAnsi="Times New Roman" w:cs="Times New Roman"/>
          <w:sz w:val="24"/>
          <w:szCs w:val="24"/>
        </w:rPr>
        <w:t>La legislación europea prohíbe la utilización de más de 1.400 sustancias químicas, al considerarlas peligrosas</w:t>
      </w:r>
      <w:r w:rsidRPr="004B7B58">
        <w:rPr>
          <w:rFonts w:ascii="Times New Roman" w:hAnsi="Times New Roman" w:cs="Times New Roman"/>
          <w:sz w:val="24"/>
          <w:szCs w:val="24"/>
          <w:u w:val="single"/>
        </w:rPr>
        <w:t xml:space="preserve">. Aquí se aplica el </w:t>
      </w:r>
      <w:r w:rsidRPr="004B7B58">
        <w:rPr>
          <w:rStyle w:val="Textoennegrita"/>
          <w:rFonts w:ascii="Times New Roman" w:hAnsi="Times New Roman" w:cs="Times New Roman"/>
          <w:sz w:val="24"/>
          <w:szCs w:val="24"/>
        </w:rPr>
        <w:t>“principio de precaución”</w:t>
      </w:r>
      <w:r w:rsidRPr="004B7B58">
        <w:rPr>
          <w:rFonts w:ascii="Times New Roman" w:hAnsi="Times New Roman" w:cs="Times New Roman"/>
          <w:sz w:val="24"/>
          <w:szCs w:val="24"/>
          <w:u w:val="single"/>
        </w:rPr>
        <w:t xml:space="preserve">, que establece que con tener un mero indicio de que un producto químico puede causar cáncer, por ejemplo, es suficiente razón para que se prohíba. </w:t>
      </w:r>
      <w:r w:rsidRPr="004B7B58">
        <w:rPr>
          <w:rStyle w:val="Textoennegrita"/>
          <w:rFonts w:ascii="Times New Roman" w:hAnsi="Times New Roman" w:cs="Times New Roman"/>
          <w:sz w:val="24"/>
          <w:szCs w:val="24"/>
        </w:rPr>
        <w:t>En EEUU, la regulación se basa en resultados científicos e investigaciones, aunque se requieran años para probar si las sustancias son dañinas o no.</w:t>
      </w:r>
      <w:r w:rsidRPr="004B7B58">
        <w:rPr>
          <w:rFonts w:ascii="Times New Roman" w:hAnsi="Times New Roman" w:cs="Times New Roman"/>
          <w:sz w:val="24"/>
          <w:szCs w:val="24"/>
          <w:u w:val="single"/>
        </w:rPr>
        <w:t xml:space="preserve"> Resultado: EEUU sólo prohíbe 11 químicos para uso cosmético. </w:t>
      </w:r>
    </w:p>
    <w:p w:rsidR="000369FD" w:rsidRPr="009A7958" w:rsidRDefault="000369FD" w:rsidP="000369FD">
      <w:pPr>
        <w:pStyle w:val="Ttulo2"/>
        <w:shd w:val="clear" w:color="auto" w:fill="FFFFFF"/>
        <w:spacing w:line="240" w:lineRule="auto"/>
        <w:jc w:val="both"/>
        <w:rPr>
          <w:rFonts w:ascii="Times New Roman" w:hAnsi="Times New Roman" w:cs="Times New Roman"/>
          <w:color w:val="auto"/>
          <w:sz w:val="24"/>
          <w:szCs w:val="24"/>
        </w:rPr>
      </w:pPr>
      <w:r w:rsidRPr="009A7958">
        <w:rPr>
          <w:rFonts w:ascii="Times New Roman" w:hAnsi="Times New Roman" w:cs="Times New Roman"/>
          <w:color w:val="auto"/>
          <w:sz w:val="24"/>
          <w:szCs w:val="24"/>
        </w:rPr>
        <w:t>Protección de animales</w:t>
      </w:r>
    </w:p>
    <w:p w:rsidR="000369FD" w:rsidRPr="004B7B58" w:rsidRDefault="000369FD" w:rsidP="000369FD">
      <w:pPr>
        <w:shd w:val="clear" w:color="auto" w:fill="FFFFFF"/>
        <w:spacing w:before="100" w:beforeAutospacing="1" w:after="345" w:line="240" w:lineRule="auto"/>
        <w:jc w:val="both"/>
        <w:rPr>
          <w:rFonts w:ascii="Times New Roman" w:hAnsi="Times New Roman" w:cs="Times New Roman"/>
          <w:sz w:val="24"/>
          <w:szCs w:val="24"/>
          <w:u w:val="single"/>
        </w:rPr>
      </w:pPr>
      <w:r w:rsidRPr="004B7B58">
        <w:rPr>
          <w:rStyle w:val="Textoennegrita"/>
          <w:rFonts w:ascii="Times New Roman" w:hAnsi="Times New Roman" w:cs="Times New Roman"/>
          <w:sz w:val="24"/>
          <w:szCs w:val="24"/>
        </w:rPr>
        <w:t>La legislación estadounidense excluye a los animales de granja de la definición de “animal”</w:t>
      </w:r>
      <w:r w:rsidRPr="004B7B58">
        <w:rPr>
          <w:rFonts w:ascii="Times New Roman" w:hAnsi="Times New Roman" w:cs="Times New Roman"/>
          <w:sz w:val="24"/>
          <w:szCs w:val="24"/>
          <w:u w:val="single"/>
        </w:rPr>
        <w:t xml:space="preserve"> y las asociaciones protectoras de la UE expresan preocupación por el trato que reciben.</w:t>
      </w:r>
    </w:p>
    <w:p w:rsidR="000369FD" w:rsidRPr="009A7958"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A7958">
        <w:rPr>
          <w:rFonts w:ascii="Times New Roman" w:hAnsi="Times New Roman" w:cs="Times New Roman"/>
          <w:sz w:val="24"/>
          <w:szCs w:val="24"/>
          <w:u w:val="single"/>
        </w:rPr>
        <w:t>Esta</w:t>
      </w:r>
      <w:r>
        <w:rPr>
          <w:rFonts w:ascii="Times New Roman" w:hAnsi="Times New Roman" w:cs="Times New Roman"/>
          <w:sz w:val="24"/>
          <w:szCs w:val="24"/>
          <w:u w:val="single"/>
        </w:rPr>
        <w:t>dos Unidos y Europa blindan su “</w:t>
      </w:r>
      <w:r w:rsidRPr="009A7958">
        <w:rPr>
          <w:rFonts w:ascii="Times New Roman" w:hAnsi="Times New Roman" w:cs="Times New Roman"/>
          <w:sz w:val="24"/>
          <w:szCs w:val="24"/>
          <w:u w:val="single"/>
        </w:rPr>
        <w:t>OTAN</w:t>
      </w:r>
      <w:r>
        <w:rPr>
          <w:rFonts w:ascii="Times New Roman" w:hAnsi="Times New Roman" w:cs="Times New Roman"/>
          <w:sz w:val="24"/>
          <w:szCs w:val="24"/>
          <w:u w:val="single"/>
        </w:rPr>
        <w:t xml:space="preserve"> Económica”</w:t>
      </w:r>
      <w:r w:rsidRPr="009A7958">
        <w:rPr>
          <w:rFonts w:ascii="Times New Roman" w:hAnsi="Times New Roman" w:cs="Times New Roman"/>
          <w:sz w:val="24"/>
          <w:szCs w:val="24"/>
          <w:u w:val="single"/>
        </w:rPr>
        <w:t xml:space="preserve"> contra China</w:t>
      </w:r>
      <w:r>
        <w:rPr>
          <w:rFonts w:ascii="Times New Roman" w:hAnsi="Times New Roman" w:cs="Times New Roman"/>
          <w:sz w:val="24"/>
          <w:szCs w:val="24"/>
        </w:rPr>
        <w:t xml:space="preserve"> (elmundo.es - </w:t>
      </w:r>
      <w:r w:rsidRPr="009A7958">
        <w:rPr>
          <w:rFonts w:ascii="Times New Roman" w:hAnsi="Times New Roman" w:cs="Times New Roman"/>
          <w:b/>
          <w:sz w:val="24"/>
          <w:szCs w:val="24"/>
        </w:rPr>
        <w:t>12/10/14</w:t>
      </w:r>
      <w:r>
        <w:rPr>
          <w:rFonts w:ascii="Times New Roman" w:hAnsi="Times New Roman" w:cs="Times New Roman"/>
          <w:sz w:val="24"/>
          <w:szCs w:val="24"/>
        </w:rPr>
        <w:t>)</w:t>
      </w:r>
    </w:p>
    <w:p w:rsidR="000369FD"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sidRPr="009A7958">
        <w:rPr>
          <w:rFonts w:ascii="Times New Roman" w:hAnsi="Times New Roman" w:cs="Times New Roman"/>
          <w:sz w:val="24"/>
          <w:szCs w:val="24"/>
        </w:rPr>
        <w:t>La firma del acuerdo de libre comercio les permitiría controlar la influencia china global</w:t>
      </w:r>
    </w:p>
    <w:p w:rsidR="000369FD"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Pr>
          <w:rFonts w:ascii="Times New Roman" w:hAnsi="Times New Roman" w:cs="Times New Roman"/>
          <w:sz w:val="24"/>
          <w:szCs w:val="24"/>
        </w:rPr>
        <w:t>(Por Rosa Meneses)</w:t>
      </w:r>
    </w:p>
    <w:p w:rsidR="000369FD" w:rsidRPr="009A7958" w:rsidRDefault="000369FD" w:rsidP="000369FD">
      <w:pPr>
        <w:shd w:val="clear" w:color="auto" w:fill="FFFFFF"/>
        <w:spacing w:before="100" w:beforeAutospacing="1" w:after="345" w:line="240" w:lineRule="auto"/>
        <w:jc w:val="both"/>
        <w:rPr>
          <w:rFonts w:ascii="Times New Roman" w:hAnsi="Times New Roman" w:cs="Times New Roman"/>
          <w:sz w:val="24"/>
          <w:szCs w:val="24"/>
        </w:rPr>
      </w:pPr>
      <w:r>
        <w:rPr>
          <w:rFonts w:ascii="Arial" w:hAnsi="Arial" w:cs="Arial"/>
          <w:noProof/>
          <w:color w:val="555555"/>
          <w:lang w:eastAsia="es-ES"/>
        </w:rPr>
        <w:lastRenderedPageBreak/>
        <w:drawing>
          <wp:inline distT="0" distB="0" distL="0" distR="0" wp14:anchorId="5A6BAA14" wp14:editId="6F68AF7C">
            <wp:extent cx="5397498" cy="2673350"/>
            <wp:effectExtent l="0" t="0" r="0" b="0"/>
            <wp:docPr id="4" name="Imagen 4" descr="http://estaticos04.elmundo.es/assets/multimedia/imagenes/2014/10/11/141302334224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staticos04.elmundo.es/assets/multimedia/imagenes/2014/10/11/14130233422437.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397498" cy="2673350"/>
                    </a:xfrm>
                    <a:prstGeom prst="rect">
                      <a:avLst/>
                    </a:prstGeom>
                    <a:noFill/>
                    <a:ln>
                      <a:noFill/>
                    </a:ln>
                  </pic:spPr>
                </pic:pic>
              </a:graphicData>
            </a:graphic>
          </wp:inline>
        </w:drawing>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Estados Unidos y la Unión Europea acaban de finalizar la séptima ronda de negociaciones sobre un acuerdo de libre comercio al que muchos expertos llaman la </w:t>
      </w:r>
      <w:r w:rsidRPr="004B7B58">
        <w:rPr>
          <w:rFonts w:ascii="Times New Roman" w:eastAsia="Times New Roman" w:hAnsi="Times New Roman" w:cs="Times New Roman"/>
          <w:b/>
          <w:bCs/>
          <w:sz w:val="24"/>
          <w:szCs w:val="24"/>
          <w:u w:val="single"/>
          <w:lang w:eastAsia="es-ES"/>
        </w:rPr>
        <w:t>OTAN económica</w:t>
      </w:r>
      <w:r w:rsidRPr="004B7B58">
        <w:rPr>
          <w:rFonts w:ascii="Times New Roman" w:eastAsia="Times New Roman" w:hAnsi="Times New Roman" w:cs="Times New Roman"/>
          <w:sz w:val="24"/>
          <w:szCs w:val="24"/>
          <w:u w:val="single"/>
          <w:lang w:eastAsia="es-ES"/>
        </w:rPr>
        <w:t>. El Partenariado Transatlántico de Comercio e Inversiones (conocido como TTIP, por sus siglas en inglés), es mucho más que un tratado comercial. Es una</w:t>
      </w:r>
      <w:r w:rsidRPr="004B7B58">
        <w:rPr>
          <w:rFonts w:ascii="Times New Roman" w:eastAsia="Times New Roman" w:hAnsi="Times New Roman" w:cs="Times New Roman"/>
          <w:b/>
          <w:bCs/>
          <w:sz w:val="24"/>
          <w:szCs w:val="24"/>
          <w:u w:val="single"/>
          <w:lang w:eastAsia="es-ES"/>
        </w:rPr>
        <w:t xml:space="preserve"> alianza geoestratégica</w:t>
      </w:r>
      <w:r w:rsidRPr="004B7B58">
        <w:rPr>
          <w:rFonts w:ascii="Times New Roman" w:eastAsia="Times New Roman" w:hAnsi="Times New Roman" w:cs="Times New Roman"/>
          <w:sz w:val="24"/>
          <w:szCs w:val="24"/>
          <w:u w:val="single"/>
          <w:lang w:eastAsia="es-ES"/>
        </w:rPr>
        <w:t xml:space="preserve"> que viene a revitalizar las relaciones transatlánticas, pero, sobre todo, a contener el auge de China y Rusia y a devolver a EEUU (y a la UE) la fijación de las reglas del juego de la economía global.</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“El TTIP no es sólo un acuerdo comercial, sino geopolítico. La agenda económica está dibujada por las preocupaciones geopolíticas, motivada por las políticas exteriores y los temores y riesgos de seguridad internacional”, analiza </w:t>
      </w:r>
      <w:r w:rsidRPr="004B7B58">
        <w:rPr>
          <w:rFonts w:ascii="Times New Roman" w:eastAsia="Times New Roman" w:hAnsi="Times New Roman" w:cs="Times New Roman"/>
          <w:b/>
          <w:bCs/>
          <w:sz w:val="24"/>
          <w:szCs w:val="24"/>
          <w:u w:val="single"/>
          <w:lang w:eastAsia="es-ES"/>
        </w:rPr>
        <w:t>Fred Bergsten</w:t>
      </w:r>
      <w:r w:rsidRPr="004B7B58">
        <w:rPr>
          <w:rFonts w:ascii="Times New Roman" w:eastAsia="Times New Roman" w:hAnsi="Times New Roman" w:cs="Times New Roman"/>
          <w:sz w:val="24"/>
          <w:szCs w:val="24"/>
          <w:u w:val="single"/>
          <w:lang w:eastAsia="es-ES"/>
        </w:rPr>
        <w:t xml:space="preserve">, director emérito del </w:t>
      </w:r>
      <w:r w:rsidRPr="004B7B58">
        <w:rPr>
          <w:rFonts w:ascii="Times New Roman" w:eastAsia="Times New Roman" w:hAnsi="Times New Roman" w:cs="Times New Roman"/>
          <w:b/>
          <w:bCs/>
          <w:sz w:val="24"/>
          <w:szCs w:val="24"/>
          <w:u w:val="single"/>
          <w:lang w:eastAsia="es-ES"/>
        </w:rPr>
        <w:t>Peterson Center for International Economics</w:t>
      </w:r>
      <w:r w:rsidRPr="004B7B58">
        <w:rPr>
          <w:rFonts w:ascii="Times New Roman" w:eastAsia="Times New Roman" w:hAnsi="Times New Roman" w:cs="Times New Roman"/>
          <w:sz w:val="24"/>
          <w:szCs w:val="24"/>
          <w:u w:val="single"/>
          <w:lang w:eastAsia="es-ES"/>
        </w:rPr>
        <w:t>, una institución con sede en Washington que fundó en 1981.</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Coincide con él </w:t>
      </w:r>
      <w:r w:rsidRPr="004B7B58">
        <w:rPr>
          <w:rFonts w:ascii="Times New Roman" w:eastAsia="Times New Roman" w:hAnsi="Times New Roman" w:cs="Times New Roman"/>
          <w:b/>
          <w:bCs/>
          <w:sz w:val="24"/>
          <w:szCs w:val="24"/>
          <w:u w:val="single"/>
          <w:lang w:eastAsia="es-ES"/>
        </w:rPr>
        <w:t>Garrett Workman</w:t>
      </w:r>
      <w:r w:rsidRPr="004B7B58">
        <w:rPr>
          <w:rFonts w:ascii="Times New Roman" w:eastAsia="Times New Roman" w:hAnsi="Times New Roman" w:cs="Times New Roman"/>
          <w:sz w:val="24"/>
          <w:szCs w:val="24"/>
          <w:u w:val="single"/>
          <w:lang w:eastAsia="es-ES"/>
        </w:rPr>
        <w:t xml:space="preserve">, director asociado del think tank estadounidense </w:t>
      </w:r>
      <w:r w:rsidRPr="004B7B58">
        <w:rPr>
          <w:rFonts w:ascii="Times New Roman" w:eastAsia="Times New Roman" w:hAnsi="Times New Roman" w:cs="Times New Roman"/>
          <w:b/>
          <w:bCs/>
          <w:sz w:val="24"/>
          <w:szCs w:val="24"/>
          <w:u w:val="single"/>
          <w:lang w:eastAsia="es-ES"/>
        </w:rPr>
        <w:t>Atlantic Council</w:t>
      </w:r>
      <w:r w:rsidRPr="004B7B58">
        <w:rPr>
          <w:rFonts w:ascii="Times New Roman" w:eastAsia="Times New Roman" w:hAnsi="Times New Roman" w:cs="Times New Roman"/>
          <w:sz w:val="24"/>
          <w:szCs w:val="24"/>
          <w:u w:val="single"/>
          <w:lang w:eastAsia="es-ES"/>
        </w:rPr>
        <w:t>: “El TTIP es un acuerdo geoestratégico, el segundo pilar de la OTAN. Muestra cómo continuar trabajando juntos y es la última oportunidad de tomar un papel de liderazgo por parte de EEUU y la UE” en el mundo.</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Se trata de “expandir la influencia mundial de ambas potencias, a través de sus estándares y sus maneras de hacer”, explica Workman. El TTIP intenta establecer “un mecanismo compartido sobre cómo la economía debe funcionar en el mundo”, añade.</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Y ahí entra China, que compite cómodamente con EEUU y los europeos. Un acuerdo entre ambos lados del Atlántico crearía una nueva superestructura comercial internacional y sentaría nuevas bases en las que China ya no lo tenga tan fácil y deba aceptar las reglas del juego si no quiere quedar aislada. El modelo de tratado que quede fijado con el TTIP sentará el ejemplo para acuerdos futuros.</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En Europa son más claros sobre los objetivos del TTIP más allá de una zona de libre comercio transatlántica. “El TTIP es la oportunidad de dibujar la globalización según nuestros valores. Porque la alternativa es que, si no unimos nuestras fuerzas, la </w:t>
      </w:r>
      <w:r w:rsidRPr="004B7B58">
        <w:rPr>
          <w:rFonts w:ascii="Times New Roman" w:eastAsia="Times New Roman" w:hAnsi="Times New Roman" w:cs="Times New Roman"/>
          <w:sz w:val="24"/>
          <w:szCs w:val="24"/>
          <w:u w:val="single"/>
          <w:lang w:eastAsia="es-ES"/>
        </w:rPr>
        <w:lastRenderedPageBreak/>
        <w:t xml:space="preserve">globalización avanzará sin nuestra visión”, afirma </w:t>
      </w:r>
      <w:r w:rsidRPr="004B7B58">
        <w:rPr>
          <w:rFonts w:ascii="Times New Roman" w:eastAsia="Times New Roman" w:hAnsi="Times New Roman" w:cs="Times New Roman"/>
          <w:b/>
          <w:bCs/>
          <w:sz w:val="24"/>
          <w:szCs w:val="24"/>
          <w:u w:val="single"/>
          <w:lang w:eastAsia="es-ES"/>
        </w:rPr>
        <w:t>Markus Beyrer,</w:t>
      </w:r>
      <w:r w:rsidRPr="004B7B58">
        <w:rPr>
          <w:rFonts w:ascii="Times New Roman" w:eastAsia="Times New Roman" w:hAnsi="Times New Roman" w:cs="Times New Roman"/>
          <w:sz w:val="24"/>
          <w:szCs w:val="24"/>
          <w:u w:val="single"/>
          <w:lang w:eastAsia="es-ES"/>
        </w:rPr>
        <w:t xml:space="preserve"> director general de </w:t>
      </w:r>
      <w:r w:rsidRPr="004B7B58">
        <w:rPr>
          <w:rFonts w:ascii="Times New Roman" w:eastAsia="Times New Roman" w:hAnsi="Times New Roman" w:cs="Times New Roman"/>
          <w:b/>
          <w:bCs/>
          <w:sz w:val="24"/>
          <w:szCs w:val="24"/>
          <w:u w:val="single"/>
          <w:lang w:eastAsia="es-ES"/>
        </w:rPr>
        <w:t>Business Europe</w:t>
      </w:r>
      <w:r w:rsidRPr="004B7B58">
        <w:rPr>
          <w:rFonts w:ascii="Times New Roman" w:eastAsia="Times New Roman" w:hAnsi="Times New Roman" w:cs="Times New Roman"/>
          <w:sz w:val="24"/>
          <w:szCs w:val="24"/>
          <w:u w:val="single"/>
          <w:lang w:eastAsia="es-ES"/>
        </w:rPr>
        <w:t xml:space="preserve">, la patronal europea. “Si nosotros no fijamos el modelo, China lo hará”, expone </w:t>
      </w:r>
      <w:r w:rsidRPr="004B7B58">
        <w:rPr>
          <w:rFonts w:ascii="Times New Roman" w:eastAsia="Times New Roman" w:hAnsi="Times New Roman" w:cs="Times New Roman"/>
          <w:b/>
          <w:bCs/>
          <w:sz w:val="24"/>
          <w:szCs w:val="24"/>
          <w:u w:val="single"/>
          <w:lang w:eastAsia="es-ES"/>
        </w:rPr>
        <w:t>Nicolas Hodac</w:t>
      </w:r>
      <w:r w:rsidRPr="004B7B58">
        <w:rPr>
          <w:rFonts w:ascii="Times New Roman" w:eastAsia="Times New Roman" w:hAnsi="Times New Roman" w:cs="Times New Roman"/>
          <w:sz w:val="24"/>
          <w:szCs w:val="24"/>
          <w:u w:val="single"/>
          <w:lang w:eastAsia="es-ES"/>
        </w:rPr>
        <w:t>, ejecutivo de Programas Gubernamentales de</w:t>
      </w:r>
      <w:r w:rsidRPr="004B7B58">
        <w:rPr>
          <w:rFonts w:ascii="Times New Roman" w:eastAsia="Times New Roman" w:hAnsi="Times New Roman" w:cs="Times New Roman"/>
          <w:b/>
          <w:bCs/>
          <w:sz w:val="24"/>
          <w:szCs w:val="24"/>
          <w:u w:val="single"/>
          <w:lang w:eastAsia="es-ES"/>
        </w:rPr>
        <w:t xml:space="preserve"> IBM</w:t>
      </w:r>
      <w:r w:rsidRPr="004B7B58">
        <w:rPr>
          <w:rFonts w:ascii="Times New Roman" w:eastAsia="Times New Roman" w:hAnsi="Times New Roman" w:cs="Times New Roman"/>
          <w:sz w:val="24"/>
          <w:szCs w:val="24"/>
          <w:u w:val="single"/>
          <w:lang w:eastAsia="es-ES"/>
        </w:rPr>
        <w:t xml:space="preserve"> en Bruselas. </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b/>
          <w:bCs/>
          <w:sz w:val="24"/>
          <w:szCs w:val="24"/>
          <w:u w:val="single"/>
          <w:lang w:eastAsia="es-ES"/>
        </w:rPr>
        <w:t>Hosuk Lee-Makiyama</w:t>
      </w:r>
      <w:r w:rsidRPr="004B7B58">
        <w:rPr>
          <w:rFonts w:ascii="Times New Roman" w:eastAsia="Times New Roman" w:hAnsi="Times New Roman" w:cs="Times New Roman"/>
          <w:sz w:val="24"/>
          <w:szCs w:val="24"/>
          <w:u w:val="single"/>
          <w:lang w:eastAsia="es-ES"/>
        </w:rPr>
        <w:t>, director del Centro Europeo para la Política Económica Internacional (Ecipe) piensa que Europa y EEUU necesitan desesperadamente este acuerdo. “Si no ponemos en marcha el tratado estamos perdidos. Si queremos mantener el modelo que tenemos ahora, necesitamos negociar este acuerdo. El sistema general está en una crisis más profunda de lo que se cree”, señala. Y Europa, argumenta, está en decadencia. “El PIB de Europa es el 20% del PIB mundial y en 15 años será el 10%. Necesitamos reparar el sistema, es nuestra última oportunidad”, concluye.</w:t>
      </w:r>
    </w:p>
    <w:p w:rsidR="000369FD" w:rsidRPr="009A79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B7B58">
        <w:rPr>
          <w:rFonts w:ascii="Times New Roman" w:eastAsia="Times New Roman" w:hAnsi="Times New Roman" w:cs="Times New Roman"/>
          <w:sz w:val="24"/>
          <w:szCs w:val="24"/>
          <w:u w:val="single"/>
          <w:lang w:eastAsia="es-ES"/>
        </w:rPr>
        <w:t>Lo que viene a decir este analista es que el Viejo Continente ya no es el centro del mundo. “Europa no es una prioridad; ahora lo es Asia-Pacífico. El mundo ha cambiado”, recalca. Y la competencia entre EEUU y China es la clave de todo esto.</w:t>
      </w:r>
      <w:r>
        <w:rPr>
          <w:rFonts w:ascii="Times New Roman" w:eastAsia="Times New Roman" w:hAnsi="Times New Roman" w:cs="Times New Roman"/>
          <w:sz w:val="24"/>
          <w:szCs w:val="24"/>
          <w:lang w:eastAsia="es-ES"/>
        </w:rPr>
        <w:t xml:space="preserve"> “</w:t>
      </w:r>
      <w:r w:rsidRPr="009A7958">
        <w:rPr>
          <w:rFonts w:ascii="Times New Roman" w:eastAsia="Times New Roman" w:hAnsi="Times New Roman" w:cs="Times New Roman"/>
          <w:sz w:val="24"/>
          <w:szCs w:val="24"/>
          <w:lang w:eastAsia="es-ES"/>
        </w:rPr>
        <w:t xml:space="preserve">Cuando </w:t>
      </w:r>
      <w:r w:rsidRPr="009A7958">
        <w:rPr>
          <w:rFonts w:ascii="Times New Roman" w:eastAsia="Times New Roman" w:hAnsi="Times New Roman" w:cs="Times New Roman"/>
          <w:b/>
          <w:bCs/>
          <w:sz w:val="24"/>
          <w:szCs w:val="24"/>
          <w:lang w:eastAsia="es-ES"/>
        </w:rPr>
        <w:t>Obama</w:t>
      </w:r>
      <w:r w:rsidRPr="009A7958">
        <w:rPr>
          <w:rFonts w:ascii="Times New Roman" w:eastAsia="Times New Roman" w:hAnsi="Times New Roman" w:cs="Times New Roman"/>
          <w:sz w:val="24"/>
          <w:szCs w:val="24"/>
          <w:lang w:eastAsia="es-ES"/>
        </w:rPr>
        <w:t xml:space="preserve"> iba a </w:t>
      </w:r>
      <w:r>
        <w:rPr>
          <w:rFonts w:ascii="Times New Roman" w:eastAsia="Times New Roman" w:hAnsi="Times New Roman" w:cs="Times New Roman"/>
          <w:sz w:val="24"/>
          <w:szCs w:val="24"/>
          <w:lang w:eastAsia="es-ES"/>
        </w:rPr>
        <w:t>iniciar su primer viaje a Asia (en noviembre de 2009)</w:t>
      </w:r>
      <w:r w:rsidRPr="009A7958">
        <w:rPr>
          <w:rFonts w:ascii="Times New Roman" w:eastAsia="Times New Roman" w:hAnsi="Times New Roman" w:cs="Times New Roman"/>
          <w:sz w:val="24"/>
          <w:szCs w:val="24"/>
          <w:lang w:eastAsia="es-ES"/>
        </w:rPr>
        <w:t xml:space="preserve">, días antes se reunió con </w:t>
      </w:r>
      <w:r w:rsidRPr="009A7958">
        <w:rPr>
          <w:rFonts w:ascii="Times New Roman" w:eastAsia="Times New Roman" w:hAnsi="Times New Roman" w:cs="Times New Roman"/>
          <w:b/>
          <w:bCs/>
          <w:sz w:val="24"/>
          <w:szCs w:val="24"/>
          <w:lang w:eastAsia="es-ES"/>
        </w:rPr>
        <w:t>Lee Kuan Yew</w:t>
      </w:r>
      <w:r w:rsidRPr="009A7958">
        <w:rPr>
          <w:rFonts w:ascii="Times New Roman" w:eastAsia="Times New Roman" w:hAnsi="Times New Roman" w:cs="Times New Roman"/>
          <w:sz w:val="24"/>
          <w:szCs w:val="24"/>
          <w:lang w:eastAsia="es-ES"/>
        </w:rPr>
        <w:t>, el fundador d</w:t>
      </w:r>
      <w:r>
        <w:rPr>
          <w:rFonts w:ascii="Times New Roman" w:eastAsia="Times New Roman" w:hAnsi="Times New Roman" w:cs="Times New Roman"/>
          <w:sz w:val="24"/>
          <w:szCs w:val="24"/>
          <w:lang w:eastAsia="es-ES"/>
        </w:rPr>
        <w:t>e Singapur, quien le advirtió: “</w:t>
      </w:r>
      <w:r w:rsidRPr="009A7958">
        <w:rPr>
          <w:rFonts w:ascii="Times New Roman" w:eastAsia="Times New Roman" w:hAnsi="Times New Roman" w:cs="Times New Roman"/>
          <w:sz w:val="24"/>
          <w:szCs w:val="24"/>
          <w:lang w:eastAsia="es-ES"/>
        </w:rPr>
        <w:t>Si no tomas iniciativas económicas en Asia, vas a dej</w:t>
      </w:r>
      <w:r>
        <w:rPr>
          <w:rFonts w:ascii="Times New Roman" w:eastAsia="Times New Roman" w:hAnsi="Times New Roman" w:cs="Times New Roman"/>
          <w:sz w:val="24"/>
          <w:szCs w:val="24"/>
          <w:lang w:eastAsia="es-ES"/>
        </w:rPr>
        <w:t>ar esta tierra en manos de Chin”</w:t>
      </w:r>
      <w:r w:rsidRPr="009A7958">
        <w:rPr>
          <w:rFonts w:ascii="Times New Roman" w:eastAsia="Times New Roman" w:hAnsi="Times New Roman" w:cs="Times New Roman"/>
          <w:sz w:val="24"/>
          <w:szCs w:val="24"/>
          <w:lang w:eastAsia="es-ES"/>
        </w:rPr>
        <w:t>'. A partir de entonces, Obama se volvió más agresivo en cuanto a asuntos comerciale</w:t>
      </w:r>
      <w:r>
        <w:rPr>
          <w:rFonts w:ascii="Times New Roman" w:eastAsia="Times New Roman" w:hAnsi="Times New Roman" w:cs="Times New Roman"/>
          <w:sz w:val="24"/>
          <w:szCs w:val="24"/>
          <w:lang w:eastAsia="es-ES"/>
        </w:rPr>
        <w:t>s, aunque no en temas políticos”</w:t>
      </w:r>
      <w:r w:rsidRPr="009A7958">
        <w:rPr>
          <w:rFonts w:ascii="Times New Roman" w:eastAsia="Times New Roman" w:hAnsi="Times New Roman" w:cs="Times New Roman"/>
          <w:sz w:val="24"/>
          <w:szCs w:val="24"/>
          <w:lang w:eastAsia="es-ES"/>
        </w:rPr>
        <w:t xml:space="preserve">, confirma Bergsten. </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Ya desde la era </w:t>
      </w:r>
      <w:r w:rsidRPr="004B7B58">
        <w:rPr>
          <w:rFonts w:ascii="Times New Roman" w:eastAsia="Times New Roman" w:hAnsi="Times New Roman" w:cs="Times New Roman"/>
          <w:b/>
          <w:bCs/>
          <w:sz w:val="24"/>
          <w:szCs w:val="24"/>
          <w:u w:val="single"/>
          <w:lang w:eastAsia="es-ES"/>
        </w:rPr>
        <w:t xml:space="preserve">Bush </w:t>
      </w:r>
      <w:r w:rsidRPr="004B7B58">
        <w:rPr>
          <w:rFonts w:ascii="Times New Roman" w:eastAsia="Times New Roman" w:hAnsi="Times New Roman" w:cs="Times New Roman"/>
          <w:sz w:val="24"/>
          <w:szCs w:val="24"/>
          <w:u w:val="single"/>
          <w:lang w:eastAsia="es-ES"/>
        </w:rPr>
        <w:t xml:space="preserve">(hijo) se negociaba el Acuerdo Trans-Pacífico (TPP) con los principales 12 países de la cuenca del Pacífico, excluyendo a China. “EEUU está llevando a cabo la agenda comercial más agresiva de su historia, negociando al mismo tiempo acuerdos con Asia y Europa. Su objetivo ofensivo es movilizar a las economías de mercado para establecer un modelo que atraiga al resto del mundo y al que China acabará sumándose”, asegura el director emérito del Peterson. </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 xml:space="preserve">¿Están EEUU y la UE sentando las bases para redefinir las instituciones mundiales frente a los países emergentes? “La Organización Mundial del Comercio ha fracasado. Debe haber otra geometría del comercio”, apunta Lee-Makiyama. “China no es irracional, se abrirá a la globalización tan pronto como entienda que no puede estar fuera”, agrega. </w:t>
      </w:r>
    </w:p>
    <w:p w:rsidR="000369FD" w:rsidRPr="004B7B58"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B7B58">
        <w:rPr>
          <w:rFonts w:ascii="Times New Roman" w:eastAsia="Times New Roman" w:hAnsi="Times New Roman" w:cs="Times New Roman"/>
          <w:sz w:val="24"/>
          <w:szCs w:val="24"/>
          <w:u w:val="single"/>
          <w:lang w:eastAsia="es-ES"/>
        </w:rPr>
        <w:t>Para Washington y Bruselas, la estrategia es al mismo tiempo una ofensiva política de reposicionamiento mundial. El TTIP se piensa como un blindaje de Europa frente a conflictos como el de Ucrania con Rusia y para contrarrestar la dependencia energética del gas ruso que tiene Europa central. El comercio “es un elemento clave para mantener la paz”, argumenta el director de Ecipe. Pero ojo: el TTIP no resolverá todos los problemas mundiales.</w:t>
      </w:r>
    </w:p>
    <w:p w:rsidR="000369FD"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1D5C2A">
        <w:rPr>
          <w:rFonts w:ascii="Times New Roman" w:eastAsia="Times New Roman" w:hAnsi="Times New Roman" w:cs="Times New Roman"/>
          <w:color w:val="FF0000"/>
          <w:sz w:val="24"/>
          <w:szCs w:val="24"/>
          <w:lang w:eastAsia="es-ES"/>
        </w:rPr>
        <w:t>(</w:t>
      </w:r>
      <w:r w:rsidRPr="001D5C2A">
        <w:rPr>
          <w:rFonts w:ascii="Times New Roman" w:hAnsi="Times New Roman" w:cs="Times New Roman"/>
          <w:color w:val="FF0000"/>
          <w:sz w:val="24"/>
          <w:szCs w:val="24"/>
        </w:rPr>
        <w:t>U</w:t>
      </w:r>
      <w:r w:rsidRPr="00F772C4">
        <w:rPr>
          <w:rFonts w:ascii="Times New Roman" w:hAnsi="Times New Roman" w:cs="Times New Roman"/>
          <w:color w:val="FF0000"/>
          <w:sz w:val="24"/>
          <w:szCs w:val="24"/>
        </w:rPr>
        <w:t>n reciente informe del Instituto de Desarrollo Global y Medio Ambiente de la Tufts University (Massachusetts, EEUU) ofrece nuevos datos sobre las posibles consecuencias del TTIP para Europa. Según sus cálculos, claramente opuestos a los que la Comisión Europea baraja, el tratado podría suponer la pérdida de hasta 600.000 empleos en Europa, junto a caídas del PIB, inestabilidad eco</w:t>
      </w:r>
      <w:r>
        <w:rPr>
          <w:rFonts w:ascii="Times New Roman" w:hAnsi="Times New Roman" w:cs="Times New Roman"/>
          <w:color w:val="FF0000"/>
          <w:sz w:val="24"/>
          <w:szCs w:val="24"/>
        </w:rPr>
        <w:t>nómica y mayores desequilibrios)</w:t>
      </w:r>
    </w:p>
    <w:p w:rsidR="000369FD"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F772C4"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8A00C6">
        <w:rPr>
          <w:rFonts w:ascii="Times New Roman" w:hAnsi="Times New Roman" w:cs="Times New Roman"/>
          <w:sz w:val="24"/>
          <w:szCs w:val="24"/>
          <w:u w:val="single"/>
        </w:rPr>
        <w:t>GDAE Working Paper No. 14-03: TTIP: Desintegración de la Unión Europea, Desempleo e Inestabilidad</w:t>
      </w:r>
      <w:r>
        <w:rPr>
          <w:rFonts w:ascii="Times New Roman" w:hAnsi="Times New Roman" w:cs="Times New Roman"/>
          <w:sz w:val="24"/>
          <w:szCs w:val="24"/>
        </w:rPr>
        <w:t xml:space="preserve"> (</w:t>
      </w:r>
      <w:r w:rsidRPr="008A00C6">
        <w:rPr>
          <w:rFonts w:ascii="Times New Roman" w:hAnsi="Times New Roman" w:cs="Times New Roman"/>
          <w:b/>
          <w:sz w:val="24"/>
          <w:szCs w:val="24"/>
        </w:rPr>
        <w:t>Octubre 2014</w:t>
      </w:r>
      <w:r>
        <w:rPr>
          <w:rFonts w:ascii="Times New Roman" w:hAnsi="Times New Roman" w:cs="Times New Roman"/>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u w:val="single"/>
        </w:rPr>
      </w:pPr>
      <w:r w:rsidRPr="008A00C6">
        <w:rPr>
          <w:rFonts w:ascii="Times New Roman" w:hAnsi="Times New Roman" w:cs="Times New Roman"/>
          <w:sz w:val="24"/>
          <w:szCs w:val="24"/>
          <w:u w:val="single"/>
        </w:rPr>
        <w:t>Acuerdo Transatlántico de Comercio e Inversión: Desintegración de la Unión Europea, Desempleo e Inestabilidad</w:t>
      </w: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A00C6">
        <w:rPr>
          <w:rFonts w:ascii="Times New Roman" w:hAnsi="Times New Roman" w:cs="Times New Roman"/>
          <w:sz w:val="24"/>
          <w:szCs w:val="24"/>
        </w:rPr>
        <w:t>Jeronim Capaldo</w:t>
      </w:r>
      <w:r>
        <w:rPr>
          <w:rFonts w:ascii="Times New Roman" w:hAnsi="Times New Roman" w:cs="Times New Roman"/>
          <w:sz w:val="24"/>
          <w:szCs w:val="24"/>
        </w:rPr>
        <w:t>)</w:t>
      </w: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b/>
          <w:sz w:val="24"/>
          <w:szCs w:val="24"/>
        </w:rPr>
      </w:pPr>
      <w:r w:rsidRPr="008A00C6">
        <w:rPr>
          <w:rFonts w:ascii="Times New Roman" w:hAnsi="Times New Roman" w:cs="Times New Roman"/>
          <w:b/>
          <w:sz w:val="24"/>
          <w:szCs w:val="24"/>
        </w:rPr>
        <w:t>Resumen ejecutivo</w:t>
      </w: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r w:rsidRPr="008A00C6">
        <w:rPr>
          <w:rFonts w:ascii="Times New Roman" w:hAnsi="Times New Roman" w:cs="Times New Roman"/>
          <w:sz w:val="24"/>
          <w:szCs w:val="24"/>
        </w:rPr>
        <w:t>La Unión Europea y los Estados Unidos están negociando actual</w:t>
      </w:r>
      <w:r>
        <w:rPr>
          <w:rFonts w:ascii="Times New Roman" w:hAnsi="Times New Roman" w:cs="Times New Roman"/>
          <w:sz w:val="24"/>
          <w:szCs w:val="24"/>
        </w:rPr>
        <w:t xml:space="preserve">mente el Acuerdo Transatlántico </w:t>
      </w:r>
      <w:r w:rsidRPr="008A00C6">
        <w:rPr>
          <w:rFonts w:ascii="Times New Roman" w:hAnsi="Times New Roman" w:cs="Times New Roman"/>
          <w:sz w:val="24"/>
          <w:szCs w:val="24"/>
        </w:rPr>
        <w:t>de Comercio e Inversión (TTIP), un acuerdo comercial que pretende integrar ambas economías.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4B7B58" w:rsidRDefault="000369FD" w:rsidP="000369FD">
      <w:pPr>
        <w:autoSpaceDE w:val="0"/>
        <w:autoSpaceDN w:val="0"/>
        <w:adjustRightInd w:val="0"/>
        <w:spacing w:after="0" w:line="240" w:lineRule="auto"/>
        <w:jc w:val="both"/>
        <w:rPr>
          <w:rFonts w:ascii="Times New Roman" w:hAnsi="Times New Roman" w:cs="Times New Roman"/>
          <w:sz w:val="24"/>
          <w:szCs w:val="24"/>
          <w:u w:val="single"/>
        </w:rPr>
      </w:pPr>
      <w:r w:rsidRPr="004B7B58">
        <w:rPr>
          <w:rFonts w:ascii="Times New Roman" w:hAnsi="Times New Roman" w:cs="Times New Roman"/>
          <w:sz w:val="24"/>
          <w:szCs w:val="24"/>
          <w:u w:val="single"/>
        </w:rPr>
        <w:t>Como viene siendo normal en los acuerdos comerciales, las negociaciones del TTIP vienen acompañadas por una serie de estudios econométricos que proyectan ganancias económicas netas para los países involucrados. En la Unión Europea, los defensores del TTIP han señalado cuatro estudios principales que proyectan pequeños beneficios netos a la vez que una substitución gradual del comercio intraeuropeo por un comercio transatlántico. Esto lleva a la Comisión Europea, el principal defensor del TTIP en Europa, a una paradoja: la propuesta de reforma política que implica llevaría a la desintegración económica de la Unión Europea.</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4B7B58" w:rsidRDefault="000369FD" w:rsidP="000369FD">
      <w:pPr>
        <w:autoSpaceDE w:val="0"/>
        <w:autoSpaceDN w:val="0"/>
        <w:adjustRightInd w:val="0"/>
        <w:spacing w:after="0" w:line="240" w:lineRule="auto"/>
        <w:jc w:val="both"/>
        <w:rPr>
          <w:rFonts w:ascii="Times New Roman" w:hAnsi="Times New Roman" w:cs="Times New Roman"/>
          <w:sz w:val="24"/>
          <w:szCs w:val="24"/>
          <w:u w:val="single"/>
        </w:rPr>
      </w:pPr>
      <w:r w:rsidRPr="004B7B58">
        <w:rPr>
          <w:rFonts w:ascii="Times New Roman" w:hAnsi="Times New Roman" w:cs="Times New Roman"/>
          <w:sz w:val="24"/>
          <w:szCs w:val="24"/>
          <w:u w:val="single"/>
        </w:rPr>
        <w:t>El TTIP puede que además tenga otras consecuencias serias sobre sus miembros. Las publicaciones más recientes muestran que los estudios sobre el TTIP no son una buena base para tomar decisiones políticas, ya que se sustentan en gran medida sobre un modelo económico inadecuado.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u w:val="single"/>
        </w:rPr>
      </w:pPr>
      <w:r w:rsidRPr="004B7B58">
        <w:rPr>
          <w:rFonts w:ascii="Times New Roman" w:hAnsi="Times New Roman" w:cs="Times New Roman"/>
          <w:sz w:val="24"/>
          <w:szCs w:val="24"/>
          <w:u w:val="single"/>
        </w:rPr>
        <w:t>Nosotros ofrecemos una evaluación sobre el TTIP basada en un modelo diferente, y en supuestos más plausibles sobre el ajuste económico y las tendencias políticas. Hemos usado el modelo de las Naciones Unidas de Política Global (United Nations Global Policy Model) para simular el impacto que tendría el TTIP en la economía global en un contexto de prolongada austeridad y bajo crecimiento especialmente en EEUU y la UE.</w:t>
      </w:r>
    </w:p>
    <w:p w:rsidR="00D219E3" w:rsidRPr="004B7B58" w:rsidRDefault="00D219E3" w:rsidP="000369FD">
      <w:pPr>
        <w:autoSpaceDE w:val="0"/>
        <w:autoSpaceDN w:val="0"/>
        <w:adjustRightInd w:val="0"/>
        <w:spacing w:after="0" w:line="240" w:lineRule="auto"/>
        <w:jc w:val="both"/>
        <w:rPr>
          <w:rFonts w:ascii="Times New Roman" w:hAnsi="Times New Roman" w:cs="Times New Roman"/>
          <w:sz w:val="24"/>
          <w:szCs w:val="24"/>
          <w:u w:val="single"/>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sidRPr="008A00C6">
        <w:rPr>
          <w:rFonts w:ascii="Times New Roman" w:hAnsi="Times New Roman" w:cs="Times New Roman"/>
          <w:sz w:val="24"/>
          <w:szCs w:val="24"/>
        </w:rPr>
        <w:t>Nuestros resultados difieren dramáticamente de las ev</w:t>
      </w:r>
      <w:r>
        <w:rPr>
          <w:rFonts w:ascii="Times New Roman" w:hAnsi="Times New Roman" w:cs="Times New Roman"/>
          <w:sz w:val="24"/>
          <w:szCs w:val="24"/>
        </w:rPr>
        <w:t xml:space="preserve">aluaciones preexistentes. Hemos </w:t>
      </w:r>
      <w:r w:rsidRPr="008A00C6">
        <w:rPr>
          <w:rFonts w:ascii="Times New Roman" w:hAnsi="Times New Roman" w:cs="Times New Roman"/>
          <w:sz w:val="24"/>
          <w:szCs w:val="24"/>
        </w:rPr>
        <w:t>encontrado lo siguiente:</w:t>
      </w: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4B7B58"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4B7B58">
        <w:rPr>
          <w:rFonts w:ascii="Times New Roman" w:hAnsi="Times New Roman" w:cs="Times New Roman"/>
          <w:color w:val="FF0000"/>
          <w:sz w:val="24"/>
          <w:szCs w:val="24"/>
        </w:rPr>
        <w:t>El TTIP llevaría a pérdidas netas en términos de exportaciones netas hasta una década después de ser aprobado, comparado con el escenario “no TTIP”. Las economías del Norte de Europa sufrirían las mayores pérdidas (2,7 % del PIB), seguidas de Francia (1,9%), Alemania (1,4%) y Reino Unido (0,95%).</w:t>
      </w:r>
    </w:p>
    <w:p w:rsidR="000369FD" w:rsidRPr="004B7B58"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4B7B58"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4B7B58">
        <w:rPr>
          <w:rFonts w:ascii="Times New Roman" w:hAnsi="Times New Roman" w:cs="Times New Roman"/>
          <w:color w:val="FF0000"/>
          <w:sz w:val="24"/>
          <w:szCs w:val="24"/>
        </w:rPr>
        <w:t>El TTIP llevaría a pérdidas netas en términos del PIB. De igual manera que con las cifras para las exportaciones netas, los países del Norte de Europa sufrirían la mayor reducción del PIB (-0,50%) seguidos de Francia (-0,48%) y Alemania (-0,29%).</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4B7B58"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4B7B58">
        <w:rPr>
          <w:rFonts w:ascii="Times New Roman" w:hAnsi="Times New Roman" w:cs="Times New Roman"/>
          <w:color w:val="FF0000"/>
          <w:sz w:val="24"/>
          <w:szCs w:val="24"/>
        </w:rPr>
        <w:t>El TTIP llevaría a pérdidas en los ingresos de los trabajadores. Francia sería la más perjudicada, con pérdidas de 5.500€ por trabajador, seguida de los países de Europa del</w:t>
      </w:r>
    </w:p>
    <w:p w:rsidR="000369FD" w:rsidRPr="004B7B58"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4B7B58">
        <w:rPr>
          <w:rFonts w:ascii="Times New Roman" w:hAnsi="Times New Roman" w:cs="Times New Roman"/>
          <w:color w:val="FF0000"/>
          <w:sz w:val="24"/>
          <w:szCs w:val="24"/>
        </w:rPr>
        <w:t>Norte (-4.800€ por trabajador), Reino Unido (-4.200€ por trabajador) y Alemania (- 3.400€ por trabajador).</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014433">
        <w:rPr>
          <w:rFonts w:ascii="Times New Roman" w:hAnsi="Times New Roman" w:cs="Times New Roman"/>
          <w:color w:val="FF0000"/>
          <w:sz w:val="24"/>
          <w:szCs w:val="24"/>
        </w:rPr>
        <w:t>El TTIP llevaría a pérdidas de puestos de trabajo. Calculamos que aproximadamente se perderán 600.000 empleos. Los países del Norte de Europa serían los más afectados (-223.000 empleos), seguidos de Alemania (-134.000 empleos), Francia (-130.000 empleos) y los países del Sur de Europa (-90.000 empleos).</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014433">
        <w:rPr>
          <w:rFonts w:ascii="Times New Roman" w:hAnsi="Times New Roman" w:cs="Times New Roman"/>
          <w:color w:val="FF0000"/>
          <w:sz w:val="24"/>
          <w:szCs w:val="24"/>
        </w:rPr>
        <w:t>El TTIP llevaría a una reducción de la participación de los salarios en el PIB, reforzando una tendencia que contribuye al actual estancamiento. Su contraparte es un incremento de la contribución de los beneficios y rentas en las ganancias totales, indicando que habrá una transferencia de renta del trabajo al capital. Las transferencias más importantes tendrían lugar en Reino Unido (7%), Francia (8%), Alemania y Norte de Europa (4%).</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014433">
        <w:rPr>
          <w:rFonts w:ascii="Times New Roman" w:hAnsi="Times New Roman" w:cs="Times New Roman"/>
          <w:color w:val="FF0000"/>
          <w:sz w:val="24"/>
          <w:szCs w:val="24"/>
        </w:rPr>
        <w:t>El TTIP llevaría a una pérdida en los ingresos públicos de los Estados. El exceso de los impuestos indirectos (como el Impuesto sobre el Valor Añadido) sobre los subsidios disminuirá en todos los países de la UE, con Francia sufriendo la mayor pérdida (0.64% del PIB). Los déficits públicos incrementarían su porcentaje en el PIB de cada país de la</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014433">
        <w:rPr>
          <w:rFonts w:ascii="Times New Roman" w:hAnsi="Times New Roman" w:cs="Times New Roman"/>
          <w:color w:val="FF0000"/>
          <w:sz w:val="24"/>
          <w:szCs w:val="24"/>
        </w:rPr>
        <w:t>UE, empujando a las finanzas públicas cerca, o más allá, de los límites impuestos por el</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014433">
        <w:rPr>
          <w:rFonts w:ascii="Times New Roman" w:hAnsi="Times New Roman" w:cs="Times New Roman"/>
          <w:color w:val="FF0000"/>
          <w:sz w:val="24"/>
          <w:szCs w:val="24"/>
        </w:rPr>
        <w:t>Tratado de Maastricht.</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8A00C6">
        <w:rPr>
          <w:rFonts w:ascii="Times New Roman" w:hAnsi="Times New Roman" w:cs="Times New Roman"/>
          <w:sz w:val="24"/>
          <w:szCs w:val="24"/>
        </w:rPr>
        <w:t xml:space="preserve">• </w:t>
      </w:r>
      <w:r w:rsidRPr="00014433">
        <w:rPr>
          <w:rFonts w:ascii="Times New Roman" w:hAnsi="Times New Roman" w:cs="Times New Roman"/>
          <w:color w:val="FF0000"/>
          <w:sz w:val="24"/>
          <w:szCs w:val="24"/>
        </w:rPr>
        <w:t>El TTIP llevaría a una mayor inestabilidad financiera y acumulación de desequilibrios.</w:t>
      </w:r>
    </w:p>
    <w:p w:rsidR="000369FD" w:rsidRPr="00014433" w:rsidRDefault="000369FD" w:rsidP="000369FD">
      <w:pPr>
        <w:autoSpaceDE w:val="0"/>
        <w:autoSpaceDN w:val="0"/>
        <w:adjustRightInd w:val="0"/>
        <w:spacing w:after="0" w:line="240" w:lineRule="auto"/>
        <w:jc w:val="both"/>
        <w:rPr>
          <w:rFonts w:ascii="Times New Roman" w:hAnsi="Times New Roman" w:cs="Times New Roman"/>
          <w:color w:val="FF0000"/>
          <w:sz w:val="24"/>
          <w:szCs w:val="24"/>
        </w:rPr>
      </w:pPr>
      <w:r w:rsidRPr="00014433">
        <w:rPr>
          <w:rFonts w:ascii="Times New Roman" w:hAnsi="Times New Roman" w:cs="Times New Roman"/>
          <w:color w:val="FF0000"/>
          <w:sz w:val="24"/>
          <w:szCs w:val="24"/>
        </w:rPr>
        <w:t>Con unos decrecientes ingresos de las exportaciones, con salarios a la baja y con la recaudación disminuyendo, la demanda tendría que ser sostenida por los beneficios y la inversión. Pero con un crecimiento del consumo débil, los beneficios no pueden esperarse que vengan de un incremento en las ventas. Un supuesto más realista es que los beneficios y la inversión (mayormente en los activos financieros) serían sostenidos por el incremento en los precios de los activos. El potencial para la inestabilidad macroeconómica de esta propuesta es bien conocida por todos.</w:t>
      </w: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r w:rsidRPr="00014433">
        <w:rPr>
          <w:rFonts w:ascii="Times New Roman" w:hAnsi="Times New Roman" w:cs="Times New Roman"/>
          <w:sz w:val="24"/>
          <w:szCs w:val="24"/>
          <w:u w:val="single"/>
        </w:rPr>
        <w:t>Nuestras proyecciones nos llevan a un futuro gris para los responsables políticos de la Unión Europea. Enfrentados a una mayor vulnerabilidad en el caso de cualquier crisis que viniera de los EEUU e incapaces de coordinar una expansión fiscal, tendrían muy pocas opciones para estimular la economía:</w:t>
      </w:r>
      <w:r w:rsidRPr="008A00C6">
        <w:rPr>
          <w:rFonts w:ascii="Times New Roman" w:hAnsi="Times New Roman" w:cs="Times New Roman"/>
          <w:sz w:val="24"/>
          <w:szCs w:val="24"/>
        </w:rPr>
        <w:t xml:space="preserve"> favorecer un incremento de los préstamos</w:t>
      </w:r>
      <w:r>
        <w:rPr>
          <w:rFonts w:ascii="Times New Roman" w:hAnsi="Times New Roman" w:cs="Times New Roman"/>
          <w:sz w:val="24"/>
          <w:szCs w:val="24"/>
        </w:rPr>
        <w:t xml:space="preserve"> privados, con el riesgo de dar </w:t>
      </w:r>
      <w:r w:rsidRPr="008A00C6">
        <w:rPr>
          <w:rFonts w:ascii="Times New Roman" w:hAnsi="Times New Roman" w:cs="Times New Roman"/>
          <w:sz w:val="24"/>
          <w:szCs w:val="24"/>
        </w:rPr>
        <w:t>lugar a mayores desequilibrios financieros, una devaluación c</w:t>
      </w:r>
      <w:r>
        <w:rPr>
          <w:rFonts w:ascii="Times New Roman" w:hAnsi="Times New Roman" w:cs="Times New Roman"/>
          <w:sz w:val="24"/>
          <w:szCs w:val="24"/>
        </w:rPr>
        <w:t xml:space="preserve">ompetitiva o una combinación de </w:t>
      </w:r>
      <w:r w:rsidRPr="008A00C6">
        <w:rPr>
          <w:rFonts w:ascii="Times New Roman" w:hAnsi="Times New Roman" w:cs="Times New Roman"/>
          <w:sz w:val="24"/>
          <w:szCs w:val="24"/>
        </w:rPr>
        <w:t>los dos.</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r w:rsidRPr="00014433">
        <w:rPr>
          <w:rFonts w:ascii="Times New Roman" w:hAnsi="Times New Roman" w:cs="Times New Roman"/>
          <w:sz w:val="24"/>
          <w:szCs w:val="24"/>
          <w:u w:val="single"/>
        </w:rPr>
        <w:t>Llegamos a dos conclusiones finales. Primero, y como ya se ha sugerido en la literatura reciente, las evaluaciones existentes sobre el TTIP no ofrecen una base sólida para hacer importantes reformas comerciales. De hecho, usando un modelo de reconocido prestigio los resultados cambian dramáticamente. Segundo, buscar un incremento del volumen comercial no es una estrategia recomendable para la UE</w:t>
      </w:r>
      <w:r w:rsidRPr="008A00C6">
        <w:rPr>
          <w:rFonts w:ascii="Times New Roman" w:hAnsi="Times New Roman" w:cs="Times New Roman"/>
          <w:sz w:val="24"/>
          <w:szCs w:val="24"/>
        </w:rPr>
        <w:t>. En el contexto actual de au</w:t>
      </w:r>
      <w:r>
        <w:rPr>
          <w:rFonts w:ascii="Times New Roman" w:hAnsi="Times New Roman" w:cs="Times New Roman"/>
          <w:sz w:val="24"/>
          <w:szCs w:val="24"/>
        </w:rPr>
        <w:t xml:space="preserve">steridad, alto desempleo y bajo </w:t>
      </w:r>
      <w:r w:rsidRPr="008A00C6">
        <w:rPr>
          <w:rFonts w:ascii="Times New Roman" w:hAnsi="Times New Roman" w:cs="Times New Roman"/>
          <w:sz w:val="24"/>
          <w:szCs w:val="24"/>
        </w:rPr>
        <w:t>crecimiento, incrementar la presión sobre las rentas del trabajo d</w:t>
      </w:r>
      <w:r>
        <w:rPr>
          <w:rFonts w:ascii="Times New Roman" w:hAnsi="Times New Roman" w:cs="Times New Roman"/>
          <w:sz w:val="24"/>
          <w:szCs w:val="24"/>
        </w:rPr>
        <w:t xml:space="preserve">añaría todavía más la actividad </w:t>
      </w:r>
      <w:r w:rsidRPr="008A00C6">
        <w:rPr>
          <w:rFonts w:ascii="Times New Roman" w:hAnsi="Times New Roman" w:cs="Times New Roman"/>
          <w:sz w:val="24"/>
          <w:szCs w:val="24"/>
        </w:rPr>
        <w:t>económica. Nuestros resultados sugieren que cualquier estra</w:t>
      </w:r>
      <w:r>
        <w:rPr>
          <w:rFonts w:ascii="Times New Roman" w:hAnsi="Times New Roman" w:cs="Times New Roman"/>
          <w:sz w:val="24"/>
          <w:szCs w:val="24"/>
        </w:rPr>
        <w:t xml:space="preserve">tegia viable para reconducir el </w:t>
      </w:r>
      <w:r w:rsidRPr="008A00C6">
        <w:rPr>
          <w:rFonts w:ascii="Times New Roman" w:hAnsi="Times New Roman" w:cs="Times New Roman"/>
          <w:sz w:val="24"/>
          <w:szCs w:val="24"/>
        </w:rPr>
        <w:t xml:space="preserve">crecimiento económico en Europa debe construirse sobre un </w:t>
      </w:r>
      <w:r>
        <w:rPr>
          <w:rFonts w:ascii="Times New Roman" w:hAnsi="Times New Roman" w:cs="Times New Roman"/>
          <w:sz w:val="24"/>
          <w:szCs w:val="24"/>
        </w:rPr>
        <w:t xml:space="preserve">importante esfuerzo político en </w:t>
      </w:r>
      <w:r w:rsidRPr="008A00C6">
        <w:rPr>
          <w:rFonts w:ascii="Times New Roman" w:hAnsi="Times New Roman" w:cs="Times New Roman"/>
          <w:sz w:val="24"/>
          <w:szCs w:val="24"/>
        </w:rPr>
        <w:t>apoyo de las rentas del trabajo.</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B454E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8A00C6">
        <w:rPr>
          <w:rFonts w:ascii="Times New Roman" w:hAnsi="Times New Roman" w:cs="Times New Roman"/>
          <w:sz w:val="24"/>
          <w:szCs w:val="24"/>
        </w:rPr>
        <w:t xml:space="preserve">El artículo original: </w:t>
      </w:r>
      <w:hyperlink r:id="rId49" w:history="1">
        <w:r w:rsidRPr="00B454ED">
          <w:rPr>
            <w:rStyle w:val="Hipervnculo"/>
            <w:rFonts w:ascii="Times New Roman" w:hAnsi="Times New Roman" w:cs="Times New Roman"/>
            <w:color w:val="auto"/>
            <w:sz w:val="24"/>
            <w:szCs w:val="24"/>
            <w:u w:val="none"/>
          </w:rPr>
          <w:t>http://ase.tufts.edu/gdae/policy_research/TTIP_simulations.html</w:t>
        </w:r>
      </w:hyperlink>
      <w:r w:rsidRPr="00B454ED">
        <w:rPr>
          <w:rFonts w:ascii="Times New Roman" w:hAnsi="Times New Roman" w:cs="Times New Roman"/>
          <w:sz w:val="24"/>
          <w:szCs w:val="24"/>
        </w:rPr>
        <w:t>)</w:t>
      </w:r>
    </w:p>
    <w:p w:rsidR="000369FD" w:rsidRPr="00B454E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8A00C6"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619FF">
        <w:rPr>
          <w:rFonts w:ascii="Times New Roman" w:hAnsi="Times New Roman" w:cs="Times New Roman"/>
          <w:sz w:val="24"/>
          <w:szCs w:val="24"/>
          <w:u w:val="single"/>
        </w:rPr>
        <w:t>7 preguntas sobre el TTIP cuya respuesta deberías conocer</w:t>
      </w:r>
      <w:r>
        <w:rPr>
          <w:rFonts w:ascii="Times New Roman" w:hAnsi="Times New Roman" w:cs="Times New Roman"/>
          <w:sz w:val="24"/>
          <w:szCs w:val="24"/>
        </w:rPr>
        <w:t xml:space="preserve"> (eldiario.es - </w:t>
      </w:r>
      <w:r w:rsidRPr="00A619FF">
        <w:rPr>
          <w:rFonts w:ascii="Times New Roman" w:hAnsi="Times New Roman" w:cs="Times New Roman"/>
          <w:b/>
          <w:sz w:val="24"/>
          <w:szCs w:val="24"/>
        </w:rPr>
        <w:t>20/10/14</w:t>
      </w:r>
      <w:r>
        <w:rPr>
          <w:rFonts w:ascii="Times New Roman" w:hAnsi="Times New Roman" w:cs="Times New Roman"/>
          <w:sz w:val="24"/>
          <w:szCs w:val="24"/>
        </w:rPr>
        <w:t>)</w:t>
      </w: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Default="000369FD" w:rsidP="000369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(Por Julio García Rodríguez)</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1. ¿Qué es el Tratado Transatlántico?</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 xml:space="preserve">El Acuerdo Transatlántico para el Comercio y la Inversión (conocido por el acrónimo en inglés TTIP), es un tratado que se está negociando en la actualidad entre los Estados Unidos y la Unión Europea para “aumentar el comercio y la inversión entre la UE y los EE.UU. haciendo realidad el potencial sin explotar de un </w:t>
      </w:r>
      <w:r>
        <w:rPr>
          <w:rFonts w:ascii="Times New Roman" w:eastAsia="Times New Roman" w:hAnsi="Times New Roman" w:cs="Times New Roman"/>
          <w:sz w:val="24"/>
          <w:szCs w:val="24"/>
          <w:lang w:eastAsia="es-ES"/>
        </w:rPr>
        <w:t>auté</w:t>
      </w:r>
      <w:r w:rsidRPr="00A619FF">
        <w:rPr>
          <w:rFonts w:ascii="Times New Roman" w:eastAsia="Times New Roman" w:hAnsi="Times New Roman" w:cs="Times New Roman"/>
          <w:sz w:val="24"/>
          <w:szCs w:val="24"/>
          <w:lang w:eastAsia="es-ES"/>
        </w:rPr>
        <w:t>ntico mercado transatlántico que genere nuevas oportunidades económicas de creación de empleo y crecimiento mediante un mejor acceso al mercado y una mayor compatibilidad reglamentaria y marcando una pauta en materia de normas mundiales”</w:t>
      </w:r>
      <w:r w:rsidR="00B454ED">
        <w:rPr>
          <w:rFonts w:ascii="Times New Roman" w:eastAsia="Times New Roman" w:hAnsi="Times New Roman" w:cs="Times New Roman"/>
          <w:sz w:val="24"/>
          <w:szCs w:val="24"/>
          <w:lang w:eastAsia="es-ES"/>
        </w:rPr>
        <w:t>.</w:t>
      </w:r>
    </w:p>
    <w:p w:rsidR="000369FD" w:rsidRPr="00A619FF" w:rsidRDefault="000369FD" w:rsidP="000369FD">
      <w:pPr>
        <w:shd w:val="clear" w:color="auto" w:fill="000000"/>
        <w:spacing w:after="0" w:line="0" w:lineRule="auto"/>
        <w:jc w:val="both"/>
        <w:textAlignment w:val="baseline"/>
        <w:rPr>
          <w:rFonts w:ascii="Times New Roman" w:eastAsia="Times New Roman" w:hAnsi="Times New Roman" w:cs="Times New Roman"/>
          <w:b/>
          <w:bCs/>
          <w:vanish/>
          <w:sz w:val="24"/>
          <w:szCs w:val="24"/>
          <w:lang w:eastAsia="es-ES"/>
        </w:rPr>
      </w:pPr>
      <w:r w:rsidRPr="00A619FF">
        <w:rPr>
          <w:rFonts w:ascii="Times New Roman" w:eastAsia="Times New Roman" w:hAnsi="Times New Roman" w:cs="Times New Roman"/>
          <w:b/>
          <w:bCs/>
          <w:vanish/>
          <w:sz w:val="24"/>
          <w:szCs w:val="24"/>
          <w:lang w:eastAsia="es-ES"/>
        </w:rPr>
        <w:t>La descarga comenzará en 20 segundos...</w:t>
      </w:r>
    </w:p>
    <w:p w:rsidR="000369FD"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Para lograr este objetivo, “el Acuerdo estará́ formado por tres componentes clave: a) acceso al mercado, b) cuestiones reglamentarias y barreras no arancelarias (BNA) y c) normas. Estos tres componentes se negociarán de forma paralela y formarán parte de un acto único que garantice un resultado equilibrado entre la eliminación de derechos, la eliminación de obstáculos reglamentarios al comercio innecesarios y la mejora de las normas que den lugar a resultados importantes en cada uno de estos componentes y una apertura efectiva y reciproca de los respectivos mercados”, tal como señala el mandato negociador que recibió la Comisión Europea.</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Style w:val="Textoennegrita"/>
          <w:rFonts w:ascii="Times New Roman" w:hAnsi="Times New Roman" w:cs="Times New Roman"/>
        </w:rPr>
        <w:t>2. ¿Cuál es su origen?</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Su origen remoto se encuentra en la Declaración Transatlántica, firmada en noviembre de 1990 por el presidente George Bush, por un lado, y el primer ministro italiano, Giulio Andreotti, que encabezaba ese semestre el Consejo Europeo, y el presidente de la Comisión Europea, Jacques Delors. El siguiente hito relevante se encuentra en la Declaración común de la Unión Europea y EEUU (1998) sobre el acuerdo económico transatlántico.</w:t>
      </w:r>
      <w:r>
        <w:rPr>
          <w:rFonts w:ascii="Times New Roman" w:eastAsia="Times New Roman" w:hAnsi="Times New Roman" w:cs="Times New Roman"/>
          <w:sz w:val="24"/>
          <w:szCs w:val="24"/>
          <w:lang w:eastAsia="es-ES"/>
        </w:rPr>
        <w:t xml:space="preserve"> </w:t>
      </w:r>
      <w:r w:rsidRPr="00A619FF">
        <w:rPr>
          <w:rFonts w:ascii="Times New Roman" w:eastAsia="Times New Roman" w:hAnsi="Times New Roman" w:cs="Times New Roman"/>
          <w:sz w:val="24"/>
          <w:szCs w:val="24"/>
          <w:lang w:eastAsia="es-ES"/>
        </w:rPr>
        <w:t>En 2007 Barroso y Merkel -por el lado europeo- y Bush por el estadounidense crean el Consejo Económico Transatlántico para la armonización legislativa. En 2011 se crea un Grupo de Trabajo de Alto Nivel encargado de estudiar la reducción de los obstáculos para el comercio entre ambas partes. El 13 de febrero de 2013, los Presidentes de los EEUU, el Consejo europeo y la Comisión europea, Obama, van Rompuy y Barroso anuncian que se inician las negociaciones para alcanzar el acuerdo.</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3. ¿Cómo, quién está negociando y cómo se aprobará el TTIP?</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La negociación se produce con bastante opaci</w:t>
      </w:r>
      <w:r>
        <w:rPr>
          <w:rFonts w:ascii="Times New Roman" w:eastAsia="Times New Roman" w:hAnsi="Times New Roman" w:cs="Times New Roman"/>
          <w:sz w:val="24"/>
          <w:szCs w:val="24"/>
          <w:lang w:eastAsia="es-ES"/>
        </w:rPr>
        <w:t>dad entre la Unión Europea -a través de la Comisión Europea- y los EEUU. La Comisión E</w:t>
      </w:r>
      <w:r w:rsidRPr="00A619FF">
        <w:rPr>
          <w:rFonts w:ascii="Times New Roman" w:eastAsia="Times New Roman" w:hAnsi="Times New Roman" w:cs="Times New Roman"/>
          <w:sz w:val="24"/>
          <w:szCs w:val="24"/>
          <w:lang w:eastAsia="es-ES"/>
        </w:rPr>
        <w:t>uropea tiene un mandato negociador que contiene información reservada que pese a estar hoy publicado no deja de plantear dudas y problemas.</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Los trámites para su entrada en vigor serían los siguientes: Una vez concluidas las negociaciones por las delegaciones de ambas partes; en</w:t>
      </w:r>
      <w:r>
        <w:rPr>
          <w:rFonts w:ascii="Times New Roman" w:eastAsia="Times New Roman" w:hAnsi="Times New Roman" w:cs="Times New Roman"/>
          <w:sz w:val="24"/>
          <w:szCs w:val="24"/>
          <w:lang w:eastAsia="es-ES"/>
        </w:rPr>
        <w:t xml:space="preserve"> el ámbito europeo la Comisión E</w:t>
      </w:r>
      <w:r w:rsidRPr="00A619FF">
        <w:rPr>
          <w:rFonts w:ascii="Times New Roman" w:eastAsia="Times New Roman" w:hAnsi="Times New Roman" w:cs="Times New Roman"/>
          <w:sz w:val="24"/>
          <w:szCs w:val="24"/>
          <w:lang w:eastAsia="es-ES"/>
        </w:rPr>
        <w:t>uropea lo presentará al Consejo de la Unión, que deberá aprobarlo por mayoría cualificada (55% de los Estados que representen el 65% de la población). Tras este visto bueno, se someterá a aprobación en el Parlamento</w:t>
      </w:r>
      <w:r>
        <w:rPr>
          <w:rFonts w:ascii="Times New Roman" w:eastAsia="Times New Roman" w:hAnsi="Times New Roman" w:cs="Times New Roman"/>
          <w:sz w:val="24"/>
          <w:szCs w:val="24"/>
          <w:lang w:eastAsia="es-ES"/>
        </w:rPr>
        <w:t xml:space="preserve"> E</w:t>
      </w:r>
      <w:r w:rsidRPr="00A619FF">
        <w:rPr>
          <w:rFonts w:ascii="Times New Roman" w:eastAsia="Times New Roman" w:hAnsi="Times New Roman" w:cs="Times New Roman"/>
          <w:sz w:val="24"/>
          <w:szCs w:val="24"/>
          <w:lang w:eastAsia="es-ES"/>
        </w:rPr>
        <w:t xml:space="preserve">uropeo y, posteriormente se </w:t>
      </w:r>
      <w:r>
        <w:rPr>
          <w:rFonts w:ascii="Times New Roman" w:eastAsia="Times New Roman" w:hAnsi="Times New Roman" w:cs="Times New Roman"/>
          <w:sz w:val="24"/>
          <w:szCs w:val="24"/>
          <w:lang w:eastAsia="es-ES"/>
        </w:rPr>
        <w:t xml:space="preserve">ratificará </w:t>
      </w:r>
      <w:r>
        <w:rPr>
          <w:rFonts w:ascii="Times New Roman" w:eastAsia="Times New Roman" w:hAnsi="Times New Roman" w:cs="Times New Roman"/>
          <w:sz w:val="24"/>
          <w:szCs w:val="24"/>
          <w:lang w:eastAsia="es-ES"/>
        </w:rPr>
        <w:lastRenderedPageBreak/>
        <w:t>por los Parlamentos N</w:t>
      </w:r>
      <w:r w:rsidRPr="00A619FF">
        <w:rPr>
          <w:rFonts w:ascii="Times New Roman" w:eastAsia="Times New Roman" w:hAnsi="Times New Roman" w:cs="Times New Roman"/>
          <w:sz w:val="24"/>
          <w:szCs w:val="24"/>
          <w:lang w:eastAsia="es-ES"/>
        </w:rPr>
        <w:t>acionales. Hemos de tener presente que las votaciones son sobre la totalidad del proyecto, y que, por tanto, no cabrían enmiendas de los Estados.</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Pese a su importancia, que puede suponer de facto una mutación constitucional desde un punto de vista de la “Constitución económica”, no hay previsiones de que se someta a referéndum ciudadano ni en España ni en la Unión Europea.</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4. ¿Perdería el Estado otros aspectos de su poder público?</w:t>
      </w:r>
    </w:p>
    <w:p w:rsidR="000369FD" w:rsidRPr="004D245B"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u w:val="single"/>
          <w:lang w:eastAsia="es-ES"/>
        </w:rPr>
      </w:pPr>
      <w:r w:rsidRPr="004D245B">
        <w:rPr>
          <w:rFonts w:ascii="Times New Roman" w:eastAsia="Times New Roman" w:hAnsi="Times New Roman" w:cs="Times New Roman"/>
          <w:sz w:val="24"/>
          <w:szCs w:val="24"/>
          <w:u w:val="single"/>
          <w:lang w:eastAsia="es-ES"/>
        </w:rPr>
        <w:t>Para el Estado hay dos riesgos esenciales: por un lado el de la difuminación absoluta en el marco del TTIP y la eventual imposibilidad de aplicar políticas distintas a los enunciados neoliberales que laten en el TTIP. Las características de un tratado como éste, dependiente además de la Unión Europea, harían materialmente imposible su modificación en el caso de que nuevas mayorías pidieran su modificación.</w:t>
      </w:r>
    </w:p>
    <w:p w:rsidR="000369FD" w:rsidRPr="00A619FF"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lang w:eastAsia="es-ES"/>
        </w:rPr>
      </w:pPr>
      <w:r w:rsidRPr="004D245B">
        <w:rPr>
          <w:rFonts w:ascii="Times New Roman" w:eastAsia="Times New Roman" w:hAnsi="Times New Roman" w:cs="Times New Roman"/>
          <w:sz w:val="24"/>
          <w:szCs w:val="24"/>
          <w:u w:val="single"/>
          <w:lang w:eastAsia="es-ES"/>
        </w:rPr>
        <w:t>En segundo lugar, la privatización de la justicia, al someter todas las discrepancias sobre las inversiones exteriores a procedimientos arbitrales privados</w:t>
      </w:r>
      <w:r w:rsidRPr="00A619FF">
        <w:rPr>
          <w:rFonts w:ascii="Times New Roman" w:eastAsia="Times New Roman" w:hAnsi="Times New Roman" w:cs="Times New Roman"/>
          <w:sz w:val="24"/>
          <w:szCs w:val="24"/>
          <w:lang w:eastAsia="es-ES"/>
        </w:rPr>
        <w:t>. Conviene recordar aquí la demanda que presentó Veolia contra Egipto ante el CIADI, organismo dependiente del Banco Mundial, por la elevación de 31€ el salario mínimo, lo que afecta al equilibrio económico del contrato de basuras de Alejandría.</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5. ¿Qué riesgos plantea para la ciudadanía europea?</w:t>
      </w:r>
    </w:p>
    <w:p w:rsidR="000369FD" w:rsidRPr="004D245B"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u w:val="single"/>
          <w:lang w:eastAsia="es-ES"/>
        </w:rPr>
      </w:pPr>
      <w:r w:rsidRPr="004D245B">
        <w:rPr>
          <w:rFonts w:ascii="Times New Roman" w:eastAsia="Times New Roman" w:hAnsi="Times New Roman" w:cs="Times New Roman"/>
          <w:sz w:val="24"/>
          <w:szCs w:val="24"/>
          <w:u w:val="single"/>
          <w:lang w:eastAsia="es-ES"/>
        </w:rPr>
        <w:t>Los cinco riesgos mayores para la ciudadanía europea serían los siguientes: 1. Pérdida de derechos laborales, ya que EEUU sólo ha suscrito 2 de los 8 Convenios fundamentales de la OIT. 2. Limitación de los derechos de representación colectiva de los trabajadores. 3. Olvido del principio de precaución en materia de estándares técnicos y de normalización industrial. 4. Privatización de servicios públicos, por el establecimiento de una lista reducida de aquellos que no se pueden privatizar. 5. Riesgo de rebaja salarial, teniendo en cuenta el efecto que pudiera tener el NAFTA -y los sueldos más bajos de México- y el eventual acuerdo transasiático.</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6. ¿Qué riesgos supone para la ciudadanía estadounidense?</w:t>
      </w:r>
    </w:p>
    <w:p w:rsidR="000369FD" w:rsidRPr="004D245B"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u w:val="single"/>
          <w:lang w:eastAsia="es-ES"/>
        </w:rPr>
      </w:pPr>
      <w:r w:rsidRPr="004D245B">
        <w:rPr>
          <w:rFonts w:ascii="Times New Roman" w:eastAsia="Times New Roman" w:hAnsi="Times New Roman" w:cs="Times New Roman"/>
          <w:sz w:val="24"/>
          <w:szCs w:val="24"/>
          <w:u w:val="single"/>
          <w:lang w:eastAsia="es-ES"/>
        </w:rPr>
        <w:t>Las cinco amenazas mayores serían las siguientes: 1. Mayor dependencia del petróleo si se consuma la restricción a la utilización de los carburantes menos contaminantes. 2. No etiquetaje de productos modificados transgénicamente. 3. Eliminación de reglas sobre los mercados financieros, más estrictas en la actualidad en EEUU. 4. Eliminación de las evaluaciones independientes de los medicamentos no producidos en los EEUU. 5. Eliminación de las reglas de preferencia nacional en los contratos públicos.</w:t>
      </w:r>
    </w:p>
    <w:p w:rsidR="000369FD" w:rsidRPr="00A619FF" w:rsidRDefault="000369FD" w:rsidP="000369FD">
      <w:pPr>
        <w:shd w:val="clear" w:color="auto" w:fill="F8F6F6"/>
        <w:spacing w:before="100" w:beforeAutospacing="1" w:after="100" w:afterAutospacing="1" w:line="240" w:lineRule="auto"/>
        <w:jc w:val="both"/>
        <w:textAlignment w:val="baseline"/>
        <w:outlineLvl w:val="3"/>
        <w:rPr>
          <w:rFonts w:ascii="Times New Roman" w:eastAsia="Times New Roman" w:hAnsi="Times New Roman" w:cs="Times New Roman"/>
          <w:sz w:val="24"/>
          <w:szCs w:val="24"/>
          <w:lang w:eastAsia="es-ES"/>
        </w:rPr>
      </w:pPr>
      <w:r w:rsidRPr="00A619FF">
        <w:rPr>
          <w:rFonts w:ascii="Times New Roman" w:eastAsia="Times New Roman" w:hAnsi="Times New Roman" w:cs="Times New Roman"/>
          <w:sz w:val="24"/>
          <w:szCs w:val="24"/>
          <w:lang w:eastAsia="es-ES"/>
        </w:rPr>
        <w:t>7. ¿Se está negociando algún otro tratado parecido que pudiera ampliar sus efectos?</w:t>
      </w:r>
    </w:p>
    <w:p w:rsidR="000369FD" w:rsidRPr="00014433" w:rsidRDefault="000369FD" w:rsidP="000369FD">
      <w:pPr>
        <w:shd w:val="clear" w:color="auto" w:fill="F8F6F6"/>
        <w:spacing w:before="100" w:beforeAutospacing="1" w:after="100" w:afterAutospacing="1" w:line="240" w:lineRule="auto"/>
        <w:jc w:val="both"/>
        <w:textAlignment w:val="baseline"/>
        <w:rPr>
          <w:rFonts w:ascii="Times New Roman" w:eastAsia="Times New Roman" w:hAnsi="Times New Roman" w:cs="Times New Roman"/>
          <w:sz w:val="24"/>
          <w:szCs w:val="24"/>
          <w:u w:val="single"/>
          <w:lang w:eastAsia="es-ES"/>
        </w:rPr>
      </w:pPr>
      <w:r w:rsidRPr="00014433">
        <w:rPr>
          <w:rFonts w:ascii="Times New Roman" w:eastAsia="Times New Roman" w:hAnsi="Times New Roman" w:cs="Times New Roman"/>
          <w:sz w:val="24"/>
          <w:szCs w:val="24"/>
          <w:u w:val="single"/>
          <w:lang w:eastAsia="es-ES"/>
        </w:rPr>
        <w:t>Sí, existen otros dos tratados que se están negociando en paralelo. Por un lado el Acuerdo para la liberalización de servicios en el marco de la Organización Mundial de Comercio, cuyos aspectos están siendo aún más opacos que los del TTIP.</w:t>
      </w:r>
      <w:r w:rsidRPr="00A619FF">
        <w:rPr>
          <w:rFonts w:ascii="Times New Roman" w:eastAsia="Times New Roman" w:hAnsi="Times New Roman" w:cs="Times New Roman"/>
          <w:sz w:val="24"/>
          <w:szCs w:val="24"/>
          <w:lang w:eastAsia="es-ES"/>
        </w:rPr>
        <w:t xml:space="preserve"> Con ello, se extenderán todos los problemas que se están planteando con la Directiva Bolkestein que tanto rechazo tuvo en la Unión Europea antes de su aprobación en 2006. </w:t>
      </w:r>
      <w:r w:rsidRPr="00014433">
        <w:rPr>
          <w:rFonts w:ascii="Times New Roman" w:eastAsia="Times New Roman" w:hAnsi="Times New Roman" w:cs="Times New Roman"/>
          <w:sz w:val="24"/>
          <w:szCs w:val="24"/>
          <w:u w:val="single"/>
          <w:lang w:eastAsia="es-ES"/>
        </w:rPr>
        <w:t>El segundo sería un tratado equivalent</w:t>
      </w:r>
      <w:r>
        <w:rPr>
          <w:rFonts w:ascii="Times New Roman" w:eastAsia="Times New Roman" w:hAnsi="Times New Roman" w:cs="Times New Roman"/>
          <w:sz w:val="24"/>
          <w:szCs w:val="24"/>
          <w:u w:val="single"/>
          <w:lang w:eastAsia="es-ES"/>
        </w:rPr>
        <w:t>e a éste que está negociando EEUU</w:t>
      </w:r>
      <w:r w:rsidRPr="00014433">
        <w:rPr>
          <w:rFonts w:ascii="Times New Roman" w:eastAsia="Times New Roman" w:hAnsi="Times New Roman" w:cs="Times New Roman"/>
          <w:sz w:val="24"/>
          <w:szCs w:val="24"/>
          <w:u w:val="single"/>
          <w:lang w:eastAsia="es-ES"/>
        </w:rPr>
        <w:t xml:space="preserve"> con sus socios asiáticos.</w:t>
      </w:r>
    </w:p>
    <w:p w:rsidR="000369FD" w:rsidRPr="00363D3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363D32">
        <w:rPr>
          <w:rFonts w:ascii="Times New Roman" w:eastAsia="Times New Roman" w:hAnsi="Times New Roman" w:cs="Times New Roman"/>
          <w:sz w:val="24"/>
          <w:szCs w:val="24"/>
          <w:lang w:eastAsia="es-ES"/>
        </w:rPr>
        <w:lastRenderedPageBreak/>
        <w:t xml:space="preserve">- </w:t>
      </w:r>
      <w:r w:rsidRPr="00363D32">
        <w:rPr>
          <w:rFonts w:ascii="Times New Roman" w:eastAsia="Times New Roman" w:hAnsi="Times New Roman" w:cs="Times New Roman"/>
          <w:sz w:val="24"/>
          <w:szCs w:val="24"/>
          <w:u w:val="single"/>
          <w:lang w:eastAsia="es-ES"/>
        </w:rPr>
        <w:t>Críticas de falta de transparenci</w:t>
      </w:r>
      <w:r>
        <w:rPr>
          <w:rFonts w:ascii="Times New Roman" w:eastAsia="Times New Roman" w:hAnsi="Times New Roman" w:cs="Times New Roman"/>
          <w:sz w:val="24"/>
          <w:szCs w:val="24"/>
          <w:u w:val="single"/>
          <w:lang w:eastAsia="es-ES"/>
        </w:rPr>
        <w:t>a en el tratado de la UE con EE</w:t>
      </w:r>
      <w:r w:rsidRPr="00363D32">
        <w:rPr>
          <w:rFonts w:ascii="Times New Roman" w:eastAsia="Times New Roman" w:hAnsi="Times New Roman" w:cs="Times New Roman"/>
          <w:sz w:val="24"/>
          <w:szCs w:val="24"/>
          <w:u w:val="single"/>
          <w:lang w:eastAsia="es-ES"/>
        </w:rPr>
        <w:t>UU</w:t>
      </w:r>
      <w:r w:rsidRPr="00363D32">
        <w:rPr>
          <w:rFonts w:ascii="Times New Roman" w:eastAsia="Times New Roman" w:hAnsi="Times New Roman" w:cs="Times New Roman"/>
          <w:sz w:val="24"/>
          <w:szCs w:val="24"/>
          <w:lang w:eastAsia="es-ES"/>
        </w:rPr>
        <w:t xml:space="preserve"> (El País - </w:t>
      </w:r>
      <w:r w:rsidRPr="00363D32">
        <w:rPr>
          <w:rFonts w:ascii="Times New Roman" w:eastAsia="Times New Roman" w:hAnsi="Times New Roman" w:cs="Times New Roman"/>
          <w:b/>
          <w:sz w:val="24"/>
          <w:szCs w:val="24"/>
          <w:lang w:eastAsia="es-ES"/>
        </w:rPr>
        <w:t>17/11/14</w:t>
      </w:r>
      <w:r w:rsidRPr="00363D32">
        <w:rPr>
          <w:rFonts w:ascii="Times New Roman" w:eastAsia="Times New Roman" w:hAnsi="Times New Roman" w:cs="Times New Roman"/>
          <w:sz w:val="24"/>
          <w:szCs w:val="24"/>
          <w:lang w:eastAsia="es-ES"/>
        </w:rPr>
        <w:t>)</w:t>
      </w:r>
    </w:p>
    <w:p w:rsidR="000369FD" w:rsidRPr="00363D3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363D32">
        <w:rPr>
          <w:rFonts w:ascii="Times New Roman" w:eastAsia="Times New Roman" w:hAnsi="Times New Roman" w:cs="Times New Roman"/>
          <w:sz w:val="24"/>
          <w:szCs w:val="24"/>
          <w:lang w:eastAsia="es-ES"/>
        </w:rPr>
        <w:t>Organizaciones civiles ven con recelo el acuerdo de libre comercio</w:t>
      </w:r>
    </w:p>
    <w:p w:rsidR="000369FD" w:rsidRPr="00363D3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363D32">
        <w:rPr>
          <w:rFonts w:ascii="Times New Roman" w:eastAsia="Times New Roman" w:hAnsi="Times New Roman" w:cs="Times New Roman"/>
          <w:sz w:val="24"/>
          <w:szCs w:val="24"/>
          <w:lang w:eastAsia="es-ES"/>
        </w:rPr>
        <w:t>Las instituciones comunitarias aseg</w:t>
      </w:r>
      <w:r>
        <w:rPr>
          <w:rFonts w:ascii="Times New Roman" w:eastAsia="Times New Roman" w:hAnsi="Times New Roman" w:cs="Times New Roman"/>
          <w:sz w:val="24"/>
          <w:szCs w:val="24"/>
          <w:lang w:eastAsia="es-ES"/>
        </w:rPr>
        <w:t>uran que el pacto podría crear “400.000 empleos”</w:t>
      </w:r>
    </w:p>
    <w:p w:rsidR="000369FD" w:rsidRPr="00363D32" w:rsidRDefault="000369FD" w:rsidP="000369FD">
      <w:pPr>
        <w:shd w:val="clear" w:color="auto" w:fill="FFFFFF"/>
        <w:spacing w:line="240" w:lineRule="auto"/>
        <w:jc w:val="both"/>
        <w:rPr>
          <w:rFonts w:ascii="Times New Roman" w:eastAsia="Times New Roman" w:hAnsi="Times New Roman" w:cs="Times New Roman"/>
          <w:sz w:val="24"/>
          <w:szCs w:val="24"/>
          <w:lang w:eastAsia="es-ES"/>
        </w:rPr>
      </w:pPr>
      <w:r w:rsidRPr="00363D32">
        <w:rPr>
          <w:rFonts w:ascii="Times New Roman" w:eastAsia="Times New Roman" w:hAnsi="Times New Roman" w:cs="Times New Roman"/>
          <w:sz w:val="24"/>
          <w:szCs w:val="24"/>
          <w:lang w:eastAsia="es-ES"/>
        </w:rPr>
        <w:t>(Por María Sosa Troya)</w:t>
      </w:r>
    </w:p>
    <w:p w:rsidR="000369FD" w:rsidRPr="00363D32" w:rsidRDefault="000369FD" w:rsidP="000369FD">
      <w:pPr>
        <w:pStyle w:val="NormalWeb"/>
        <w:shd w:val="clear" w:color="auto" w:fill="FFFFFF"/>
        <w:jc w:val="both"/>
      </w:pPr>
      <w:r w:rsidRPr="00363D32">
        <w:t xml:space="preserve">Falta de transparencia es la principal crítica que organizaciones sociales aducen a la hora de referirse a la </w:t>
      </w:r>
      <w:hyperlink r:id="rId50" w:history="1">
        <w:r w:rsidRPr="00014433">
          <w:rPr>
            <w:rStyle w:val="Hipervnculo"/>
            <w:rFonts w:eastAsiaTheme="majorEastAsia"/>
            <w:color w:val="auto"/>
          </w:rPr>
          <w:t>Asociación Transatlántica para el Comercio y la Inversión, conocida como TTIP</w:t>
        </w:r>
      </w:hyperlink>
      <w:r w:rsidRPr="00014433">
        <w:t xml:space="preserve"> (sus siglas en inglés), que la Unión Europea y Estados Unidos negocian desde junio del año pasado. Esta mañana lo han dejado patente los asistentes </w:t>
      </w:r>
      <w:hyperlink r:id="rId51" w:tgtFrame="_blank" w:history="1">
        <w:r w:rsidRPr="00014433">
          <w:rPr>
            <w:rStyle w:val="Hipervnculo"/>
            <w:rFonts w:eastAsiaTheme="majorEastAsia"/>
            <w:color w:val="auto"/>
          </w:rPr>
          <w:t>a un debate</w:t>
        </w:r>
      </w:hyperlink>
      <w:r w:rsidRPr="00014433">
        <w:t xml:space="preserve"> organizado en Madrid por la </w:t>
      </w:r>
      <w:hyperlink r:id="rId52" w:tgtFrame="_blank" w:history="1">
        <w:r w:rsidRPr="00014433">
          <w:rPr>
            <w:rStyle w:val="Hipervnculo"/>
            <w:rFonts w:eastAsiaTheme="majorEastAsia"/>
            <w:color w:val="auto"/>
          </w:rPr>
          <w:t>oficina del Parlamento Europeo en España</w:t>
        </w:r>
      </w:hyperlink>
      <w:r w:rsidRPr="00014433">
        <w:t xml:space="preserve"> en el</w:t>
      </w:r>
      <w:r w:rsidRPr="00363D32">
        <w:t xml:space="preserve"> que han participado representantes de la Eurocámara y la Comisión. Antonio Fernández-Martos, director general de Comercio Internacional e Inversiones del Ministerio de Economía, ha seña</w:t>
      </w:r>
      <w:r>
        <w:t>lado que se trata de la “</w:t>
      </w:r>
      <w:r w:rsidRPr="00363D32">
        <w:t>prioridad número uno de</w:t>
      </w:r>
      <w:r>
        <w:t xml:space="preserve"> la política comercial española”</w:t>
      </w:r>
      <w:r w:rsidRPr="00363D32">
        <w:t xml:space="preserve">. Frente a los argumentos de las instituciones comunitarias, que lo ven como una oportunidad y aseguran que podría suponer un aumento del 0,5% del PIB europeo y la creación de </w:t>
      </w:r>
      <w:r>
        <w:t>400.000 puestos de trabajo -140.000 de ellos, en España-</w:t>
      </w:r>
      <w:r w:rsidRPr="00363D32">
        <w:t>, las organizaciones han puesto el foco en la opacidad de las negociaciones y han alertado acerca de la pérdida de derechos de los europeos que podría acarrear.</w:t>
      </w:r>
    </w:p>
    <w:p w:rsidR="000369FD" w:rsidRPr="00363D32" w:rsidRDefault="000369FD" w:rsidP="000369FD">
      <w:pPr>
        <w:pStyle w:val="NormalWeb"/>
        <w:shd w:val="clear" w:color="auto" w:fill="FFFFFF"/>
        <w:jc w:val="both"/>
      </w:pPr>
    </w:p>
    <w:p w:rsidR="000369FD" w:rsidRPr="00014433" w:rsidRDefault="000369FD" w:rsidP="000369FD">
      <w:pPr>
        <w:pStyle w:val="NormalWeb"/>
        <w:shd w:val="clear" w:color="auto" w:fill="FFFFFF"/>
        <w:jc w:val="both"/>
        <w:rPr>
          <w:u w:val="single"/>
        </w:rPr>
      </w:pPr>
      <w:r w:rsidRPr="00014433">
        <w:rPr>
          <w:u w:val="single"/>
        </w:rPr>
        <w:t xml:space="preserve">“El acuerdo pretende eliminar aranceles sobre bienes y restricciones sobre servicios, abrir mercados públicos y facilitar las inversiones en ambos sentidos. Debe fomentar el comercio transatlántico, reducir costes y precios y crear crecimiento y empleo en ambos lados del Atlántico”. Esta es la explicación oficial de los objetivos que persigue el TTIP. “Se trata de un pacto que podría aportar beneficios por valor de 119.000 millones de euros a la UE y de 95.000 millones de dólares a EEUU”, ha resaltado </w:t>
      </w:r>
      <w:hyperlink r:id="rId53" w:history="1">
        <w:r w:rsidRPr="00014433">
          <w:rPr>
            <w:rStyle w:val="Hipervnculo"/>
            <w:rFonts w:eastAsiaTheme="majorEastAsia"/>
            <w:color w:val="auto"/>
          </w:rPr>
          <w:t>Santiago Fisas</w:t>
        </w:r>
      </w:hyperlink>
      <w:r w:rsidRPr="00014433">
        <w:rPr>
          <w:u w:val="single"/>
        </w:rPr>
        <w:t xml:space="preserve">, eurodiputado del Partido Popular. “La UE y EEUU ya suman el 60% del PIB mundial. Este tratado es fundamental desde el punto de vista geopolítico, para que Europa recupere un papel de liderazgo”, ha indicado </w:t>
      </w:r>
      <w:hyperlink r:id="rId54" w:history="1">
        <w:r w:rsidRPr="00014433">
          <w:rPr>
            <w:rStyle w:val="Hipervnculo"/>
            <w:rFonts w:eastAsiaTheme="majorEastAsia"/>
            <w:color w:val="auto"/>
          </w:rPr>
          <w:t>Inmaculada Rodríguez-Piñero</w:t>
        </w:r>
      </w:hyperlink>
      <w:r w:rsidRPr="00014433">
        <w:rPr>
          <w:u w:val="single"/>
        </w:rPr>
        <w:t xml:space="preserve"> (del PSOE).</w:t>
      </w:r>
    </w:p>
    <w:p w:rsidR="000369FD" w:rsidRPr="00014433"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Ambos han sido los dos únicos parlamentarios invitados como ponentes a la mesa redonda, pues son los dos únicos españoles miembros titulares de la comisión de comercio internacional, la encargada de tratar el asunto en la Eurocámara, según ha explicado el director de la oficina del Parlamento Europeo en España, Ignacio Samper. La ausencia de pluralidad política ha sido afeada por varios de los presentes como público en el debate, entre ellos, por una representante de Lola Galán, eurodiputada de Podemos que es suplente en dicha comisión.</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t>“</w:t>
      </w:r>
      <w:r w:rsidRPr="00363D32">
        <w:t>Estamos haciendo e</w:t>
      </w:r>
      <w:r>
        <w:t>sfuerzos para informar del TTIP”</w:t>
      </w:r>
      <w:r w:rsidRPr="00363D32">
        <w:t xml:space="preserve">, ha afirmado en varias ocasiones Jochen Müller, analista político de la Comisión Europea en España, que ha remitido </w:t>
      </w:r>
      <w:hyperlink r:id="rId55" w:tgtFrame="_blank" w:history="1">
        <w:r w:rsidRPr="00B454ED">
          <w:rPr>
            <w:rStyle w:val="Hipervnculo"/>
            <w:rFonts w:eastAsiaTheme="majorEastAsia"/>
            <w:color w:val="auto"/>
            <w:u w:val="none"/>
          </w:rPr>
          <w:t>a la página web disponible</w:t>
        </w:r>
      </w:hyperlink>
      <w:r w:rsidRPr="00B454ED">
        <w:t xml:space="preserve"> en la que leer el mandato negociador que el Consejo entregó a la Comisión, que se publicó casi un año después de haber empezado las negociaciones. </w:t>
      </w:r>
      <w:hyperlink r:id="rId56" w:tgtFrame="_blank" w:history="1">
        <w:r w:rsidRPr="00B454ED">
          <w:rPr>
            <w:rStyle w:val="Hipervnculo"/>
            <w:rFonts w:eastAsiaTheme="majorEastAsia"/>
            <w:color w:val="auto"/>
            <w:u w:val="none"/>
          </w:rPr>
          <w:t>Florent Marcellesi</w:t>
        </w:r>
      </w:hyperlink>
      <w:r w:rsidRPr="00B454ED">
        <w:t xml:space="preserve">, </w:t>
      </w:r>
      <w:r w:rsidRPr="00363D32">
        <w:t>portavoz de Equo en la Eurocámara, ha criticado que únicamente siete eurodiputados, uno por cada grupo parlamentario, puedan acceder a los documentos de la negociación en una sala a la que solo pueden</w:t>
      </w:r>
      <w:r>
        <w:t xml:space="preserve"> entrar con papel y bolígrafo. “</w:t>
      </w:r>
      <w:r w:rsidRPr="00363D32">
        <w:t>Son las normas. Hemos de preser</w:t>
      </w:r>
      <w:r>
        <w:t>var nuestras cartas frente a EEUU”</w:t>
      </w:r>
      <w:r w:rsidRPr="00363D32">
        <w:t>, ha justificado Müller.</w:t>
      </w:r>
    </w:p>
    <w:p w:rsidR="000369FD" w:rsidRPr="00363D32" w:rsidRDefault="000369FD" w:rsidP="000369FD">
      <w:pPr>
        <w:pStyle w:val="NormalWeb"/>
        <w:shd w:val="clear" w:color="auto" w:fill="FFFFFF"/>
        <w:jc w:val="both"/>
      </w:pPr>
    </w:p>
    <w:p w:rsidR="000369FD" w:rsidRPr="00014433" w:rsidRDefault="000369FD" w:rsidP="000369FD">
      <w:pPr>
        <w:pStyle w:val="NormalWeb"/>
        <w:shd w:val="clear" w:color="auto" w:fill="FFFFFF"/>
        <w:jc w:val="both"/>
        <w:rPr>
          <w:u w:val="single"/>
        </w:rPr>
      </w:pPr>
      <w:r w:rsidRPr="00014433">
        <w:rPr>
          <w:u w:val="single"/>
        </w:rPr>
        <w:t xml:space="preserve">El mecanismo de resolución de conflictos entre inversores y Estados ha sido otro de los puntos objeto de críticas. “Este mecanismo no es necesario. En EEUU y en la UE ya </w:t>
      </w:r>
      <w:r w:rsidRPr="00014433">
        <w:rPr>
          <w:u w:val="single"/>
        </w:rPr>
        <w:lastRenderedPageBreak/>
        <w:t>existe un sistema jurídico sólido y eficiente”, ha defendido Rodríguez-Piñero</w:t>
      </w:r>
      <w:r w:rsidRPr="00363D32">
        <w:t>. Fisas ha indicado que el Partido Popular Europeo aún no ha definido su postura al respecto, aunque ha manifestado que su formación es más bien proclive a la creación de este mecanismo al cual las empresas puedan recurri</w:t>
      </w:r>
      <w:r>
        <w:t>r para reclamar a los Estados, “</w:t>
      </w:r>
      <w:r w:rsidRPr="00363D32">
        <w:t>sobre todo en casos de expropiacion</w:t>
      </w:r>
      <w:r>
        <w:t>es y en algún que otro supuesto”</w:t>
      </w:r>
      <w:r w:rsidRPr="00363D32">
        <w:t xml:space="preserve">. </w:t>
      </w:r>
      <w:r w:rsidRPr="00014433">
        <w:rPr>
          <w:u w:val="single"/>
        </w:rPr>
        <w:t xml:space="preserve">Luis Rico, de </w:t>
      </w:r>
      <w:hyperlink r:id="rId57" w:tgtFrame="_blank" w:history="1">
        <w:r w:rsidRPr="00014433">
          <w:rPr>
            <w:rStyle w:val="Hipervnculo"/>
            <w:rFonts w:eastAsiaTheme="majorEastAsia"/>
            <w:color w:val="auto"/>
          </w:rPr>
          <w:t>Ecologistas en Acción</w:t>
        </w:r>
      </w:hyperlink>
      <w:r w:rsidRPr="00014433">
        <w:rPr>
          <w:u w:val="single"/>
        </w:rPr>
        <w:t>, se ha opuesto frontalmente: “En el mejor de los casos, los Estados pueden no perder frente a las compañías. Pero habrán gastado dinero e invertido muchos esfuerzos en estos procesos. Si pierden, pueden estar obligados a afrontar multas millonarias”.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C24D4">
        <w:rPr>
          <w:u w:val="single"/>
        </w:rPr>
        <w:t xml:space="preserve">Representantes de sindicatos, de asociaciones sanitarias, ecologistas y profesores universitarios han alertado sobre las posibles pérdidas en cuanto a derechos laborales y de protección social y medioambiental. Han criticado, entre otros asuntos, las presiones de EEUU para introducir en Europa alimentos transgénicos, han asegurado que se ha roto el diálogo social -sostienen que la mayoría de los interlocutores en las conversaciones que los negociadores están manteniendo con organizaciones de la sociedad civil son </w:t>
      </w:r>
      <w:r w:rsidRPr="003C24D4">
        <w:rPr>
          <w:rStyle w:val="nfasis"/>
          <w:u w:val="single"/>
        </w:rPr>
        <w:t>lobbies</w:t>
      </w:r>
      <w:r w:rsidRPr="003C24D4">
        <w:rPr>
          <w:u w:val="single"/>
        </w:rPr>
        <w:t xml:space="preserve"> y grandes corporaciones- y que puede aumentar el precio de los medicamentos.</w:t>
      </w:r>
      <w:r w:rsidRPr="00363D32">
        <w:t xml:space="preserve"> Los representantes de las instituciones comunitarias han insistido en que el TTIP en ningún caso supondrá una reducción de los estándares que han sido alcanzados en Europa.</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 “</w:t>
      </w:r>
      <w:r>
        <w:rPr>
          <w:u w:val="single"/>
        </w:rPr>
        <w:t>En EE</w:t>
      </w:r>
      <w:r w:rsidRPr="00363D32">
        <w:rPr>
          <w:u w:val="single"/>
        </w:rPr>
        <w:t>UU aún no hay debate sobre el acuerdo comercial con la UE</w:t>
      </w:r>
      <w:r w:rsidRPr="00363D32">
        <w:t xml:space="preserve">” (El País - </w:t>
      </w:r>
      <w:r w:rsidRPr="00363D32">
        <w:rPr>
          <w:b/>
        </w:rPr>
        <w:t>21/11/1</w:t>
      </w:r>
      <w:r w:rsidRPr="00363D32">
        <w:t>4)</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t>“</w:t>
      </w:r>
      <w:r w:rsidRPr="00363D32">
        <w:t>Es la negociación más transpare</w:t>
      </w:r>
      <w:r>
        <w:t>nte en la que hemos participado”</w:t>
      </w:r>
      <w:r w:rsidRPr="00363D32">
        <w:t>, sostiene el diplomático</w:t>
      </w:r>
    </w:p>
    <w:p w:rsidR="000369FD" w:rsidRPr="00363D32" w:rsidRDefault="000369FD" w:rsidP="000369FD">
      <w:pPr>
        <w:autoSpaceDE w:val="0"/>
        <w:autoSpaceDN w:val="0"/>
        <w:adjustRightInd w:val="0"/>
        <w:spacing w:after="0" w:line="240" w:lineRule="auto"/>
        <w:jc w:val="both"/>
        <w:rPr>
          <w:rFonts w:ascii="Times New Roman" w:eastAsia="Times New Roman" w:hAnsi="Times New Roman" w:cs="Times New Roman"/>
          <w:sz w:val="24"/>
          <w:szCs w:val="24"/>
          <w:lang w:eastAsia="es-ES"/>
        </w:rPr>
      </w:pP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r w:rsidRPr="00363D32">
        <w:rPr>
          <w:rFonts w:ascii="Times New Roman" w:hAnsi="Times New Roman" w:cs="Times New Roman"/>
          <w:sz w:val="24"/>
          <w:szCs w:val="24"/>
        </w:rPr>
        <w:t>(Por María Sosa Troya)</w:t>
      </w: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3C24D4" w:rsidRDefault="000369FD" w:rsidP="000369FD">
      <w:pPr>
        <w:pStyle w:val="NormalWeb"/>
        <w:shd w:val="clear" w:color="auto" w:fill="FFFFFF"/>
        <w:jc w:val="both"/>
      </w:pPr>
      <w:r w:rsidRPr="00363D32">
        <w:t xml:space="preserve">De firmarse, la </w:t>
      </w:r>
      <w:hyperlink r:id="rId58" w:history="1">
        <w:r w:rsidRPr="003C24D4">
          <w:rPr>
            <w:rStyle w:val="Hipervnculo"/>
            <w:rFonts w:eastAsiaTheme="majorEastAsia"/>
            <w:color w:val="auto"/>
          </w:rPr>
          <w:t>Asociación Transatlántica para el Comercio y la Inversión</w:t>
        </w:r>
      </w:hyperlink>
      <w:r w:rsidRPr="003C24D4">
        <w:t>, conocida por sus siglas en inglés, TTIP, creará la mayor zona de libre comercio del mundo. Estados Unidos y la Unión Europea negocian desde hace año y medio las bases de este acuerdo, del que poco ha salido a la luz. Anthony L. Gardner (Washing</w:t>
      </w:r>
      <w:r>
        <w:t>ton, 1963), embajador de EE</w:t>
      </w:r>
      <w:r w:rsidRPr="003C24D4">
        <w:t xml:space="preserve">UU ante la UE desde el pasado marzo, es el encargado de defender la posición del Gobierno de </w:t>
      </w:r>
      <w:hyperlink r:id="rId59" w:history="1">
        <w:r w:rsidRPr="003C24D4">
          <w:rPr>
            <w:rStyle w:val="Hipervnculo"/>
            <w:rFonts w:eastAsiaTheme="majorEastAsia"/>
            <w:color w:val="auto"/>
          </w:rPr>
          <w:t>Barack Obama</w:t>
        </w:r>
      </w:hyperlink>
      <w:r w:rsidRPr="003C24D4">
        <w:t xml:space="preserve"> en sus conversaciones con la Comisión Europea. Tras asistir en Madrid a unas jornadas organizadas por la </w:t>
      </w:r>
      <w:hyperlink r:id="rId60" w:tgtFrame="_blank" w:history="1">
        <w:r w:rsidRPr="003C24D4">
          <w:rPr>
            <w:rStyle w:val="Hipervnculo"/>
            <w:rFonts w:eastAsiaTheme="majorEastAsia"/>
            <w:color w:val="auto"/>
          </w:rPr>
          <w:t>Fundación Aspen Institute España</w:t>
        </w:r>
      </w:hyperlink>
      <w:r w:rsidRPr="003C24D4">
        <w:t>, reconoce que la preocupación por las consecuencias de este pacto probablemente crecerá en su país a medida que se vayan revelando detalles del mismo.</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Pregunta.</w:t>
      </w:r>
      <w:r w:rsidRPr="00363D32">
        <w:t xml:space="preserve"> ¿En qué punto se encuentran las negociaciones?</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Respuesta.</w:t>
      </w:r>
      <w:r w:rsidRPr="00363D32">
        <w:t xml:space="preserve"> </w:t>
      </w:r>
      <w:r w:rsidRPr="003C24D4">
        <w:rPr>
          <w:u w:val="single"/>
        </w:rPr>
        <w:t>Estamos en un buen momento, a punto de celebrar la octava ronda de negociación en Bruselas (en febrero próximo). Creo que hemos conseguido mucho. Aún estamos en una fase relativamente temprana. Y tratamos asuntos muy complicados, no solo cuestiones arancelarias, también no arancelarias, relacionadas, por ejemplo, con divergencias regulatorias. Queremos alcanzar un acuerdo ambicioso.</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En un principio se preveía que las negociaciones finalizaran este año. Ahora se dice que lo harán en 2015. ¿El hecho de que Obama no disponga de la Au</w:t>
      </w:r>
      <w:r>
        <w:t>toridad de Promoción Comercial (</w:t>
      </w:r>
      <w:r w:rsidRPr="00363D32">
        <w:t>que establece que el Congreso solo puede aprobar o rechazar un acuerdo comercial, pero no introducir en</w:t>
      </w:r>
      <w:r>
        <w:t>miendas)</w:t>
      </w:r>
      <w:r w:rsidRPr="00363D32">
        <w:t xml:space="preserve"> está influyendo en la negociación?</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R.</w:t>
      </w:r>
      <w:r w:rsidRPr="00363D32">
        <w:t xml:space="preserve"> No lo está haciendo. </w:t>
      </w:r>
      <w:r w:rsidRPr="003C24D4">
        <w:rPr>
          <w:u w:val="single"/>
        </w:rPr>
        <w:t xml:space="preserve">Ni complica ni ralentiza nuestra capacidad para negociar este acuerdo. Todo parece indicar que las elecciones no tendrán un impacto negativo ni en las </w:t>
      </w:r>
      <w:r w:rsidRPr="003C24D4">
        <w:rPr>
          <w:u w:val="single"/>
        </w:rPr>
        <w:lastRenderedPageBreak/>
        <w:t>negociaciones del Acuerdo Transpacífico de Asociación Económica ni en las del TTIP</w:t>
      </w:r>
      <w:r w:rsidRPr="003C24D4">
        <w:t xml:space="preserve">. </w:t>
      </w:r>
      <w:hyperlink r:id="rId61" w:history="1">
        <w:r w:rsidRPr="003C24D4">
          <w:rPr>
            <w:rStyle w:val="Hipervnculo"/>
            <w:rFonts w:eastAsiaTheme="majorEastAsia"/>
            <w:color w:val="auto"/>
          </w:rPr>
          <w:t>Hay una mayoría republicana en el Congreso</w:t>
        </w:r>
      </w:hyperlink>
      <w:r w:rsidRPr="003C24D4">
        <w:t xml:space="preserve"> qu</w:t>
      </w:r>
      <w:r w:rsidRPr="00363D32">
        <w:t>e quiere promover la Autoridad de Promoción Comercial y los acuerdos de libre comercio. Confío en que la obtengamos en los próximos meses.</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Hay una </w:t>
      </w:r>
      <w:hyperlink r:id="rId62" w:tgtFrame="_blank" w:history="1">
        <w:r w:rsidRPr="003C24D4">
          <w:rPr>
            <w:rStyle w:val="Hipervnculo"/>
            <w:rFonts w:eastAsiaTheme="majorEastAsia"/>
            <w:color w:val="auto"/>
          </w:rPr>
          <w:t>gran preocupación en la sociedad europea respecto al mecanismo de resolución de conflictos entre inversores y Estados</w:t>
        </w:r>
      </w:hyperlink>
      <w:r w:rsidRPr="003C24D4">
        <w:t xml:space="preserve"> </w:t>
      </w:r>
      <w:r w:rsidRPr="00363D32">
        <w:t>(ISDS, en sus siglas en ing</w:t>
      </w:r>
      <w:r w:rsidR="00D219E3">
        <w:t>lés). ¿Cuál es la postura de EE</w:t>
      </w:r>
      <w:r w:rsidRPr="00363D32">
        <w:t>UU?</w:t>
      </w:r>
    </w:p>
    <w:p w:rsidR="000369FD" w:rsidRPr="00363D32" w:rsidRDefault="000369FD" w:rsidP="000369FD">
      <w:pPr>
        <w:pStyle w:val="NormalWeb"/>
        <w:shd w:val="clear" w:color="auto" w:fill="FFFFFF"/>
        <w:jc w:val="both"/>
        <w:rPr>
          <w:rStyle w:val="Textoennegrita"/>
        </w:rPr>
      </w:pPr>
    </w:p>
    <w:p w:rsidR="000369FD" w:rsidRDefault="000369FD" w:rsidP="000369FD">
      <w:pPr>
        <w:pStyle w:val="NormalWeb"/>
        <w:shd w:val="clear" w:color="auto" w:fill="FFFFFF"/>
        <w:jc w:val="both"/>
      </w:pPr>
      <w:r w:rsidRPr="00363D32">
        <w:rPr>
          <w:rStyle w:val="Textoennegrita"/>
        </w:rPr>
        <w:t>R.</w:t>
      </w:r>
      <w:r w:rsidRPr="00363D32">
        <w:t xml:space="preserve"> </w:t>
      </w:r>
      <w:r w:rsidRPr="003C24D4">
        <w:rPr>
          <w:u w:val="single"/>
        </w:rPr>
        <w:t>Estamos perplejos por cómo el ISDS se ha convertido en un asunto tan politizado en tantos países, sobre todo los germano-parlantes. Este tribunal de arbitraje es una parte importante en un acuerdo de libre comercio ambicioso del siglo XXI. La mayoría de los miembros de la UE comparten nuestra postura. El ISDS estaba incluido en el mandato de negociación que el Consejo entregó a la Comisión Europea</w:t>
      </w:r>
      <w:r w:rsidRPr="00363D32">
        <w:t>. Hay muchas ideas equivocadas respecto al ISDS, como que las empresas normalmente ganan, cuando son los Estados quienes suelen hacerlo. O que el ISDS pretende interferir en los derechos de los Estados a legislar. El ISDS sirve para que el inversor pueda recurrir a él en caso de expropiación, cuando no haya habido un proceso con garantías o cuando no se le haya tratado de forma justa y equitativa. Hay algunas críticas válidas respecto a cómo ha funcionado este mecanismo en el pasado. Hemos incorporado sugerencias para mejorar.</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rPr>
          <w:u w:val="single"/>
        </w:rPr>
      </w:pPr>
      <w:r w:rsidRPr="00363D32">
        <w:rPr>
          <w:rStyle w:val="Textoennegrita"/>
        </w:rPr>
        <w:t>P.</w:t>
      </w:r>
      <w:r w:rsidRPr="00363D32">
        <w:t xml:space="preserve"> Otra de las críticas es la </w:t>
      </w:r>
      <w:hyperlink r:id="rId63" w:history="1">
        <w:r w:rsidRPr="003C24D4">
          <w:rPr>
            <w:rStyle w:val="Hipervnculo"/>
            <w:rFonts w:eastAsiaTheme="majorEastAsia"/>
            <w:color w:val="auto"/>
          </w:rPr>
          <w:t>falta de transparencia de las negociaciones</w:t>
        </w:r>
      </w:hyperlink>
      <w:r w:rsidRPr="003C24D4">
        <w:rPr>
          <w:u w:val="single"/>
        </w:rPr>
        <w:t>.</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w:t>
      </w:r>
      <w:r w:rsidRPr="003C24D4">
        <w:rPr>
          <w:u w:val="single"/>
        </w:rPr>
        <w:t>Son las más transparentes en las que EEUU o la UE han participado, en términos de documentos que han sido hechos públicos y de las consultas realizadas antes y después de cada ronda de negociación. ¿Podemos mejorar? Sí. Estamos estudiando cómo hacerlo.</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El </w:t>
      </w:r>
      <w:hyperlink r:id="rId64" w:tgtFrame="_blank" w:history="1">
        <w:r w:rsidRPr="003C24D4">
          <w:rPr>
            <w:rStyle w:val="Hipervnculo"/>
            <w:rFonts w:eastAsiaTheme="majorEastAsia"/>
            <w:color w:val="auto"/>
          </w:rPr>
          <w:t>mandato negociador del Consejo a la Comisión</w:t>
        </w:r>
      </w:hyperlink>
      <w:r w:rsidRPr="003C24D4">
        <w:rPr>
          <w:u w:val="single"/>
        </w:rPr>
        <w:t xml:space="preserve"> </w:t>
      </w:r>
      <w:r w:rsidRPr="00363D32">
        <w:t>tardó más de un año en publicarse.</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R.</w:t>
      </w:r>
      <w:r w:rsidRPr="00363D32">
        <w:t xml:space="preserve"> No puedo comentar la decisión del Consejo de permitir a la Comisión publicar el mandato. El contenido estaba disponible al público mucho tiempo antes. Todo el mundo lo conocía.</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En la UE únicamente siete eurodiputados pueden acceder a la sala en la que se guarda la documentación de la negociación. Y solo pueden portar papel y bolígrafo.</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R.</w:t>
      </w:r>
      <w:r w:rsidRPr="00363D32">
        <w:t xml:space="preserve"> Todo lo que puedo decir es que nosotros estamos limitados por lo qu</w:t>
      </w:r>
      <w:r>
        <w:t>e entregamos al Congreso. En EE</w:t>
      </w:r>
      <w:r w:rsidRPr="00363D32">
        <w:t>UU hay un gran número de personas autorizadas a conocer nuestra posición en la negociación, dentro y fuera del Congreso.</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¿En qué consi</w:t>
      </w:r>
      <w:r>
        <w:t>sten las críticas al TTIP en EE</w:t>
      </w:r>
      <w:r w:rsidRPr="00363D32">
        <w:t>UU?</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w:t>
      </w:r>
      <w:r w:rsidRPr="003C24D4">
        <w:rPr>
          <w:u w:val="single"/>
        </w:rPr>
        <w:t>No hemos tenido un verdadero debate acerca del TTIP. La idea de firmar un acuerdo de libre comercio con una región con la que compartimos valores no es controvertida. No creo que se genere un debate respecto al peligro de que se rebajen nuestras normas, por ejemplo. Desafortunadamente, esto sí está ocurriendo en Europa. En EEUU, cuando comencemos a dar detalles de las negociaciones, probablemente aumentará la preocupación. Ahora no veo que exista una oposición seria al TTIP.</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lastRenderedPageBreak/>
        <w:t>P.</w:t>
      </w:r>
      <w:r w:rsidRPr="00363D32">
        <w:t xml:space="preserve"> Para la UE es importante acabar con la discriminación en los co</w:t>
      </w:r>
      <w:r>
        <w:t>ncursos de obras públicas en EE</w:t>
      </w:r>
      <w:r w:rsidRPr="00363D32">
        <w:t>UU, algo que establece la legislación Buy American.</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R.</w:t>
      </w:r>
      <w:r w:rsidRPr="00363D32">
        <w:t xml:space="preserve"> </w:t>
      </w:r>
      <w:r w:rsidRPr="003C24D4">
        <w:rPr>
          <w:u w:val="single"/>
        </w:rPr>
        <w:t>En primer lugar, es algo que debe decidir el Congreso. En segundo lugar, es incorrecto decir que nuestro mercado de contratación pública es mucho más cerrado que el europeo. Tenemos unos niveles casi idénticos de acceso a contratos públicos. Unos 360.000 millones de dólares en contratos públicos están abiertos a empresas de ambos lados del Atlántico. No en todos los casos, pero sí hay compañías europeas concurriendo en igualdad de oportunidades en concursos públicos en EEUU</w:t>
      </w:r>
      <w:r w:rsidRPr="00363D32">
        <w:t>. La parte europea debería centrar su petición de cambio en áreas que sean esenciales y asequibles en lugar de proponer acabar con esta norma.</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¿Existe riesgo de privatización de los servicios públicos en la UE?</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w:t>
      </w:r>
      <w:r w:rsidRPr="003C24D4">
        <w:rPr>
          <w:u w:val="single"/>
        </w:rPr>
        <w:t>Los críticos sostienen que el TTIP puede influir de alguna forma en la decisión de los Estados, por ejemplo, respecto al sistema público de salud. No vamos a interferir con la capacidad de los Estados de decidir cómo desarrollar los servicios públicos esenciales.</w:t>
      </w:r>
    </w:p>
    <w:p w:rsidR="000369FD" w:rsidRPr="00363D32" w:rsidRDefault="000369FD" w:rsidP="000369FD">
      <w:pPr>
        <w:pStyle w:val="NormalWeb"/>
        <w:shd w:val="clear" w:color="auto" w:fill="FFFFFF"/>
        <w:jc w:val="both"/>
        <w:rPr>
          <w:rStyle w:val="Textoennegrita"/>
        </w:rPr>
      </w:pPr>
    </w:p>
    <w:p w:rsidR="000369FD" w:rsidRDefault="000369FD" w:rsidP="000369FD">
      <w:pPr>
        <w:pStyle w:val="NormalWeb"/>
        <w:shd w:val="clear" w:color="auto" w:fill="FFFFFF"/>
        <w:jc w:val="both"/>
      </w:pPr>
      <w:r w:rsidRPr="00363D32">
        <w:rPr>
          <w:rStyle w:val="Textoennegrita"/>
        </w:rPr>
        <w:t>P.</w:t>
      </w:r>
      <w:r w:rsidRPr="00363D32">
        <w:t xml:space="preserve"> Pero los servicios públicos que ahora mismo son prestados por compañías privadas, ¿podrían ser desarrollados por empresas estadounidenses?</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Por supuesto. </w:t>
      </w:r>
      <w:r w:rsidRPr="003C24D4">
        <w:rPr>
          <w:u w:val="single"/>
        </w:rPr>
        <w:t>Cualquier tratado de libre comercio aborda la cuestión de la no discriminación.</w:t>
      </w:r>
    </w:p>
    <w:p w:rsidR="000369FD" w:rsidRPr="003C24D4"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t xml:space="preserve"> ¿Está EE</w:t>
      </w:r>
      <w:r w:rsidRPr="00363D32">
        <w:t>UU presionando para que Europa levante la mano respecto a los transgénicos?</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w:t>
      </w:r>
      <w:r w:rsidRPr="003C24D4">
        <w:rPr>
          <w:u w:val="single"/>
        </w:rPr>
        <w:t>Los organismos genéticamente modificados no tienen nada que ver con este acuerdo. Y la Comisión ha sido muy clara. Nosotros no queremos forzar a los europeos a consumir comida que no quieren comer</w:t>
      </w:r>
      <w:r w:rsidRPr="00363D32">
        <w:t xml:space="preserve">. Un asunto totalmente diferente es el papel que juega la ciencia en la toma de decisiones a nivel europeo. </w:t>
      </w:r>
      <w:r w:rsidRPr="003C24D4">
        <w:rPr>
          <w:u w:val="single"/>
        </w:rPr>
        <w:t xml:space="preserve">La </w:t>
      </w:r>
      <w:hyperlink r:id="rId65" w:tgtFrame="_blank" w:history="1">
        <w:r w:rsidRPr="003C24D4">
          <w:rPr>
            <w:rStyle w:val="Hipervnculo"/>
            <w:rFonts w:eastAsiaTheme="majorEastAsia"/>
            <w:color w:val="auto"/>
          </w:rPr>
          <w:t>Autoridad Europea de Seguridad Alimentaria</w:t>
        </w:r>
      </w:hyperlink>
      <w:r w:rsidRPr="003C24D4">
        <w:rPr>
          <w:u w:val="single"/>
        </w:rPr>
        <w:t xml:space="preserve"> ha dictaminado repetidamente que son seguros. Y son importantes desde un punto de vista económi</w:t>
      </w:r>
      <w:r>
        <w:rPr>
          <w:u w:val="single"/>
        </w:rPr>
        <w:t>co para las exportaciones de EE</w:t>
      </w:r>
      <w:r w:rsidRPr="003C24D4">
        <w:rPr>
          <w:u w:val="single"/>
        </w:rPr>
        <w:t>UU.</w:t>
      </w:r>
    </w:p>
    <w:p w:rsidR="000369FD" w:rsidRPr="003C24D4"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¿Este tratado solo beneficiará a las grandes empresas?</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R.</w:t>
      </w:r>
      <w:r w:rsidRPr="00363D32">
        <w:t xml:space="preserve"> No, aunque eso sea lo que se perciba. </w:t>
      </w:r>
      <w:hyperlink r:id="rId66" w:history="1">
        <w:r w:rsidRPr="003C24D4">
          <w:rPr>
            <w:rStyle w:val="Hipervnculo"/>
            <w:rFonts w:eastAsiaTheme="majorEastAsia"/>
            <w:color w:val="auto"/>
          </w:rPr>
          <w:t>Este acuerdo beneficiará a las pequeñas y medianas empresas</w:t>
        </w:r>
      </w:hyperlink>
      <w:r w:rsidRPr="003C24D4">
        <w:rPr>
          <w:u w:val="single"/>
        </w:rPr>
        <w:t>. La mayoría de los beneficios vendrán de la reducción de divergencias en asuntos no arancelarios. Las pymes tienen menos recursos para lidiar con la burocracia que las grandes compañías.</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P.</w:t>
      </w:r>
      <w:r w:rsidRPr="00363D32">
        <w:t xml:space="preserve"> ¿Cuándo estará listo el TTIP?</w:t>
      </w:r>
    </w:p>
    <w:p w:rsidR="000369FD" w:rsidRPr="00363D32" w:rsidRDefault="000369FD" w:rsidP="000369FD">
      <w:pPr>
        <w:pStyle w:val="NormalWeb"/>
        <w:shd w:val="clear" w:color="auto" w:fill="FFFFFF"/>
        <w:jc w:val="both"/>
        <w:rPr>
          <w:rStyle w:val="Textoennegrita"/>
        </w:rPr>
      </w:pPr>
    </w:p>
    <w:p w:rsidR="000369FD" w:rsidRPr="003C24D4" w:rsidRDefault="000369FD" w:rsidP="000369FD">
      <w:pPr>
        <w:pStyle w:val="NormalWeb"/>
        <w:shd w:val="clear" w:color="auto" w:fill="FFFFFF"/>
        <w:jc w:val="both"/>
        <w:rPr>
          <w:u w:val="single"/>
        </w:rPr>
      </w:pPr>
      <w:r w:rsidRPr="00363D32">
        <w:rPr>
          <w:rStyle w:val="Textoennegrita"/>
        </w:rPr>
        <w:t>R.</w:t>
      </w:r>
      <w:r w:rsidRPr="00363D32">
        <w:t xml:space="preserve"> El año que viene va a ser importante. </w:t>
      </w:r>
      <w:r w:rsidRPr="003C24D4">
        <w:rPr>
          <w:u w:val="single"/>
        </w:rPr>
        <w:t>Necesitamos evitar fijar plazos. Es el contenido quien tiene que guiar el calendario, y no al revés. No obstante, el próximo año necesitamos mostrar avances.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 “</w:t>
      </w:r>
      <w:r w:rsidRPr="00363D32">
        <w:rPr>
          <w:u w:val="single"/>
        </w:rPr>
        <w:t>No acordaremos nada que rebaje los estándares europeos</w:t>
      </w:r>
      <w:r w:rsidRPr="00363D32">
        <w:t xml:space="preserve">” (El País - </w:t>
      </w:r>
      <w:r w:rsidRPr="00363D32">
        <w:rPr>
          <w:b/>
        </w:rPr>
        <w:t>3/12/14</w:t>
      </w:r>
      <w:r w:rsidRPr="00363D32">
        <w:t>)</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t>“</w:t>
      </w:r>
      <w:r w:rsidRPr="00363D32">
        <w:t>Queremos acabar con la discriminación de empresas de l</w:t>
      </w:r>
      <w:r>
        <w:t>a UE en EEUU”</w:t>
      </w:r>
      <w:r w:rsidRPr="00363D32">
        <w:t>, dice el negociador del Tratado de Libre Comercio con Washington</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(Por María Sosa Troya)</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pPr>
      <w:r w:rsidRPr="003C24D4">
        <w:t xml:space="preserve">Poco después de iniciarse las conversaciones sobre la </w:t>
      </w:r>
      <w:hyperlink r:id="rId67" w:history="1">
        <w:r w:rsidRPr="003C24D4">
          <w:rPr>
            <w:rStyle w:val="Hipervnculo"/>
            <w:rFonts w:eastAsiaTheme="majorEastAsia"/>
            <w:color w:val="auto"/>
          </w:rPr>
          <w:t>Asociación Transatlántica para el Comercio y la Inversión</w:t>
        </w:r>
      </w:hyperlink>
      <w:r>
        <w:t xml:space="preserve"> -</w:t>
      </w:r>
      <w:r w:rsidRPr="003C24D4">
        <w:t>conocido</w:t>
      </w:r>
      <w:r>
        <w:t xml:space="preserve"> por sus siglas en inglés, TTIP-</w:t>
      </w:r>
      <w:r w:rsidRPr="003C24D4">
        <w:t xml:space="preserve">, el representante de los intereses europeos, Ignacio García-Bercero (Madrid, 1958), </w:t>
      </w:r>
      <w:hyperlink r:id="rId68" w:history="1">
        <w:r w:rsidRPr="003C24D4">
          <w:rPr>
            <w:rStyle w:val="Hipervnculo"/>
            <w:rFonts w:eastAsiaTheme="majorEastAsia"/>
            <w:color w:val="auto"/>
          </w:rPr>
          <w:t>reconoció que no sería un proceso fácil</w:t>
        </w:r>
      </w:hyperlink>
      <w:r w:rsidRPr="003C24D4">
        <w:t>. La Unión Europea y Estados Unidos, dos economías que representan más de la mitad del PIB mundial, llevan año y medio negociando este acuerdo de libre comercio. Tras la toma de posesión de la nueva Comisión, García-Bercero atiende a EL PAÍS por teléfono desde Bruselas. Prefiere no adelantar la fecha en la que el acuerdo podría estar listo, pero indica que el objetivo es lograr el máximo de progresos posibles en 2015 y 2016.</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¿Qué avances concretos se han registrado en la negociación?</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C24D4">
        <w:rPr>
          <w:u w:val="single"/>
        </w:rPr>
        <w:t>Ya hemos concluido una primera fase, en la que ambas partes han expuesto sus objetivos. Se están discutiendo más de 20 asuntos. En todos hemos avanzado. Lo más difícil es lo que tenemos aún por delante: reconciliar posiciones y llegar a un acuerdo ambicioso y equilibrado.</w:t>
      </w:r>
      <w:r w:rsidRPr="00363D32">
        <w:t xml:space="preserve"> Aún queda bastante por hacer. Se trata, por ejemplo, de revisar la duplicación innecesaria en temas reglamentarios. La octava ronda se celebrará en febrero en Bruselas</w:t>
      </w:r>
      <w:r>
        <w:t>, pero antes habrá una reunión (</w:t>
      </w:r>
      <w:r w:rsidRPr="00363D32">
        <w:t>la pró</w:t>
      </w:r>
      <w:r>
        <w:t>xima semana)</w:t>
      </w:r>
      <w:r w:rsidRPr="00363D32">
        <w:t xml:space="preserve"> para asegurar que el nivel político está implicado.</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rPr>
          <w:rStyle w:val="Textoennegrita"/>
        </w:rPr>
      </w:pPr>
      <w:r w:rsidRPr="00363D32">
        <w:rPr>
          <w:rStyle w:val="Textoennegrita"/>
        </w:rPr>
        <w:t xml:space="preserve">¿Habrá cambios con esta Comisión? </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pPr>
      <w:r w:rsidRPr="00363D32">
        <w:rPr>
          <w:rStyle w:val="Textoennegrita"/>
        </w:rPr>
        <w:t>El presidente Juncker y la comisaria de Comercio, Cecilia Malmström, han discrepado sobre el mecanismo de resolución de conflictos entre inversores y Estados.</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rPr>
          <w:rStyle w:val="Textoennegrita"/>
        </w:rPr>
      </w:pPr>
      <w:r w:rsidRPr="003C24D4">
        <w:rPr>
          <w:u w:val="single"/>
        </w:rPr>
        <w:t>No, ambos han dicho que ningún tribunal de arbitraje puede interferir con los procesos de jurisdicción nacional. El mandato de negociación que los Estados miembros entregaron a la Comisión deja claro que la inclusión o no de este instrumento en el acuerdo solo puede decidirse en una fase más avanzada de la negociación.</w:t>
      </w:r>
      <w:r w:rsidRPr="00D219E3">
        <w:t xml:space="preserve"> </w:t>
      </w:r>
      <w:r w:rsidRPr="003C24D4">
        <w:rPr>
          <w:rStyle w:val="Textoennegrita"/>
        </w:rPr>
        <w:t xml:space="preserve">EEUU no está dispuesto a prescindir de este mecanismo. </w:t>
      </w:r>
    </w:p>
    <w:p w:rsidR="000369FD" w:rsidRPr="00363D32" w:rsidRDefault="000369FD" w:rsidP="000369FD">
      <w:pPr>
        <w:pStyle w:val="NormalWeb"/>
        <w:shd w:val="clear" w:color="auto" w:fill="FFFFFF"/>
        <w:jc w:val="both"/>
        <w:rPr>
          <w:rStyle w:val="Textoennegrita"/>
        </w:rPr>
      </w:pPr>
    </w:p>
    <w:p w:rsidR="000369FD" w:rsidRPr="00363D32" w:rsidRDefault="000369FD" w:rsidP="000369FD">
      <w:pPr>
        <w:pStyle w:val="NormalWeb"/>
        <w:shd w:val="clear" w:color="auto" w:fill="FFFFFF"/>
        <w:jc w:val="both"/>
        <w:rPr>
          <w:rStyle w:val="Textoennegrita"/>
        </w:rPr>
      </w:pPr>
      <w:r w:rsidRPr="00363D32">
        <w:rPr>
          <w:rStyle w:val="Textoennegrita"/>
        </w:rPr>
        <w:t>¿Cuál es la postura de la UE?</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rPr>
          <w:u w:val="single"/>
        </w:rPr>
      </w:pPr>
      <w:r w:rsidRPr="003C24D4">
        <w:rPr>
          <w:u w:val="single"/>
        </w:rPr>
        <w:t>Que se incluya o no en el acuerdo depende de que se cumplan ciertas condiciones.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rPr>
          <w:rStyle w:val="Textoennegrita"/>
        </w:rPr>
      </w:pPr>
      <w:r w:rsidRPr="00363D32">
        <w:rPr>
          <w:rStyle w:val="Textoennegrita"/>
        </w:rPr>
        <w:t>¿Cuáles?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C24D4">
        <w:rPr>
          <w:u w:val="single"/>
        </w:rPr>
        <w:t>Es esencial que los procedimientos en materia de arbitraje sean transparentes y en conformidad con los más altos estándares de los Estados miembros. Cuando se habla de que se pretende establecer jurisdicciones secretas, esto se debe desgraciadamente a algunos de los más de 1.000 acuerdos bilaterales de protección de la inversión en los Estados miembros, que incluyen mecanismos de arbitraje. Pero en todos los acuerdos que ha negociado hasta ahora la UE -con Canadá y Singapur- se prevé la transparencia de los procedimientos arbitrales</w:t>
      </w:r>
      <w:r w:rsidRPr="00363D32">
        <w:t xml:space="preserve">. Y </w:t>
      </w:r>
      <w:hyperlink r:id="rId69" w:history="1">
        <w:r w:rsidRPr="003C24D4">
          <w:rPr>
            <w:rStyle w:val="Hipervnculo"/>
            <w:rFonts w:eastAsiaTheme="majorEastAsia"/>
            <w:color w:val="auto"/>
          </w:rPr>
          <w:t>en el acuerdo con Canadá</w:t>
        </w:r>
      </w:hyperlink>
      <w:r w:rsidRPr="003C24D4">
        <w:t xml:space="preserve"> </w:t>
      </w:r>
      <w:r w:rsidRPr="00363D32">
        <w:t xml:space="preserve">los estándares están definidos de forma muy precisa para evitar que medidas legislativas perfectamente legítimas sean cuestionadas. De cualquier forma, lo que la Comisión y la UE realmente propondrán sobre este instrumento es una cuestión que está aún abierta porque lanzamos una consulta </w:t>
      </w:r>
      <w:r w:rsidRPr="00363D32">
        <w:lastRenderedPageBreak/>
        <w:t>pública debido a lo sensible del tema. Antes de final de año haremos un informe que se discutirá con los Estados miembros y el Parlamento Europeo. Después diremos cuáles son para nosotros las condiciones aplicables en esta materia.</w:t>
      </w:r>
    </w:p>
    <w:p w:rsidR="000369FD" w:rsidRPr="00363D32" w:rsidRDefault="000369FD" w:rsidP="000369FD">
      <w:pPr>
        <w:pStyle w:val="NormalWeb"/>
        <w:shd w:val="clear" w:color="auto" w:fill="FFFFFF"/>
        <w:jc w:val="both"/>
      </w:pPr>
    </w:p>
    <w:p w:rsidR="000369FD" w:rsidRPr="003C24D4" w:rsidRDefault="000369FD" w:rsidP="000369FD">
      <w:pPr>
        <w:pStyle w:val="NormalWeb"/>
        <w:shd w:val="clear" w:color="auto" w:fill="FFFFFF"/>
        <w:jc w:val="both"/>
        <w:rPr>
          <w:u w:val="single"/>
        </w:rPr>
      </w:pPr>
      <w:r w:rsidRPr="003C24D4">
        <w:rPr>
          <w:rStyle w:val="Textoennegrita"/>
        </w:rPr>
        <w:t>Una de las críticas al acuerdo es la falta de transparencia. Malmström ha anunciado que los 751 diputados podrán acceder a todos los documentos de la negociación, y que se harán públicas las propuestas formales. ¿A partir de cuándo se producirán ambas cosas?</w:t>
      </w:r>
    </w:p>
    <w:p w:rsidR="000369FD" w:rsidRPr="003C24D4" w:rsidRDefault="000369FD" w:rsidP="000369FD">
      <w:pPr>
        <w:pStyle w:val="NormalWeb"/>
        <w:shd w:val="clear" w:color="auto" w:fill="FFFFFF"/>
        <w:jc w:val="both"/>
        <w:rPr>
          <w:u w:val="single"/>
        </w:rPr>
      </w:pPr>
    </w:p>
    <w:p w:rsidR="000369FD" w:rsidRPr="00363D32" w:rsidRDefault="000369FD" w:rsidP="000369FD">
      <w:pPr>
        <w:pStyle w:val="NormalWeb"/>
        <w:shd w:val="clear" w:color="auto" w:fill="FFFFFF"/>
        <w:jc w:val="both"/>
      </w:pPr>
      <w:r w:rsidRPr="003C24D4">
        <w:rPr>
          <w:u w:val="single"/>
        </w:rPr>
        <w:t>Nos hemos esforzado por asegurar un máximo de transparencia. Ahora en todos los temas de la negociación la propuesta de la UE será pública</w:t>
      </w:r>
      <w:r w:rsidRPr="00363D32">
        <w:t xml:space="preserve">. </w:t>
      </w:r>
      <w:r w:rsidRPr="003C24D4">
        <w:rPr>
          <w:u w:val="single"/>
        </w:rPr>
        <w:t>Por supuesto, ciertos asuntos tienen que continuar siendo confidenciales porque debe haber un espacio para que ambas partes vean cómo reconciliar sus posiciones.</w:t>
      </w:r>
      <w:r w:rsidRPr="00363D32">
        <w:t xml:space="preserve"> No puedo dar una fecha, pero se producirá en un espacio de tiempo corto. Y también estamos discutiendo con la Eurocámara cómo definir las modalidades para que los textos que tienen que seguir siendo confidenciales sean en cualquier caso accesibles para todos los eurodiputados.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rPr>
          <w:rStyle w:val="Textoennegrita"/>
        </w:rPr>
      </w:pPr>
      <w:r w:rsidRPr="00363D32">
        <w:rPr>
          <w:rStyle w:val="Textoennegrita"/>
        </w:rPr>
        <w:t>¿Se conseguirá así reducir la oposición de ciertos sectores sociales al acuerdo?</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363D32">
        <w:t xml:space="preserve">El hecho de </w:t>
      </w:r>
      <w:hyperlink r:id="rId70" w:history="1">
        <w:r w:rsidRPr="003C24D4">
          <w:rPr>
            <w:rStyle w:val="Hipervnculo"/>
            <w:rFonts w:eastAsiaTheme="majorEastAsia"/>
            <w:color w:val="auto"/>
          </w:rPr>
          <w:t>que haya un gran debate sobre política europea</w:t>
        </w:r>
      </w:hyperlink>
      <w:r w:rsidRPr="003C24D4">
        <w:rPr>
          <w:u w:val="single"/>
        </w:rPr>
        <w:t xml:space="preserve"> </w:t>
      </w:r>
      <w:r w:rsidRPr="00363D32">
        <w:t xml:space="preserve">es una señal de que existe una democracia activa. No solo la Comisión, sino también los Estados miembros tienen que estar implicados en un debate público para dejar claro qué estamos negociando y qué no. </w:t>
      </w:r>
      <w:r w:rsidRPr="00460BC9">
        <w:rPr>
          <w:u w:val="single"/>
        </w:rPr>
        <w:t>El texto del acuerdo será público mucho antes de que los Estados miembros y el Parlamento Europeo tengan que pronunciarse sobre él. Es cierto que los acuerdos comerciales son muy técnicos y reconozco que hay que hacer un esfuerzo continuo de pedagogía.</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rStyle w:val="Textoennegrita"/>
        </w:rPr>
      </w:pPr>
      <w:r w:rsidRPr="00460BC9">
        <w:rPr>
          <w:rStyle w:val="Textoennegrita"/>
        </w:rPr>
        <w:t>Otra de las preocupaciones de los europeos es que se puedan rebajar los estándares de protección.</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u w:val="single"/>
        </w:rPr>
      </w:pPr>
      <w:r w:rsidRPr="00460BC9">
        <w:rPr>
          <w:u w:val="single"/>
        </w:rPr>
        <w:t>No habrá nada en esta negociación que implique una rebaja de los estándares de protección en Europa, ya sea en materia de calidad, de protección del consumidor, de protección del medio ambiente, de privacidad o cualquiera de los valores que se encuentran reflejados en la legislación europea. La garantía principal es que cualquier pacto negociado por la Comisión tendrá también que ser acordado por todos los Estados miembros y ser ratificado por el Parlamento Europeo. La Comisión no va a negociar nada que implique una reducción del nivel de protección. Si acaso incluyese algo, no sería jamás aceptable para la Eurocámara.</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rPr>
          <w:rStyle w:val="Textoennegrita"/>
        </w:rPr>
      </w:pPr>
      <w:r w:rsidRPr="00460BC9">
        <w:rPr>
          <w:rStyle w:val="Textoennegrita"/>
        </w:rPr>
        <w:t>Para la UE es fundamental que en EEUU se apruebe cuanto antes la Autoridad de Promoción Comercial (autorización por la cual el Congreso puede aprobar o rechazar un acuerdo comercial, pero no incluir enmiendas).</w:t>
      </w:r>
      <w:r w:rsidRPr="00363D32">
        <w:rPr>
          <w:rStyle w:val="Textoennegrita"/>
        </w:rPr>
        <w:t xml:space="preserve"> ¿Está retrasando las negociaciones?</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363D32">
        <w:t xml:space="preserve">Hasta ahora el hecho de que no la tengamos no ha sido un problema. Ahora bien, no se puede entrar en la fase decisiva de la negociación, cuando uno tiene que tomar las decisiones en los temas difíciles, sin saber que su contraparte tiene la plena autoridad para llegar a acuerdos definitivos. </w:t>
      </w:r>
      <w:r w:rsidRPr="00460BC9">
        <w:rPr>
          <w:u w:val="single"/>
        </w:rPr>
        <w:t xml:space="preserve">Nos parecen positivas las </w:t>
      </w:r>
      <w:hyperlink r:id="rId71" w:history="1">
        <w:r w:rsidRPr="00460BC9">
          <w:rPr>
            <w:rStyle w:val="Hipervnculo"/>
            <w:rFonts w:eastAsiaTheme="majorEastAsia"/>
            <w:color w:val="auto"/>
          </w:rPr>
          <w:t>señales que estamos recibiendo que indican que se le va a dar prioridad política</w:t>
        </w:r>
      </w:hyperlink>
      <w:r w:rsidRPr="00460BC9">
        <w:rPr>
          <w:u w:val="single"/>
        </w:rPr>
        <w:t>. Es importante para la UE: quizás uno de los factores que determine el progreso en esta negociación es que el Congreso de EEUU la otorgue cuanto antes.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rPr>
          <w:rStyle w:val="Textoennegrita"/>
        </w:rPr>
      </w:pPr>
      <w:r w:rsidRPr="00363D32">
        <w:rPr>
          <w:rStyle w:val="Textoennegrita"/>
        </w:rPr>
        <w:lastRenderedPageBreak/>
        <w:t>¿Será la UE más permisiva en cuanto a los transgénicos?</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t>No vamos a negociar ningún cambio en la legislación europea sobre transgénicos. EEUU tampoco nos lo está pidiendo. Donde han mostrado preocupación es en los casos en los que nuestra legislación no está siendo aplicada de forma eficaz por los retrasos en los procedimientos de aprobación.</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rStyle w:val="Textoennegrita"/>
        </w:rPr>
      </w:pPr>
      <w:r w:rsidRPr="00460BC9">
        <w:rPr>
          <w:rStyle w:val="Textoennegrita"/>
        </w:rPr>
        <w:t>¿Qué posibilidad hay de que se liberalicen servicios públicos?</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u w:val="single"/>
        </w:rPr>
      </w:pPr>
      <w:r w:rsidRPr="00460BC9">
        <w:rPr>
          <w:u w:val="single"/>
        </w:rPr>
        <w:t>La posición de la UE es clarísima: no negociamos al respecto.</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rStyle w:val="Textoennegrita"/>
        </w:rPr>
      </w:pPr>
      <w:r w:rsidRPr="00460BC9">
        <w:rPr>
          <w:rStyle w:val="Textoennegrita"/>
        </w:rPr>
        <w:t>¿Y los contratos públicos?</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u w:val="single"/>
        </w:rPr>
      </w:pPr>
      <w:r w:rsidRPr="00460BC9">
        <w:rPr>
          <w:u w:val="single"/>
        </w:rPr>
        <w:t>Uno de los objetivos de la UE es que las empres</w:t>
      </w:r>
      <w:r>
        <w:rPr>
          <w:u w:val="single"/>
        </w:rPr>
        <w:t>as europeas sean tratadas en EE</w:t>
      </w:r>
      <w:r w:rsidRPr="00460BC9">
        <w:rPr>
          <w:u w:val="single"/>
        </w:rPr>
        <w:t xml:space="preserve">UU de la misma manera en que las empresas americanas son tratadas en Europa. Aquí los procesos de licitación se hacen sobre una base transparente y no se discrimina a las empresas americanas. </w:t>
      </w:r>
      <w:r>
        <w:rPr>
          <w:u w:val="single"/>
        </w:rPr>
        <w:t>En EEUU existe una legislación -Buy American Act-</w:t>
      </w:r>
      <w:r w:rsidRPr="00460BC9">
        <w:rPr>
          <w:u w:val="single"/>
        </w:rPr>
        <w:t xml:space="preserve"> que establece que una empre</w:t>
      </w:r>
      <w:r>
        <w:rPr>
          <w:u w:val="single"/>
        </w:rPr>
        <w:t>sa debe estar establecida en EE</w:t>
      </w:r>
      <w:r w:rsidRPr="00460BC9">
        <w:rPr>
          <w:u w:val="single"/>
        </w:rPr>
        <w:t xml:space="preserve">UU y asegurar que un cierto porcentaje del valor del contrato, en algunos casos hasta el 100%, es americano para poder participar en un procedimiento de licitación. Esta </w:t>
      </w:r>
      <w:hyperlink r:id="rId72" w:history="1">
        <w:r w:rsidRPr="00460BC9">
          <w:rPr>
            <w:rStyle w:val="Hipervnculo"/>
            <w:rFonts w:eastAsiaTheme="majorEastAsia"/>
            <w:color w:val="auto"/>
          </w:rPr>
          <w:t>legislación discriminatoria es uno de los problemas</w:t>
        </w:r>
      </w:hyperlink>
      <w:r w:rsidRPr="00460BC9">
        <w:rPr>
          <w:u w:val="single"/>
        </w:rPr>
        <w:t xml:space="preserve"> importantes de la negociación.</w:t>
      </w:r>
    </w:p>
    <w:p w:rsidR="000369FD" w:rsidRPr="00460BC9" w:rsidRDefault="000369FD" w:rsidP="000369FD">
      <w:pPr>
        <w:pStyle w:val="NormalWeb"/>
        <w:shd w:val="clear" w:color="auto" w:fill="FFFFFF"/>
        <w:jc w:val="both"/>
        <w:rPr>
          <w:u w:val="single"/>
        </w:rPr>
      </w:pPr>
    </w:p>
    <w:p w:rsidR="000369FD" w:rsidRPr="00363D32" w:rsidRDefault="000369FD" w:rsidP="000369FD">
      <w:pPr>
        <w:pStyle w:val="NormalWeb"/>
        <w:shd w:val="clear" w:color="auto" w:fill="FFFFFF"/>
        <w:jc w:val="both"/>
        <w:rPr>
          <w:rStyle w:val="Textoennegrita"/>
        </w:rPr>
      </w:pPr>
      <w:r w:rsidRPr="00363D32">
        <w:rPr>
          <w:rStyle w:val="Textoennegrita"/>
        </w:rPr>
        <w:t>¿Qué ocurrirá con los servicios financieros?</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t>Es uno de los puntos complicados. Para la UE sería paradójico que un sector en el cual la cooperación es tan importante se excluyera del TTIP. No se trata de cambiar los niveles de protección, sino de asegurarse de que los reguladores de ambas partes cooperen de buena fe y que examinen la posibilidad de establecer reconocimientos mutuos de equivalencias en el sector financiero, dejando muy claro que al final depende de la decisión de cada regulador. Este es nuestro objetivo, pero de momento la posición americana continúa siendo bastante reticente.</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rStyle w:val="Textoennegrita"/>
        </w:rPr>
      </w:pPr>
      <w:r w:rsidRPr="00460BC9">
        <w:rPr>
          <w:rStyle w:val="Textoennegrita"/>
        </w:rPr>
        <w:t>Hay estudios económicos que apuntan que las previsiones de crecimiento de la Comisión Eur</w:t>
      </w:r>
      <w:r>
        <w:rPr>
          <w:rStyle w:val="Textoennegrita"/>
        </w:rPr>
        <w:t>opea tras la firma del acuerdo -</w:t>
      </w:r>
      <w:r w:rsidRPr="00460BC9">
        <w:rPr>
          <w:rStyle w:val="Textoennegrita"/>
        </w:rPr>
        <w:t>119.000 millones de euros en benefici</w:t>
      </w:r>
      <w:r>
        <w:rPr>
          <w:rStyle w:val="Textoennegrita"/>
        </w:rPr>
        <w:t>os y 400.000 puestos de trabajo-</w:t>
      </w:r>
      <w:r w:rsidRPr="00460BC9">
        <w:rPr>
          <w:rStyle w:val="Textoennegrita"/>
        </w:rPr>
        <w:t xml:space="preserve"> son demasiado optimistas.</w:t>
      </w:r>
    </w:p>
    <w:p w:rsidR="000369FD" w:rsidRPr="00460BC9" w:rsidRDefault="000369FD" w:rsidP="000369FD">
      <w:pPr>
        <w:pStyle w:val="NormalWeb"/>
        <w:shd w:val="clear" w:color="auto" w:fill="FFFFFF"/>
        <w:jc w:val="both"/>
        <w:rPr>
          <w:u w:val="single"/>
        </w:rPr>
      </w:pPr>
    </w:p>
    <w:p w:rsidR="000369FD" w:rsidRDefault="000369FD" w:rsidP="000369FD">
      <w:pPr>
        <w:pStyle w:val="NormalWeb"/>
        <w:shd w:val="clear" w:color="auto" w:fill="FFFFFF"/>
        <w:jc w:val="both"/>
      </w:pPr>
      <w:r w:rsidRPr="00460BC9">
        <w:rPr>
          <w:u w:val="single"/>
        </w:rPr>
        <w:t>Hay muchísimos estudios económicos. Y no todos arrojan la misma cifra. El que presentó la Comisión antes del lanzamiento de la negociación hablaba de que este pacto supondría un aumento anual en el producto interior bruto de la UE de en torno al 0,5% a partir de los diez años de su aplicación. Parece una cifra realista</w:t>
      </w:r>
      <w:r w:rsidRPr="00363D32">
        <w:t>. Eso no quiere decir que no vaya a tener efectos inmediatos; por ejemplo, si conseguimos que los aranceles americanos, en su gran mayoría, se eliminen desde el primer día. Y lo mismo ocurre con el tema reglamentario. Pero en vez de concentrarse tanto en las grandes cifras, hay que ver cuáles son los temas en los que las condiciones para que las empresas europeas, sobre todo las pequeñas y medianas empresas, exporten al mercado americano van a verse favorecidas con este acuerdo. Se abrirán posibilidades para empresas que aho</w:t>
      </w:r>
      <w:r>
        <w:t>ra ni se plantean exportar a EE</w:t>
      </w:r>
      <w:r w:rsidRPr="00363D32">
        <w:t>UU.</w:t>
      </w:r>
    </w:p>
    <w:p w:rsidR="000369FD"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r w:rsidRPr="00363D32">
        <w:rPr>
          <w:rFonts w:ascii="Times New Roman" w:hAnsi="Times New Roman" w:cs="Times New Roman"/>
          <w:sz w:val="24"/>
          <w:szCs w:val="24"/>
        </w:rPr>
        <w:lastRenderedPageBreak/>
        <w:t xml:space="preserve">- </w:t>
      </w:r>
      <w:r w:rsidRPr="00363D32">
        <w:rPr>
          <w:rFonts w:ascii="Times New Roman" w:hAnsi="Times New Roman" w:cs="Times New Roman"/>
          <w:sz w:val="24"/>
          <w:szCs w:val="24"/>
          <w:u w:val="single"/>
        </w:rPr>
        <w:t>ATCI: una oportunidad única</w:t>
      </w:r>
      <w:r w:rsidRPr="00363D32">
        <w:rPr>
          <w:rFonts w:ascii="Times New Roman" w:hAnsi="Times New Roman" w:cs="Times New Roman"/>
          <w:sz w:val="24"/>
          <w:szCs w:val="24"/>
        </w:rPr>
        <w:t xml:space="preserve"> (El País - </w:t>
      </w:r>
      <w:r w:rsidRPr="00363D32">
        <w:rPr>
          <w:rFonts w:ascii="Times New Roman" w:hAnsi="Times New Roman" w:cs="Times New Roman"/>
          <w:b/>
          <w:sz w:val="24"/>
          <w:szCs w:val="24"/>
        </w:rPr>
        <w:t>19/12/14</w:t>
      </w:r>
      <w:r w:rsidRPr="00363D32">
        <w:rPr>
          <w:rFonts w:ascii="Times New Roman" w:hAnsi="Times New Roman" w:cs="Times New Roman"/>
          <w:sz w:val="24"/>
          <w:szCs w:val="24"/>
        </w:rPr>
        <w:t>)</w:t>
      </w: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r w:rsidRPr="00363D32">
        <w:rPr>
          <w:rFonts w:ascii="Times New Roman" w:hAnsi="Times New Roman" w:cs="Times New Roman"/>
          <w:sz w:val="24"/>
          <w:szCs w:val="24"/>
        </w:rPr>
        <w:t>El acuerdo transatlántico de comercio e inversiones ha dado lugar a muchos comentarios, inquietudes y malentendidos</w:t>
      </w: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r w:rsidRPr="00363D32">
        <w:rPr>
          <w:rFonts w:ascii="Times New Roman" w:hAnsi="Times New Roman" w:cs="Times New Roman"/>
          <w:sz w:val="24"/>
          <w:szCs w:val="24"/>
        </w:rPr>
        <w:t>(Por Miguel Arias Cañete / Cecilia Malmström)</w:t>
      </w:r>
    </w:p>
    <w:p w:rsidR="000369FD" w:rsidRPr="00363D32" w:rsidRDefault="000369FD" w:rsidP="000369FD">
      <w:pPr>
        <w:autoSpaceDE w:val="0"/>
        <w:autoSpaceDN w:val="0"/>
        <w:adjustRightInd w:val="0"/>
        <w:spacing w:after="0" w:line="240" w:lineRule="auto"/>
        <w:jc w:val="both"/>
        <w:rPr>
          <w:rFonts w:ascii="Times New Roman" w:hAnsi="Times New Roman" w:cs="Times New Roman"/>
          <w:sz w:val="24"/>
          <w:szCs w:val="24"/>
        </w:rPr>
      </w:pPr>
    </w:p>
    <w:p w:rsidR="000369FD" w:rsidRPr="00363D32" w:rsidRDefault="000369FD" w:rsidP="000369FD">
      <w:pPr>
        <w:pStyle w:val="NormalWeb"/>
        <w:shd w:val="clear" w:color="auto" w:fill="FFFFFF"/>
        <w:jc w:val="both"/>
      </w:pPr>
      <w:r w:rsidRPr="00363D32">
        <w:t>Para muchos de nosotros, el final del año es un buen momento para reflexionar y dirigir nuestra atención hacia lo que vamos a hacer a continuación.</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pPr>
      <w:r w:rsidRPr="00363D32">
        <w:t xml:space="preserve">Sin duda, el próximo año traerá grandes retos para Europa, pero también grandes oportunidades, como son las negociaciones que están celebrando la UE y los Estados Unidos sobre un nuevo acuerdo de comercio: la </w:t>
      </w:r>
      <w:hyperlink r:id="rId73" w:history="1">
        <w:r w:rsidRPr="00460BC9">
          <w:rPr>
            <w:rStyle w:val="Hipervnculo"/>
            <w:rFonts w:eastAsiaTheme="majorEastAsia"/>
            <w:color w:val="auto"/>
          </w:rPr>
          <w:t>Asociación Transatlántica de Comercio e Inversión</w:t>
        </w:r>
      </w:hyperlink>
      <w:r w:rsidRPr="00460BC9">
        <w:t xml:space="preserve"> o ATCI.</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t>La Comisión Europea tiene la intención de imprimir un aire nuevo a estas negociaciones, porque si lo hacemos como es debido, la ATCI tendrá un efecto positivo para los ciudadanos de toda Europa. Para las empresas, sin duda; especialmente para las más pequeñas, pero también, y no menos importante, para nosotros como individuos, ya sea en el hogar, en el lugar de trabajo, como consumidores o como europeos en un mundo en continuo cambio.</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t>La ATCI ha suscitado un gran interés, pero también malentendidos de muy diversa naturaleza. Por parte de la Comisión Europea, queremos asistir a una conversación honesta y sincera, queremos escuchar atentamente y dejar perfectamente claro lo que queremos lograr con este acuerdo, y lo que no podemos aceptar.</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363D32">
        <w:t xml:space="preserve">Para ello, necesitamos transparencia. Las negociaciones de la ATCI ya han ido más lejos en este sentido que todas las anteriores. </w:t>
      </w:r>
      <w:r w:rsidRPr="00460BC9">
        <w:rPr>
          <w:u w:val="single"/>
        </w:rPr>
        <w:t xml:space="preserve">Por parte de la UE, </w:t>
      </w:r>
      <w:hyperlink r:id="rId74" w:anchor="economic-benefits" w:history="1">
        <w:r w:rsidRPr="00460BC9">
          <w:rPr>
            <w:rStyle w:val="Hipervnculo"/>
            <w:rFonts w:eastAsiaTheme="majorEastAsia"/>
            <w:color w:val="auto"/>
          </w:rPr>
          <w:t>hemos publicado una gran cantidad</w:t>
        </w:r>
      </w:hyperlink>
      <w:r w:rsidRPr="00460BC9">
        <w:rPr>
          <w:u w:val="single"/>
        </w:rPr>
        <w:t xml:space="preserve"> de material en línea. Hemos creado un grupo específico de expertos independientes para que asesoren a nuestro equipo de negociadores. Hemos mantenido reuniones periódicas con una gran variedad de partes interesadas, como son los consumidores, los grupos medioambientales, los sindicatos y, sí, las empresas, y hemos puesto en marcha cuatro consultas en línea, para tener una idea más clara de lo que la gente quiere de la ATCI, y de lo que no quiere.</w:t>
      </w:r>
    </w:p>
    <w:p w:rsidR="000369FD" w:rsidRPr="00460BC9" w:rsidRDefault="000369FD" w:rsidP="000369FD">
      <w:pPr>
        <w:pStyle w:val="NormalWeb"/>
        <w:shd w:val="clear" w:color="auto" w:fill="FFFFFF"/>
        <w:jc w:val="both"/>
        <w:rPr>
          <w:u w:val="single"/>
        </w:rPr>
      </w:pPr>
    </w:p>
    <w:p w:rsidR="000369FD" w:rsidRPr="00363D32" w:rsidRDefault="000369FD" w:rsidP="000369FD">
      <w:pPr>
        <w:pStyle w:val="NormalWeb"/>
        <w:shd w:val="clear" w:color="auto" w:fill="FFFFFF"/>
        <w:jc w:val="both"/>
      </w:pPr>
      <w:r w:rsidRPr="00363D32">
        <w:t>Pero todavía no es suficiente; tenemos que abrirnos aún más a un auténtico debate bidireccional y ser más transparentes en cuanto a las propias negociaciones.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Así pues, nuestra primera iniciativa en relación con la ATCI tiene por objeto precisamente eso. A finales de noviembre, la nueva Comisión Europea acordó nuevas medidas de transparencia para la ATCI, en el marco de un conjunto más amplio de esfuerzos destinados a mejorar la transparencia del trabajo de la Comisión.</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t>Una de esas medidas consistirá en publicar un número mayor de propuestas de negociación de la UE para consulta de todos. Se trata de los borradores que hemos entregado a nuestros homólogos estadounidenses. Muestran claramente cómo nos gustaría que estuviera redactado el acuerdo y han servido de base para nuestros debates hasta la fecha.</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460BC9">
        <w:rPr>
          <w:u w:val="single"/>
        </w:rPr>
        <w:lastRenderedPageBreak/>
        <w:t>De este modo, conseguiremos que todos los miembros del Parlamento Europeo -la gente a la que habéis votado para que os represente en Europa- puedan consultar los documentos de negociación de la ATCI, y no solo una pequeña selección de ellos, como ocurre ahora, y saber así lo que está sucediendo en cada momento.</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u w:val="single"/>
        </w:rPr>
      </w:pPr>
      <w:r w:rsidRPr="00460BC9">
        <w:rPr>
          <w:u w:val="single"/>
        </w:rPr>
        <w:t>Creemos que esto contribuirá a centrar el debate en hechos, y es la mejor manera de lograr que este acuerdo sea un éxito para Europa. Una vez que nuestros negociadores se hayan puesto de acuerdo en cuanto al borrador final con sus homólogos estadounidenses, serán los miembros del Parlamento Europeo y los Gobiernos elegidos de los veintiocho países de la UE quienes decidan si el acuerdo se hace realidad. Por nuestra parte, seguiremos contando con la participación en el debate de todas las partes interesadas: empresas, consumidores, sindicatos, agrupaciones medioambientales, etc.</w:t>
      </w:r>
    </w:p>
    <w:p w:rsidR="000369FD" w:rsidRPr="00460BC9" w:rsidRDefault="000369FD" w:rsidP="000369FD">
      <w:pPr>
        <w:pStyle w:val="NormalWeb"/>
        <w:shd w:val="clear" w:color="auto" w:fill="FFFFFF"/>
        <w:jc w:val="both"/>
        <w:rPr>
          <w:u w:val="single"/>
        </w:rPr>
      </w:pPr>
    </w:p>
    <w:p w:rsidR="000369FD" w:rsidRPr="00460BC9" w:rsidRDefault="000369FD" w:rsidP="000369FD">
      <w:pPr>
        <w:pStyle w:val="NormalWeb"/>
        <w:shd w:val="clear" w:color="auto" w:fill="FFFFFF"/>
        <w:jc w:val="both"/>
        <w:rPr>
          <w:u w:val="single"/>
        </w:rPr>
      </w:pPr>
      <w:r w:rsidRPr="00460BC9">
        <w:rPr>
          <w:u w:val="single"/>
        </w:rPr>
        <w:t>Nuestro objetivo es pulir los principales elementos del acuerdo de comercio a lo largo del año que viene, pero, como siempre, el contenido debe prevalecer sobre la rapidez.</w:t>
      </w:r>
    </w:p>
    <w:p w:rsidR="000369FD" w:rsidRPr="00363D32" w:rsidRDefault="000369FD" w:rsidP="000369FD">
      <w:pPr>
        <w:pStyle w:val="NormalWeb"/>
        <w:shd w:val="clear" w:color="auto" w:fill="FFFFFF"/>
        <w:jc w:val="both"/>
      </w:pPr>
      <w:r w:rsidRPr="00363D32">
        <w:t>Entendemos perfectamente a quienes tienen dudas o inquietudes, a quienes se preocupan profundamente por esta cuestión y a quienes quieren proteger nuestro modelo europeo y nuestros valores.</w:t>
      </w:r>
    </w:p>
    <w:p w:rsidR="000369FD" w:rsidRPr="00363D32" w:rsidRDefault="000369FD" w:rsidP="000369FD">
      <w:pPr>
        <w:pStyle w:val="NormalWeb"/>
        <w:shd w:val="clear" w:color="auto" w:fill="FFFFFF"/>
        <w:jc w:val="both"/>
      </w:pPr>
    </w:p>
    <w:p w:rsidR="000369FD" w:rsidRPr="00460BC9" w:rsidRDefault="000369FD" w:rsidP="000369FD">
      <w:pPr>
        <w:pStyle w:val="NormalWeb"/>
        <w:shd w:val="clear" w:color="auto" w:fill="FFFFFF"/>
        <w:jc w:val="both"/>
        <w:rPr>
          <w:u w:val="single"/>
        </w:rPr>
      </w:pPr>
      <w:r w:rsidRPr="00363D32">
        <w:t xml:space="preserve">Eso es también lo que nosotros queremos. Por eso </w:t>
      </w:r>
      <w:r w:rsidRPr="00460BC9">
        <w:rPr>
          <w:u w:val="single"/>
        </w:rPr>
        <w:t>nunca negociaríamos un acuerdo que, por ejemplo, redujese nuestros estrictos niveles de exigencia en materia de seguridad alimentaria, protección de la salud o protección medioambiental, que limitase la libertad de los gobiernos para gestionar servicios públicos, como la sanidad o la educación, exactamente como desean o que permitiese que se comercializaran en el mercado europeo productos que, en la actualidad, no pueden ser comercializados. Nada de esto cambiará con la ATCI.</w:t>
      </w:r>
    </w:p>
    <w:p w:rsidR="000369FD" w:rsidRPr="00460BC9" w:rsidRDefault="000369FD" w:rsidP="000369FD">
      <w:pPr>
        <w:pStyle w:val="NormalWeb"/>
        <w:shd w:val="clear" w:color="auto" w:fill="FFFFFF"/>
        <w:jc w:val="both"/>
        <w:rPr>
          <w:u w:val="single"/>
        </w:rPr>
      </w:pPr>
    </w:p>
    <w:p w:rsidR="000369FD" w:rsidRPr="00A526A1" w:rsidRDefault="000369FD" w:rsidP="000369FD">
      <w:pPr>
        <w:pStyle w:val="NormalWeb"/>
        <w:shd w:val="clear" w:color="auto" w:fill="FFFFFF"/>
        <w:jc w:val="both"/>
        <w:rPr>
          <w:u w:val="single"/>
        </w:rPr>
      </w:pPr>
      <w:r w:rsidRPr="00A526A1">
        <w:rPr>
          <w:u w:val="single"/>
        </w:rPr>
        <w:t>Cualquier acuerdo que celebremos se ajustará al procedimiento de adopción legislativa que tenemos en Europa. Los legisladores seguirán siendo totalmente independientes y basarán sus decisiones en el principio de precaución, según el cual no se puede comercializar ningún producto hasta que no haya quedado totalmente demostrada su inocuidad.</w:t>
      </w:r>
    </w:p>
    <w:p w:rsidR="000369FD" w:rsidRPr="00A526A1" w:rsidRDefault="000369FD" w:rsidP="000369FD">
      <w:pPr>
        <w:pStyle w:val="NormalWeb"/>
        <w:shd w:val="clear" w:color="auto" w:fill="FFFFFF"/>
        <w:jc w:val="both"/>
        <w:rPr>
          <w:u w:val="single"/>
        </w:rPr>
      </w:pPr>
    </w:p>
    <w:p w:rsidR="000369FD" w:rsidRPr="00A526A1" w:rsidRDefault="000369FD" w:rsidP="000369FD">
      <w:pPr>
        <w:pStyle w:val="NormalWeb"/>
        <w:shd w:val="clear" w:color="auto" w:fill="FFFFFF"/>
        <w:jc w:val="both"/>
        <w:rPr>
          <w:u w:val="single"/>
        </w:rPr>
      </w:pPr>
      <w:r w:rsidRPr="00A526A1">
        <w:rPr>
          <w:u w:val="single"/>
        </w:rPr>
        <w:t>Ello significa que no se introducirán modificaciones en la manera de tomar decisiones en la UE sobre cuestiones como la utilización de organismos modificados genéticamente (OMG), hormonas de crecimiento o antibióticos en los alimentos. No habrá cambios.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 xml:space="preserve">Entonces, ¿para qué sirve? Veamos </w:t>
      </w:r>
      <w:r w:rsidRPr="00A526A1">
        <w:rPr>
          <w:u w:val="single"/>
        </w:rPr>
        <w:t>cuatro ventajas principales</w:t>
      </w:r>
      <w:r w:rsidRPr="00363D32">
        <w:t>:</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A526A1">
        <w:rPr>
          <w:u w:val="single"/>
        </w:rPr>
        <w:t>En primer lugar, al igual que otros acuerdos comerciales que ya están en vigor, la ATCI aumentará las oportunidades de exportación y generará más empleo</w:t>
      </w:r>
      <w:r w:rsidRPr="00363D32">
        <w:t>. En la actualidad, en Europa, las exportaciones ya proporcionan empleo a alrededor de treinta millones de personas, incluidos casi 1,5 millones solo en España, y suelen ser empleos bien remunerados y muy cualificados. No debemos olvidar que el comercio es uno de los pilares de la prosperidad europea.</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A526A1">
        <w:rPr>
          <w:u w:val="single"/>
        </w:rPr>
        <w:t>En segundo lugar, contribuirá a reducir los precios y ampliar la variedad de elección para los consumidores.</w:t>
      </w:r>
      <w:r w:rsidRPr="00363D32">
        <w:t xml:space="preserve"> Al reducir los costes comerciales, las empresas radicadas en la UE que ya importan o exportan podrán repercutir su ahorro en el consumidor.</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A526A1">
        <w:rPr>
          <w:u w:val="single"/>
        </w:rPr>
        <w:lastRenderedPageBreak/>
        <w:t>En tercer lugar, la ATCI beneficiará, en particular, a las pequeñas y medianas empresas (pymes).</w:t>
      </w:r>
      <w:r w:rsidRPr="00363D32">
        <w:t xml:space="preserve"> A diferencia de las empresas más grandes, muchas pymes no pueden dedicar el tiempo o el dinero necesarios a cumplir las leyes y normas de los Estados Unidos que difieren de las de la UE. A menudo, ni siquiera lo intentan, ya que es un esfuerzo que simplemente no pueden permitirse.</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A526A1">
        <w:rPr>
          <w:u w:val="single"/>
        </w:rPr>
        <w:t>Queremos simplificar estas normas y evitar que se dupliquen nuestros procedimientos en la medida de lo posible</w:t>
      </w:r>
      <w:r w:rsidRPr="00363D32">
        <w:t>. Por ejemplo, si una empresa farmacéutica europea desea exportar sus productos a los Estados Unidos, con arreglo a la legislación vigente en ese país los controles en sus fábricas no solo deben llevarlos a cabo inspectores europeos, sino también estadounidenses. Sin duda, tanto su tiempo como su energía estarían mucho mejor invertidos si se destinaran a combatir los riesgos reales para la seguridad de los pacientes.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La mera eliminación de derechos de aduana significaría también mucho para las empresas españolas. Tomemos el ejemplo de las Conservas El Real de Murcia. Esta empresa produce alcachofas y pimientos envasados y ofrece trabajo a 450 personas, con 2 600 empleos suplementarios en actividades conexas. Hace diez años el 95% de las alcachofas y pimientos importados en los Estados Unidos procedían de España. Actualmente solo el 25%. Ello se debe al derecho de importación: mientras que los productos de otros países entran en los Estados Unidos libres de derechos, los envíos españoles están sujetos a un gravamen de casi el 15%. Una vez que se hayan suprimido los derechos, Conservas El Real podrá competir en las mismas condiciones que los demás y recuperar su posición en los Estados Unidos.</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A526A1">
        <w:rPr>
          <w:u w:val="single"/>
        </w:rPr>
        <w:t>En cuarto lugar, la ATCI nos ayudaría a preservar los estrictos niveles de exigencia de la UE, así como nuestro modelo en un mundo incierto</w:t>
      </w:r>
      <w:r w:rsidRPr="00363D32">
        <w:t>. Los europeos están preocupados por los complejos cambios políticos y económicos impulsados por la globalización, y por los conflictos que se dirimen a las puertas de Europa.</w:t>
      </w:r>
    </w:p>
    <w:p w:rsidR="000369FD" w:rsidRPr="00363D32" w:rsidRDefault="000369FD" w:rsidP="000369FD">
      <w:pPr>
        <w:pStyle w:val="NormalWeb"/>
        <w:shd w:val="clear" w:color="auto" w:fill="FFFFFF"/>
        <w:jc w:val="both"/>
      </w:pPr>
    </w:p>
    <w:p w:rsidR="000369FD" w:rsidRPr="00A526A1" w:rsidRDefault="000369FD" w:rsidP="000369FD">
      <w:pPr>
        <w:pStyle w:val="NormalWeb"/>
        <w:shd w:val="clear" w:color="auto" w:fill="FFFFFF"/>
        <w:jc w:val="both"/>
        <w:rPr>
          <w:u w:val="single"/>
        </w:rPr>
      </w:pPr>
      <w:r w:rsidRPr="00A526A1">
        <w:rPr>
          <w:u w:val="single"/>
        </w:rPr>
        <w:t>Queremos también crear un auténtico mercado transatlántico de la energía. Hoy en día los Estados Unidos apenas venden su petróleo y gas a Europa. La ATCI podría contribuir a eliminar las restricciones y facilitar a Europa la diversificación de su suministro energético.</w:t>
      </w:r>
    </w:p>
    <w:p w:rsidR="000369FD" w:rsidRPr="00A526A1" w:rsidRDefault="000369FD" w:rsidP="000369FD">
      <w:pPr>
        <w:pStyle w:val="NormalWeb"/>
        <w:shd w:val="clear" w:color="auto" w:fill="FFFFFF"/>
        <w:jc w:val="both"/>
        <w:rPr>
          <w:u w:val="single"/>
        </w:rPr>
      </w:pPr>
    </w:p>
    <w:p w:rsidR="000369FD" w:rsidRPr="00363D32" w:rsidRDefault="000369FD" w:rsidP="000369FD">
      <w:pPr>
        <w:pStyle w:val="NormalWeb"/>
        <w:shd w:val="clear" w:color="auto" w:fill="FFFFFF"/>
        <w:jc w:val="both"/>
      </w:pPr>
      <w:r w:rsidRPr="00363D32">
        <w:t>Si bien el ascenso de las economías emergentes es un gran paso adelante para el mundo, también supone una pérdida de influencia para Europa si esta no mantiene su competitividad. Quedarnos de brazos cruzados no es una opción.</w:t>
      </w:r>
    </w:p>
    <w:p w:rsidR="000369FD" w:rsidRPr="00363D32" w:rsidRDefault="000369FD" w:rsidP="000369FD">
      <w:pPr>
        <w:pStyle w:val="NormalWeb"/>
        <w:shd w:val="clear" w:color="auto" w:fill="FFFFFF"/>
        <w:jc w:val="both"/>
      </w:pPr>
    </w:p>
    <w:p w:rsidR="000369FD" w:rsidRPr="00A526A1" w:rsidRDefault="000369FD" w:rsidP="000369FD">
      <w:pPr>
        <w:pStyle w:val="NormalWeb"/>
        <w:shd w:val="clear" w:color="auto" w:fill="FFFFFF"/>
        <w:jc w:val="both"/>
        <w:rPr>
          <w:u w:val="single"/>
        </w:rPr>
      </w:pPr>
      <w:r w:rsidRPr="00A526A1">
        <w:rPr>
          <w:u w:val="single"/>
        </w:rPr>
        <w:t>Si reforzamos la colaboración con los Estados Unidos, podemos servir de modelo para otros y promover nuestros valores en materia de comercio, derechos de las personas en el trabajo y protección del medio ambiente.</w:t>
      </w:r>
    </w:p>
    <w:p w:rsidR="000369FD" w:rsidRPr="00A526A1" w:rsidRDefault="000369FD" w:rsidP="000369FD">
      <w:pPr>
        <w:pStyle w:val="NormalWeb"/>
        <w:shd w:val="clear" w:color="auto" w:fill="FFFFFF"/>
        <w:jc w:val="both"/>
        <w:rPr>
          <w:u w:val="single"/>
        </w:rPr>
      </w:pPr>
    </w:p>
    <w:p w:rsidR="000369FD" w:rsidRPr="00A526A1" w:rsidRDefault="000369FD" w:rsidP="000369FD">
      <w:pPr>
        <w:pStyle w:val="NormalWeb"/>
        <w:shd w:val="clear" w:color="auto" w:fill="FFFFFF"/>
        <w:jc w:val="both"/>
        <w:rPr>
          <w:u w:val="single"/>
        </w:rPr>
      </w:pPr>
      <w:r w:rsidRPr="00363D32">
        <w:t xml:space="preserve">En la actualidad, Europa afronta retos importantes y la ATCI es una respuesta enérgica a esos retos. </w:t>
      </w:r>
      <w:r w:rsidRPr="00A526A1">
        <w:rPr>
          <w:u w:val="single"/>
        </w:rPr>
        <w:t>Enviaremos una potente señal de que la UE y los Estados Unidos están dispuestos a defender y promover los valores que han conformado su éxito.</w:t>
      </w:r>
    </w:p>
    <w:p w:rsidR="000369FD" w:rsidRPr="00363D32" w:rsidRDefault="000369FD" w:rsidP="000369FD">
      <w:pPr>
        <w:pStyle w:val="NormalWeb"/>
        <w:shd w:val="clear" w:color="auto" w:fill="FFFFFF"/>
        <w:jc w:val="both"/>
      </w:pPr>
    </w:p>
    <w:p w:rsidR="000369FD" w:rsidRPr="00363D32" w:rsidRDefault="000369FD" w:rsidP="000369FD">
      <w:pPr>
        <w:pStyle w:val="NormalWeb"/>
        <w:shd w:val="clear" w:color="auto" w:fill="FFFFFF"/>
        <w:jc w:val="both"/>
      </w:pPr>
      <w:r w:rsidRPr="00363D32">
        <w:t>No podemos dejar pasar esta oportunidad.</w:t>
      </w:r>
    </w:p>
    <w:p w:rsidR="000369FD" w:rsidRPr="00363D32" w:rsidRDefault="000369FD" w:rsidP="000369FD">
      <w:pPr>
        <w:pStyle w:val="NormalWeb"/>
        <w:shd w:val="clear" w:color="auto" w:fill="FFFFFF"/>
        <w:jc w:val="both"/>
      </w:pPr>
    </w:p>
    <w:p w:rsidR="000369FD" w:rsidRPr="00363D32" w:rsidRDefault="000369FD" w:rsidP="000369FD">
      <w:pPr>
        <w:pStyle w:val="notapie"/>
        <w:shd w:val="clear" w:color="auto" w:fill="FFFFFF"/>
        <w:jc w:val="both"/>
      </w:pPr>
      <w:r w:rsidRPr="00363D32">
        <w:rPr>
          <w:rStyle w:val="Textoennegrita"/>
        </w:rPr>
        <w:lastRenderedPageBreak/>
        <w:t>(Miguel Arias Cañete</w:t>
      </w:r>
      <w:r w:rsidRPr="00363D32">
        <w:t xml:space="preserve"> es el comisario europeo de Acción por el Clima y Energía. </w:t>
      </w:r>
      <w:r w:rsidRPr="00363D32">
        <w:rPr>
          <w:rStyle w:val="Textoennegrita"/>
        </w:rPr>
        <w:t>Cecilia Malmström</w:t>
      </w:r>
      <w:r w:rsidRPr="00363D32">
        <w:t xml:space="preserve"> es la comisaria europea de Comercio)</w:t>
      </w:r>
    </w:p>
    <w:p w:rsidR="000369FD" w:rsidRPr="00363D32" w:rsidRDefault="000369FD" w:rsidP="000369FD">
      <w:pPr>
        <w:pStyle w:val="notapie"/>
        <w:shd w:val="clear" w:color="auto" w:fill="FFFFFF"/>
        <w:jc w:val="both"/>
      </w:pPr>
    </w:p>
    <w:p w:rsidR="000369FD" w:rsidRDefault="000369FD" w:rsidP="000369FD">
      <w:pPr>
        <w:pStyle w:val="notapie"/>
        <w:shd w:val="clear" w:color="auto" w:fill="FFFFFF"/>
        <w:jc w:val="both"/>
      </w:pPr>
      <w:r>
        <w:t xml:space="preserve">- </w:t>
      </w:r>
      <w:r w:rsidRPr="00014445">
        <w:rPr>
          <w:u w:val="single"/>
        </w:rPr>
        <w:t>Las marcas alemanas exigen la firma del TTIP</w:t>
      </w:r>
      <w:r>
        <w:t xml:space="preserve"> (elmundo.es - </w:t>
      </w:r>
      <w:r w:rsidRPr="00014445">
        <w:rPr>
          <w:b/>
        </w:rPr>
        <w:t>30/1/15</w:t>
      </w:r>
      <w:r>
        <w:t>)</w:t>
      </w:r>
    </w:p>
    <w:p w:rsidR="000369FD" w:rsidRDefault="000369FD" w:rsidP="000369FD">
      <w:pPr>
        <w:pStyle w:val="notapie"/>
        <w:shd w:val="clear" w:color="auto" w:fill="FFFFFF"/>
        <w:jc w:val="both"/>
      </w:pPr>
    </w:p>
    <w:p w:rsidR="000369FD" w:rsidRPr="00014445" w:rsidRDefault="000369FD" w:rsidP="000369FD">
      <w:pPr>
        <w:pStyle w:val="notapie"/>
        <w:shd w:val="clear" w:color="auto" w:fill="FFFFFF"/>
        <w:jc w:val="both"/>
      </w:pPr>
      <w:r w:rsidRPr="00014445">
        <w:t>Serían las principales beneficiadas por el Tratado de Libre Comercio con Estados Unidos</w:t>
      </w:r>
    </w:p>
    <w:p w:rsidR="000369FD" w:rsidRPr="00014445" w:rsidRDefault="000369FD" w:rsidP="000369FD">
      <w:pPr>
        <w:pStyle w:val="notapie"/>
        <w:shd w:val="clear" w:color="auto" w:fill="FFFFFF"/>
        <w:jc w:val="both"/>
      </w:pPr>
    </w:p>
    <w:p w:rsidR="000369FD" w:rsidRPr="00014445" w:rsidRDefault="000369FD" w:rsidP="000369FD">
      <w:pPr>
        <w:pStyle w:val="notapie"/>
        <w:shd w:val="clear" w:color="auto" w:fill="FFFFFF"/>
        <w:jc w:val="both"/>
      </w:pPr>
      <w:r w:rsidRPr="00014445">
        <w:t>(Por Se</w:t>
      </w:r>
      <w:r>
        <w:t>r</w:t>
      </w:r>
      <w:r w:rsidRPr="00014445">
        <w:t>gio Piccione)</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A526A1">
        <w:rPr>
          <w:rFonts w:ascii="Times New Roman" w:eastAsia="Times New Roman" w:hAnsi="Times New Roman" w:cs="Times New Roman"/>
          <w:sz w:val="24"/>
          <w:szCs w:val="24"/>
          <w:u w:val="single"/>
          <w:lang w:eastAsia="es-ES"/>
        </w:rPr>
        <w:t xml:space="preserve">A primeros del mes de julio de 2014, Norbert Reithofer, el presidente ejecutivo de BMW, en el acto de homenaje que recibió al haber sido elegido Protagonista del Motor por el diario EL MUNDO, le pidió al ministro de Industria, José Manuel Soria, </w:t>
      </w:r>
      <w:r w:rsidRPr="00A526A1">
        <w:rPr>
          <w:rFonts w:ascii="Times New Roman" w:eastAsia="Times New Roman" w:hAnsi="Times New Roman" w:cs="Times New Roman"/>
          <w:b/>
          <w:bCs/>
          <w:sz w:val="24"/>
          <w:szCs w:val="24"/>
          <w:u w:val="single"/>
          <w:lang w:eastAsia="es-ES"/>
        </w:rPr>
        <w:t>el apoyo de España para lograr una rápida negociación</w:t>
      </w:r>
      <w:r w:rsidRPr="00A526A1">
        <w:rPr>
          <w:rFonts w:ascii="Times New Roman" w:eastAsia="Times New Roman" w:hAnsi="Times New Roman" w:cs="Times New Roman"/>
          <w:sz w:val="24"/>
          <w:szCs w:val="24"/>
          <w:u w:val="single"/>
          <w:lang w:eastAsia="es-ES"/>
        </w:rPr>
        <w:t xml:space="preserve"> del Acuerdo Transatlántico para el Comercio y la Inversión (TTIP) entre EEUU y la Unión Europea (UE). </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014445">
        <w:rPr>
          <w:rFonts w:ascii="Times New Roman" w:eastAsia="Times New Roman" w:hAnsi="Times New Roman" w:cs="Times New Roman"/>
          <w:sz w:val="24"/>
          <w:szCs w:val="24"/>
          <w:lang w:eastAsia="es-ES"/>
        </w:rPr>
        <w:t>Las cosas no han sido fáciles pues</w:t>
      </w:r>
      <w:r w:rsidRPr="00014445">
        <w:rPr>
          <w:rFonts w:ascii="Times New Roman" w:eastAsia="Times New Roman" w:hAnsi="Times New Roman" w:cs="Times New Roman"/>
          <w:b/>
          <w:bCs/>
          <w:sz w:val="24"/>
          <w:szCs w:val="24"/>
          <w:lang w:eastAsia="es-ES"/>
        </w:rPr>
        <w:t xml:space="preserve"> el descubrimiento del espionaje de los servicios de inteligencia de algunos países europeos por parte estadounidense, hizo que se pararan las negociaciones que ahora</w:t>
      </w:r>
      <w:r w:rsidRPr="00014445">
        <w:rPr>
          <w:rFonts w:ascii="Times New Roman" w:eastAsia="Times New Roman" w:hAnsi="Times New Roman" w:cs="Times New Roman"/>
          <w:sz w:val="24"/>
          <w:szCs w:val="24"/>
          <w:lang w:eastAsia="es-ES"/>
        </w:rPr>
        <w:t xml:space="preserve">, por parte de la industria alemana -el país que tuvo una reacción más airada por el espionaje- se quiere agilizar. Como prueba está </w:t>
      </w:r>
      <w:r w:rsidRPr="00A526A1">
        <w:rPr>
          <w:rFonts w:ascii="Times New Roman" w:eastAsia="Times New Roman" w:hAnsi="Times New Roman" w:cs="Times New Roman"/>
          <w:sz w:val="24"/>
          <w:szCs w:val="24"/>
          <w:u w:val="single"/>
          <w:lang w:eastAsia="es-ES"/>
        </w:rPr>
        <w:t xml:space="preserve">la reunión que ha tenido lugar en Berlín, armonizada por el presidente de la asociación de fabricantes alemanes Matthias Wismann, en la que han participado los primeros espadas de la industria del automóvil alemana. Allí estuvieron Norbert Reithofer, presidente de BMW; Dieter Zetsche, presidente de Daimler; Bernhard Mattes, presidente de Ford Alemania; Rupert Stadler, presidente de Audi; Matthias Müller, presidente de Porsche; Volkmar Denner, presidente de Bosch; y Ardnt Kirchoff, presidente del grupo del mismo nombre. </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A526A1">
        <w:rPr>
          <w:rFonts w:ascii="Times New Roman" w:eastAsia="Times New Roman" w:hAnsi="Times New Roman" w:cs="Times New Roman"/>
          <w:sz w:val="24"/>
          <w:szCs w:val="24"/>
          <w:u w:val="single"/>
          <w:lang w:eastAsia="es-ES"/>
        </w:rPr>
        <w:t xml:space="preserve">Al unísono clamaron por el rápido cierre de la negociación del tratado de Libre Comercio, asegurando que </w:t>
      </w:r>
      <w:r w:rsidRPr="00A526A1">
        <w:rPr>
          <w:rFonts w:ascii="Times New Roman" w:eastAsia="Times New Roman" w:hAnsi="Times New Roman" w:cs="Times New Roman"/>
          <w:b/>
          <w:bCs/>
          <w:sz w:val="24"/>
          <w:szCs w:val="24"/>
          <w:u w:val="single"/>
          <w:lang w:eastAsia="es-ES"/>
        </w:rPr>
        <w:t>ofrece una oportunidad única de armonizar normas y reglamentaciones técnicas</w:t>
      </w:r>
      <w:r w:rsidRPr="00A526A1">
        <w:rPr>
          <w:rFonts w:ascii="Times New Roman" w:eastAsia="Times New Roman" w:hAnsi="Times New Roman" w:cs="Times New Roman"/>
          <w:sz w:val="24"/>
          <w:szCs w:val="24"/>
          <w:u w:val="single"/>
          <w:lang w:eastAsia="es-ES"/>
        </w:rPr>
        <w:t>, liberando recursos para invertir en otras partes y en nuevas tecnologías, permitiendo asegurar los empleos e incluso permitir la creación de nuevos puestos de trabajo.</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A526A1">
        <w:rPr>
          <w:rFonts w:ascii="Times New Roman" w:eastAsia="Times New Roman" w:hAnsi="Times New Roman" w:cs="Times New Roman"/>
          <w:sz w:val="24"/>
          <w:szCs w:val="24"/>
          <w:u w:val="single"/>
          <w:lang w:eastAsia="es-ES"/>
        </w:rPr>
        <w:t>Precisaron que podrían ahorrar unos 5.000 millones de euros anuales en costes si los gobiernos de la Unión Europea y de Estados Unidos logran ponerse de acuerdo.</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A526A1">
        <w:rPr>
          <w:rFonts w:ascii="Times New Roman" w:eastAsia="Times New Roman" w:hAnsi="Times New Roman" w:cs="Times New Roman"/>
          <w:sz w:val="24"/>
          <w:szCs w:val="24"/>
          <w:u w:val="single"/>
          <w:lang w:eastAsia="es-ES"/>
        </w:rPr>
        <w:t>Hablando en nombre de todos, Dieter Zetsche dijo: “</w:t>
      </w:r>
      <w:r w:rsidRPr="00A526A1">
        <w:rPr>
          <w:rFonts w:ascii="Times New Roman" w:eastAsia="Times New Roman" w:hAnsi="Times New Roman" w:cs="Times New Roman"/>
          <w:b/>
          <w:bCs/>
          <w:sz w:val="24"/>
          <w:szCs w:val="24"/>
          <w:u w:val="single"/>
          <w:lang w:eastAsia="es-ES"/>
        </w:rPr>
        <w:t>Perdemos dinero, porque necesitamos diferentes retrovisores, luces intermitentes o luces traseras en función de si un coche se vende en EEUU o Europa</w:t>
      </w:r>
      <w:r w:rsidRPr="00A526A1">
        <w:rPr>
          <w:rFonts w:ascii="Times New Roman" w:eastAsia="Times New Roman" w:hAnsi="Times New Roman" w:cs="Times New Roman"/>
          <w:sz w:val="24"/>
          <w:szCs w:val="24"/>
          <w:u w:val="single"/>
          <w:lang w:eastAsia="es-ES"/>
        </w:rPr>
        <w:t>. O porque tenemos que cumplir con diferentes normas de seguridad, por ejemplo, con las pruebas de choque. En Europa y en EEUU contamos con los requisitos más exigentes del mundo. Sólo nos diferenciamos en cómo se deben aplicar, lo que nos obliga a realizar dos desarrollos diferentes, a comprar dos tipos de piezas y componentes, y a tener que certificar dos veces”.</w:t>
      </w:r>
    </w:p>
    <w:p w:rsidR="000369FD" w:rsidRPr="00014445"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A526A1">
        <w:rPr>
          <w:rFonts w:ascii="Times New Roman" w:eastAsia="Times New Roman" w:hAnsi="Times New Roman" w:cs="Times New Roman"/>
          <w:sz w:val="24"/>
          <w:szCs w:val="24"/>
          <w:u w:val="single"/>
          <w:lang w:eastAsia="es-ES"/>
        </w:rPr>
        <w:t xml:space="preserve">El acuerdo es de gran importancia para las marcas alemanas que son las que tienen grandes intereses en EEUU. Y </w:t>
      </w:r>
      <w:r w:rsidRPr="00A526A1">
        <w:rPr>
          <w:rFonts w:ascii="Times New Roman" w:eastAsia="Times New Roman" w:hAnsi="Times New Roman" w:cs="Times New Roman"/>
          <w:b/>
          <w:bCs/>
          <w:sz w:val="24"/>
          <w:szCs w:val="24"/>
          <w:u w:val="single"/>
          <w:lang w:eastAsia="es-ES"/>
        </w:rPr>
        <w:t>también interesa a las americanas General Motors, Ford y Chrysler</w:t>
      </w:r>
      <w:r w:rsidRPr="00A526A1">
        <w:rPr>
          <w:rFonts w:ascii="Times New Roman" w:eastAsia="Times New Roman" w:hAnsi="Times New Roman" w:cs="Times New Roman"/>
          <w:sz w:val="24"/>
          <w:szCs w:val="24"/>
          <w:u w:val="single"/>
          <w:lang w:eastAsia="es-ES"/>
        </w:rPr>
        <w:t xml:space="preserve"> (ahora fusionada con Fiat), cada vez más globalizadas. Pero no despierta la misma ansiedad en el otro lado del Atlántico, donde desean tener seguridades sobre las normas y reglamento europeos antes de hacer una media con los suyos</w:t>
      </w:r>
      <w:r w:rsidRPr="00014445">
        <w:rPr>
          <w:rFonts w:ascii="Times New Roman" w:eastAsia="Times New Roman" w:hAnsi="Times New Roman" w:cs="Times New Roman"/>
          <w:sz w:val="24"/>
          <w:szCs w:val="24"/>
          <w:lang w:eastAsia="es-ES"/>
        </w:rPr>
        <w:t>. Lo cierto es que por parte europea se ha aceptado que la Universidad de Michigan los analice.</w:t>
      </w:r>
    </w:p>
    <w:p w:rsidR="000369FD" w:rsidRPr="00A526A1"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A526A1">
        <w:rPr>
          <w:rFonts w:ascii="Times New Roman" w:eastAsia="Times New Roman" w:hAnsi="Times New Roman" w:cs="Times New Roman"/>
          <w:sz w:val="24"/>
          <w:szCs w:val="24"/>
          <w:u w:val="single"/>
          <w:lang w:eastAsia="es-ES"/>
        </w:rPr>
        <w:lastRenderedPageBreak/>
        <w:t>Además, hay razones ajenas a la industria del automóvil, que previenen contra el acuerdo en Europa, como son los alimentos transgénicos y las carnes tratadas con hormonas que la UE quiere vetar.</w:t>
      </w:r>
    </w:p>
    <w:p w:rsidR="000369FD" w:rsidRPr="00393A9F"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393A9F">
        <w:rPr>
          <w:rFonts w:ascii="Times New Roman" w:eastAsia="Times New Roman" w:hAnsi="Times New Roman" w:cs="Times New Roman"/>
          <w:sz w:val="24"/>
          <w:szCs w:val="24"/>
          <w:lang w:eastAsia="es-ES"/>
        </w:rPr>
        <w:t>¿</w:t>
      </w:r>
      <w:r w:rsidRPr="00393A9F">
        <w:rPr>
          <w:rFonts w:ascii="Times New Roman" w:eastAsia="Times New Roman" w:hAnsi="Times New Roman" w:cs="Times New Roman"/>
          <w:sz w:val="24"/>
          <w:szCs w:val="24"/>
          <w:u w:val="single"/>
          <w:lang w:eastAsia="es-ES"/>
        </w:rPr>
        <w:t>Qué lobbies manejan los hilos del TTIP</w:t>
      </w:r>
      <w:r w:rsidRPr="00393A9F">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(lamarea - </w:t>
      </w:r>
      <w:r w:rsidRPr="00393A9F">
        <w:rPr>
          <w:rFonts w:ascii="Times New Roman" w:eastAsia="Times New Roman" w:hAnsi="Times New Roman" w:cs="Times New Roman"/>
          <w:b/>
          <w:sz w:val="24"/>
          <w:szCs w:val="24"/>
          <w:lang w:eastAsia="es-ES"/>
        </w:rPr>
        <w:t>5/2/15</w:t>
      </w:r>
      <w:r>
        <w:rPr>
          <w:rFonts w:ascii="Times New Roman" w:eastAsia="Times New Roman" w:hAnsi="Times New Roman" w:cs="Times New Roman"/>
          <w:sz w:val="24"/>
          <w:szCs w:val="24"/>
          <w:lang w:eastAsia="es-ES"/>
        </w:rPr>
        <w:t>)</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El tratado de libre comercio (</w:t>
      </w:r>
      <w:hyperlink r:id="rId75" w:tgtFrame="_blank" w:history="1">
        <w:r w:rsidRPr="00A526A1">
          <w:rPr>
            <w:rStyle w:val="Hipervnculo"/>
            <w:rFonts w:ascii="Times New Roman" w:hAnsi="Times New Roman" w:cs="Times New Roman"/>
            <w:color w:val="auto"/>
            <w:sz w:val="24"/>
            <w:szCs w:val="24"/>
          </w:rPr>
          <w:t>TTIP</w:t>
        </w:r>
      </w:hyperlink>
      <w:r w:rsidRPr="00A526A1">
        <w:rPr>
          <w:rFonts w:ascii="Times New Roman" w:hAnsi="Times New Roman" w:cs="Times New Roman"/>
          <w:sz w:val="24"/>
          <w:szCs w:val="24"/>
          <w:u w:val="single"/>
        </w:rPr>
        <w:t>) entre la Unión Europea y Estados Unidos sigue forjándose en lo más oscuro de las instituciones de ambos lados del Atlántico.</w:t>
      </w:r>
      <w:r w:rsidRPr="00A526A1">
        <w:rPr>
          <w:rFonts w:ascii="Times New Roman" w:hAnsi="Times New Roman" w:cs="Times New Roman"/>
          <w:sz w:val="24"/>
          <w:szCs w:val="24"/>
        </w:rPr>
        <w:t xml:space="preserve"> El pasado 2 de febrero comenzaron las octavas jornadas de sus negociaciones en Bruselas, que durarán hasta el 8 del mismo mes. </w:t>
      </w:r>
      <w:r w:rsidRPr="00A526A1">
        <w:rPr>
          <w:rFonts w:ascii="Times New Roman" w:hAnsi="Times New Roman" w:cs="Times New Roman"/>
          <w:sz w:val="24"/>
          <w:szCs w:val="24"/>
          <w:u w:val="single"/>
        </w:rPr>
        <w:t xml:space="preserve">Mientras la opinión pública empieza a ver las orejas del lobby, grupos de presión, </w:t>
      </w:r>
      <w:r w:rsidRPr="00A526A1">
        <w:rPr>
          <w:rStyle w:val="nfasis"/>
          <w:rFonts w:ascii="Times New Roman" w:hAnsi="Times New Roman" w:cs="Times New Roman"/>
          <w:sz w:val="24"/>
          <w:szCs w:val="24"/>
          <w:u w:val="single"/>
        </w:rPr>
        <w:t>think tanks</w:t>
      </w:r>
      <w:r w:rsidRPr="00A526A1">
        <w:rPr>
          <w:rFonts w:ascii="Times New Roman" w:hAnsi="Times New Roman" w:cs="Times New Roman"/>
          <w:sz w:val="24"/>
          <w:szCs w:val="24"/>
          <w:u w:val="single"/>
        </w:rPr>
        <w:t xml:space="preserve"> o firmas de abogados y relaciones públicas al servicio del poder privado llevan dos años moviendo en la sombra los hilos de un tratado que afectara a millones de personas.</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 xml:space="preserve">Durante la preparación de las negociaciones entre finales de 2012 y principios de 2013, el Departamento de Comercio de la Comisión Europea fue presionado por 298 “partes interesadas”, de las cuales 269 correspondían al sector privado. Además, el 92% de las reuniones que la Comisión tuvo a puerta cerrada fue con corporaciones de presión empresariales. Esto deja en 26 los encuentros con grupos de interés público y significa que por cada cita con un sindicato o conjunto de consumidores se producían 20 con empresas y federaciones industriales. Así lo denunció el pasado verano el </w:t>
      </w:r>
      <w:hyperlink r:id="rId76" w:tgtFrame="_blank" w:history="1">
        <w:r w:rsidRPr="00A526A1">
          <w:rPr>
            <w:rStyle w:val="Hipervnculo"/>
            <w:rFonts w:ascii="Times New Roman" w:hAnsi="Times New Roman" w:cs="Times New Roman"/>
            <w:color w:val="auto"/>
            <w:sz w:val="24"/>
            <w:szCs w:val="24"/>
          </w:rPr>
          <w:t>Corporate Europe Observatory.</w:t>
        </w:r>
      </w:hyperlink>
      <w:r w:rsidRPr="00A526A1">
        <w:rPr>
          <w:rFonts w:ascii="Times New Roman" w:hAnsi="Times New Roman" w:cs="Times New Roman"/>
          <w:sz w:val="24"/>
          <w:szCs w:val="24"/>
          <w:u w:val="single"/>
        </w:rPr>
        <w:t xml:space="preserve"> También, que los 25 grupos que más presionaron correspondían a lobbies de la industria.</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Agrupadas bajo “organizaciones paraguas”, las compañías más poderosas del planeta presionan a los poderes políticos para asegurarse de que sus polémicos intereses no se vean afectados. Desde el ACEA, grupo del sector automovilístico que representa a BMW, Ford, Renault, Volkswagen y otras muchas -cuyas acciones de lobby no han pasado desapercibidas- hasta el CEFIC, el conglomerado de farmacéuticas donde se esconden laboratorios como BASF o Bayer.</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u w:val="single"/>
        </w:rPr>
        <w:t xml:space="preserve">Pero sin duda, BusinessEurope (federación de empleadores) y la </w:t>
      </w:r>
      <w:hyperlink r:id="rId77" w:tgtFrame="_blank" w:history="1">
        <w:r w:rsidRPr="00A526A1">
          <w:rPr>
            <w:rStyle w:val="Hipervnculo"/>
            <w:rFonts w:ascii="Times New Roman" w:hAnsi="Times New Roman" w:cs="Times New Roman"/>
            <w:color w:val="auto"/>
            <w:sz w:val="24"/>
            <w:szCs w:val="24"/>
          </w:rPr>
          <w:t>Mesa Redonda Europea de Industriales</w:t>
        </w:r>
      </w:hyperlink>
      <w:r w:rsidRPr="00A526A1">
        <w:rPr>
          <w:rFonts w:ascii="Times New Roman" w:hAnsi="Times New Roman" w:cs="Times New Roman"/>
          <w:sz w:val="24"/>
          <w:szCs w:val="24"/>
          <w:u w:val="single"/>
        </w:rPr>
        <w:t xml:space="preserve"> son los lobbies más fuertes de la Unión Europea</w:t>
      </w:r>
      <w:r w:rsidRPr="00A526A1">
        <w:rPr>
          <w:rFonts w:ascii="Times New Roman" w:hAnsi="Times New Roman" w:cs="Times New Roman"/>
          <w:sz w:val="24"/>
          <w:szCs w:val="24"/>
        </w:rPr>
        <w:t>. Esta última fue fundada en 1983 para influir en políticas que favorecieran cada vez más a las grandes empresas transnacionales. Suyos son los éxitos del Mercado Único, las Redes Transeuropeas o algunos aspectos clave del Tratado de Maastricht, donde ya en 1991 dejó sus huellas sobre las bases de lo que sería en el futuro la Unión Económica y Monetaria.</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Este grupo de presión industrial, actualmente presidido por el CEO de la compañía de gas francesa Air Liquide, engloba a los magnates de las multinacionales europeas más importantes. Entre sus selectas filas hay cuatro españoles: Cesar Alierta (Telefónica), Pablo Isla (Inditex), Antonio Brufau (Repsol) e Ignacio S. Galán (Iberdrola). A diferencia de la mayoría de grupos de presión en Bruselas, la ERT (por sus siglas en inglés) no hace lobby en detalles legislativos, sino que gracias a su libre acceso a comisarios y parlamentarios centra la influencia en llenar la agenda de la UE con proyectos favorables a la globalización, y por tanto, a las multinacionales.</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 xml:space="preserve">También en América, compañías que engloban a Apple, Blackberry, Microsfot o IBM presionan con el nombre de Digital Europe para lograr sus fines. Especial mención merece la potente maquinaria americana de lobby que la Cámara de Comercio de EEUU ejerce sobre el TTIP. Sólo en 2014, su gasto en cabildeo ascendió a 124 millones de </w:t>
      </w:r>
      <w:r w:rsidRPr="00A526A1">
        <w:rPr>
          <w:rFonts w:ascii="Times New Roman" w:hAnsi="Times New Roman" w:cs="Times New Roman"/>
          <w:sz w:val="24"/>
          <w:szCs w:val="24"/>
        </w:rPr>
        <w:lastRenderedPageBreak/>
        <w:t xml:space="preserve">dólares. En su </w:t>
      </w:r>
      <w:hyperlink r:id="rId78" w:tgtFrame="_blank" w:history="1">
        <w:r w:rsidRPr="00A526A1">
          <w:rPr>
            <w:rStyle w:val="Hipervnculo"/>
            <w:rFonts w:ascii="Times New Roman" w:hAnsi="Times New Roman" w:cs="Times New Roman"/>
            <w:color w:val="auto"/>
            <w:sz w:val="24"/>
            <w:szCs w:val="24"/>
          </w:rPr>
          <w:t>sede en España</w:t>
        </w:r>
      </w:hyperlink>
      <w:r w:rsidRPr="00A526A1">
        <w:rPr>
          <w:rFonts w:ascii="Times New Roman" w:hAnsi="Times New Roman" w:cs="Times New Roman"/>
          <w:sz w:val="24"/>
          <w:szCs w:val="24"/>
        </w:rPr>
        <w:t xml:space="preserve"> (AmCham) hemos podido ver a lo largo del último año a todo el establishment español. Monsanto, McDonald’s o Procter &amp; Gamble son los representados de este gigante americano que también trabaja estrechamente con la ERT en los temas que más interesan a sus miembros, ahora, el Tratado de Libre Comercio.</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 xml:space="preserve">Pero si hay una industria que se ha esforzado en influir a políticos europeos y americanos, esa es la agroindustrial. De las 560 reuniones con la Dirección General de Comercio que se han llevado a cabo, este sector ha protagonizado 113. Más encuentros que el lobby farmacéutico, médico, financiero y automovilístico juntos. “Se trata de tirar hacia abajo los derechos laborales, ambientales y supeditar la democracia al comercio para abaratar el precio de sus productos y servicios”, afirma sobre este sector a </w:t>
      </w:r>
      <w:r w:rsidRPr="00A526A1">
        <w:rPr>
          <w:rStyle w:val="nfasis"/>
          <w:rFonts w:ascii="Times New Roman" w:hAnsi="Times New Roman" w:cs="Times New Roman"/>
          <w:sz w:val="24"/>
          <w:szCs w:val="24"/>
          <w:u w:val="single"/>
        </w:rPr>
        <w:t>La Marea</w:t>
      </w:r>
      <w:r w:rsidRPr="00A526A1">
        <w:rPr>
          <w:rFonts w:ascii="Times New Roman" w:hAnsi="Times New Roman" w:cs="Times New Roman"/>
          <w:sz w:val="24"/>
          <w:szCs w:val="24"/>
          <w:u w:val="single"/>
        </w:rPr>
        <w:t xml:space="preserve"> el portavoz de Equo, Florent Marcellesi, desde Bruselas.</w:t>
      </w:r>
    </w:p>
    <w:p w:rsidR="000369FD" w:rsidRPr="00A526A1" w:rsidRDefault="000369FD" w:rsidP="000369FD">
      <w:pPr>
        <w:shd w:val="clear" w:color="auto" w:fill="FFFFFF"/>
        <w:spacing w:after="225" w:line="240" w:lineRule="auto"/>
        <w:jc w:val="both"/>
        <w:outlineLvl w:val="3"/>
        <w:rPr>
          <w:rFonts w:ascii="Times New Roman" w:hAnsi="Times New Roman" w:cs="Times New Roman"/>
          <w:b/>
          <w:bCs/>
          <w:sz w:val="24"/>
          <w:szCs w:val="24"/>
        </w:rPr>
      </w:pPr>
      <w:r w:rsidRPr="00A526A1">
        <w:rPr>
          <w:rStyle w:val="Textoennegrita"/>
          <w:rFonts w:ascii="Times New Roman" w:hAnsi="Times New Roman" w:cs="Times New Roman"/>
          <w:sz w:val="24"/>
          <w:szCs w:val="24"/>
        </w:rPr>
        <w:t>Las reuniones secretas de los grupos de presión</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El 82% de los encuentros celebradas por la Dirección General de Agricultura son con lobbies agroindustriales de gran alcance, que como Cargill o la Asociación Americana de la Soja poseen documentados antecedentes en la lucha contra la seguridad y sostenibilidad del medioambiente. Desde presionar en contra de los etiquetados de alimentos favorables al consumidor hasta cabildear en contra de la prohibición de pesticidas dañinos con la naturaleza. “El hecho de que la Comisión Europea trabajara de manera tan estrecha con estos agresivos grupos mientras preparaba las negociaciones del TTIP es una buena razón para preocuparse acerca del futuro que le espera a la naturaleza”, afirma Marcellesi.</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En función del grupo de presión, las políticas del tratado internacional sobre las que se quiere influir varían, pero el objetivo final de todos estos lobbies es la “cooperación normativa”. Un concepto de sonido inocente que propone alejar los asuntos más contenciosos del TTIP del examen público, ya que sólo se discutirían una vez firmado el tratado, mediante pactos secretos y acuerdos a puerta cerrada. Los parlamentos nacionales y las instituciones electas no podrán intervenir plenamente, y se limitará peligrosamente el debate público.</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u w:val="single"/>
        </w:rPr>
      </w:pPr>
      <w:r w:rsidRPr="00A526A1">
        <w:rPr>
          <w:rFonts w:ascii="Times New Roman" w:hAnsi="Times New Roman" w:cs="Times New Roman"/>
          <w:sz w:val="24"/>
          <w:szCs w:val="24"/>
          <w:u w:val="single"/>
        </w:rPr>
        <w:t>Diversas organizaciones contrarias al tratado avisan de que cualquier intento futuro de establecer medidas más sostenibles y favorable</w:t>
      </w:r>
      <w:r w:rsidR="00A20232">
        <w:rPr>
          <w:rFonts w:ascii="Times New Roman" w:hAnsi="Times New Roman" w:cs="Times New Roman"/>
          <w:sz w:val="24"/>
          <w:szCs w:val="24"/>
          <w:u w:val="single"/>
        </w:rPr>
        <w:t>s a los derechos laborales será</w:t>
      </w:r>
      <w:r w:rsidRPr="00A526A1">
        <w:rPr>
          <w:rFonts w:ascii="Times New Roman" w:hAnsi="Times New Roman" w:cs="Times New Roman"/>
          <w:sz w:val="24"/>
          <w:szCs w:val="24"/>
          <w:u w:val="single"/>
        </w:rPr>
        <w:t xml:space="preserve"> </w:t>
      </w:r>
      <w:r w:rsidR="00A20232">
        <w:rPr>
          <w:rFonts w:ascii="Times New Roman" w:hAnsi="Times New Roman" w:cs="Times New Roman"/>
          <w:sz w:val="24"/>
          <w:szCs w:val="24"/>
          <w:u w:val="single"/>
        </w:rPr>
        <w:t>desestimado</w:t>
      </w:r>
      <w:r w:rsidRPr="00A526A1">
        <w:rPr>
          <w:rFonts w:ascii="Times New Roman" w:hAnsi="Times New Roman" w:cs="Times New Roman"/>
          <w:sz w:val="24"/>
          <w:szCs w:val="24"/>
          <w:u w:val="single"/>
        </w:rPr>
        <w:t xml:space="preserve"> por las multinacionales como una “barrera contra el comercio”. Las corporaciones empresariales más fuertes -denuncian- han estado presionando para incorporar este idílico escenario incluso antes de que las negociaciones comenzaran. Así lo muestra la filtración de diversas </w:t>
      </w:r>
      <w:hyperlink r:id="rId79" w:tgtFrame="_blank" w:history="1">
        <w:r w:rsidRPr="00A526A1">
          <w:rPr>
            <w:rStyle w:val="Hipervnculo"/>
            <w:rFonts w:ascii="Times New Roman" w:hAnsi="Times New Roman" w:cs="Times New Roman"/>
            <w:color w:val="auto"/>
            <w:sz w:val="24"/>
            <w:szCs w:val="24"/>
          </w:rPr>
          <w:t>cartas</w:t>
        </w:r>
      </w:hyperlink>
      <w:r w:rsidRPr="00A526A1">
        <w:rPr>
          <w:rFonts w:ascii="Times New Roman" w:hAnsi="Times New Roman" w:cs="Times New Roman"/>
          <w:sz w:val="24"/>
          <w:szCs w:val="24"/>
          <w:u w:val="single"/>
        </w:rPr>
        <w:t xml:space="preserve"> remitidas a la Comisión Europea por BussinesEurope o US Chamber of Commerce (Cámara de Comercio de EEUU).</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Otro problema que destacan los opositores del TTIP es que muchos lobbies ni siquiera están inscritos en el registro de transparencia europea, concretamente, más del 30% de los sectores privados que han presionado a la Dirección General de Comercio durante el inicio de las negociaciones: 94 empresas, entre las que encontramos nombres como Walmart, Walt Disney, General Motors o France Telecom.</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 xml:space="preserve">Un caso concreto de esta opacidad es el que ha llevado a varias organizaciones a presentar una </w:t>
      </w:r>
      <w:hyperlink r:id="rId80" w:tgtFrame="_blank" w:history="1">
        <w:r w:rsidRPr="00A526A1">
          <w:rPr>
            <w:rStyle w:val="Hipervnculo"/>
            <w:rFonts w:ascii="Times New Roman" w:hAnsi="Times New Roman" w:cs="Times New Roman"/>
            <w:color w:val="auto"/>
            <w:sz w:val="24"/>
            <w:szCs w:val="24"/>
          </w:rPr>
          <w:t>denuncia</w:t>
        </w:r>
      </w:hyperlink>
      <w:r w:rsidRPr="00A526A1">
        <w:rPr>
          <w:rFonts w:ascii="Times New Roman" w:hAnsi="Times New Roman" w:cs="Times New Roman"/>
          <w:sz w:val="24"/>
          <w:szCs w:val="24"/>
        </w:rPr>
        <w:t xml:space="preserve"> contra Goldman Sachs. En el Registro de Transparencia Europea, el gasto en representación ante instituciones europeas que esta compañía declara es de 50.000 euros, una cantidad muy baja teniendo en cuenta que en Estados Unidos refleja una inversión en este aspecto 58 veces mayor. Las ONG denunciantes también alegan que el importe que se declara en este registro no cuadra con el que reflejan las firmas de </w:t>
      </w:r>
      <w:r w:rsidRPr="00A526A1">
        <w:rPr>
          <w:rFonts w:ascii="Times New Roman" w:hAnsi="Times New Roman" w:cs="Times New Roman"/>
          <w:sz w:val="24"/>
          <w:szCs w:val="24"/>
        </w:rPr>
        <w:lastRenderedPageBreak/>
        <w:t>relaciones públicas que le prestan servicio, ya que estas afirman haber recibido pagos de Goldman Sachs por un valor de más de 450.000 euros, una cantidad 9 veces superior a la que el banco de inversión dice gastar en lobby.</w:t>
      </w:r>
    </w:p>
    <w:p w:rsidR="000369FD" w:rsidRPr="00A526A1" w:rsidRDefault="000369FD" w:rsidP="000369FD">
      <w:pPr>
        <w:shd w:val="clear" w:color="auto" w:fill="FFFFFF"/>
        <w:spacing w:after="225" w:line="240" w:lineRule="auto"/>
        <w:jc w:val="both"/>
        <w:outlineLvl w:val="3"/>
        <w:rPr>
          <w:rFonts w:ascii="Times New Roman" w:hAnsi="Times New Roman" w:cs="Times New Roman"/>
          <w:b/>
          <w:bCs/>
          <w:sz w:val="24"/>
          <w:szCs w:val="24"/>
        </w:rPr>
      </w:pPr>
      <w:r w:rsidRPr="00A526A1">
        <w:rPr>
          <w:rStyle w:val="Textoennegrita"/>
          <w:rFonts w:ascii="Times New Roman" w:hAnsi="Times New Roman" w:cs="Times New Roman"/>
          <w:sz w:val="24"/>
          <w:szCs w:val="24"/>
        </w:rPr>
        <w:t xml:space="preserve">Filtraciones que delatan a las multinacionales </w:t>
      </w:r>
    </w:p>
    <w:p w:rsidR="000369FD" w:rsidRPr="001B666C" w:rsidRDefault="000369FD" w:rsidP="000369FD">
      <w:pPr>
        <w:shd w:val="clear" w:color="auto" w:fill="FFFFFF"/>
        <w:spacing w:after="225" w:line="240" w:lineRule="auto"/>
        <w:jc w:val="both"/>
        <w:rPr>
          <w:rFonts w:ascii="Times New Roman" w:hAnsi="Times New Roman" w:cs="Times New Roman"/>
          <w:sz w:val="24"/>
          <w:szCs w:val="24"/>
          <w:u w:val="single"/>
        </w:rPr>
      </w:pPr>
      <w:r w:rsidRPr="001B666C">
        <w:rPr>
          <w:rFonts w:ascii="Times New Roman" w:hAnsi="Times New Roman" w:cs="Times New Roman"/>
          <w:sz w:val="24"/>
          <w:szCs w:val="24"/>
          <w:u w:val="single"/>
        </w:rPr>
        <w:t xml:space="preserve">A la falta de conocimiento sobre quiénes se reúnen con los políticos europeos se suman las continuas filtraciones sobre oscuras demandas que los grupos de presión realizan. Los ejemplos van desde los documentos que ha publicado </w:t>
      </w:r>
      <w:hyperlink r:id="rId81" w:tgtFrame="_blank" w:history="1">
        <w:r w:rsidRPr="001B666C">
          <w:rPr>
            <w:rStyle w:val="Hipervnculo"/>
            <w:rFonts w:ascii="Times New Roman" w:hAnsi="Times New Roman" w:cs="Times New Roman"/>
            <w:color w:val="auto"/>
            <w:sz w:val="24"/>
            <w:szCs w:val="24"/>
          </w:rPr>
          <w:t>Filtra.la</w:t>
        </w:r>
      </w:hyperlink>
      <w:r w:rsidRPr="001B666C">
        <w:rPr>
          <w:rFonts w:ascii="Times New Roman" w:hAnsi="Times New Roman" w:cs="Times New Roman"/>
          <w:sz w:val="24"/>
          <w:szCs w:val="24"/>
          <w:u w:val="single"/>
        </w:rPr>
        <w:t xml:space="preserve"> o </w:t>
      </w:r>
      <w:hyperlink r:id="rId82" w:tgtFrame="_blank" w:history="1">
        <w:r w:rsidRPr="001B666C">
          <w:rPr>
            <w:rStyle w:val="Hipervnculo"/>
            <w:rFonts w:ascii="Times New Roman" w:hAnsi="Times New Roman" w:cs="Times New Roman"/>
            <w:color w:val="auto"/>
            <w:sz w:val="24"/>
            <w:szCs w:val="24"/>
          </w:rPr>
          <w:t>Wikileaks</w:t>
        </w:r>
      </w:hyperlink>
      <w:r w:rsidRPr="001B666C">
        <w:rPr>
          <w:rFonts w:ascii="Times New Roman" w:hAnsi="Times New Roman" w:cs="Times New Roman"/>
          <w:sz w:val="24"/>
          <w:szCs w:val="24"/>
          <w:u w:val="single"/>
        </w:rPr>
        <w:t xml:space="preserve">, hasta el </w:t>
      </w:r>
      <w:hyperlink r:id="rId83" w:tgtFrame="_blank" w:history="1">
        <w:r w:rsidRPr="001B666C">
          <w:rPr>
            <w:rStyle w:val="Hipervnculo"/>
            <w:rFonts w:ascii="Times New Roman" w:hAnsi="Times New Roman" w:cs="Times New Roman"/>
            <w:color w:val="auto"/>
            <w:sz w:val="24"/>
            <w:szCs w:val="24"/>
          </w:rPr>
          <w:t>informe</w:t>
        </w:r>
      </w:hyperlink>
      <w:r w:rsidRPr="001B666C">
        <w:rPr>
          <w:rFonts w:ascii="Times New Roman" w:hAnsi="Times New Roman" w:cs="Times New Roman"/>
          <w:sz w:val="24"/>
          <w:szCs w:val="24"/>
          <w:u w:val="single"/>
        </w:rPr>
        <w:t xml:space="preserve"> presentado por el Centro de Derecho Ambiental Internacional (CIEL) y ClientEarth, que muestra cómo una propuesta secreta de los lobbies químicos podría dañar la legislación protectora de productos tóxicos.</w:t>
      </w:r>
    </w:p>
    <w:p w:rsidR="000369FD" w:rsidRPr="001B666C" w:rsidRDefault="000369FD" w:rsidP="000369FD">
      <w:pPr>
        <w:shd w:val="clear" w:color="auto" w:fill="FFFFFF"/>
        <w:spacing w:after="225" w:line="240" w:lineRule="auto"/>
        <w:jc w:val="both"/>
        <w:rPr>
          <w:rFonts w:ascii="Times New Roman" w:hAnsi="Times New Roman" w:cs="Times New Roman"/>
          <w:sz w:val="24"/>
          <w:szCs w:val="24"/>
          <w:u w:val="single"/>
        </w:rPr>
      </w:pPr>
      <w:r w:rsidRPr="001B666C">
        <w:rPr>
          <w:rFonts w:ascii="Times New Roman" w:hAnsi="Times New Roman" w:cs="Times New Roman"/>
          <w:sz w:val="24"/>
          <w:szCs w:val="24"/>
          <w:u w:val="single"/>
        </w:rPr>
        <w:t>También, el hecho de no reflejar los temas que se tratan durante las reuniones entre lobbistas y políticos preocupa a las organizaciones de la sociedad civil. Durante el periodo inicial de negociaciones, sólo 5 de los 298 grupos indicaban los temas que se trataban en las reuniones.</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1B666C">
        <w:rPr>
          <w:rFonts w:ascii="Times New Roman" w:hAnsi="Times New Roman" w:cs="Times New Roman"/>
          <w:sz w:val="24"/>
          <w:szCs w:val="24"/>
          <w:u w:val="single"/>
        </w:rPr>
        <w:t>Todo esto sucede mientras la Comisión Europea afirma que no hay “ningún secreto”. Las organizaciones, de nuevo, denuncian que no sólo hay un interés por no publicar la lista de reuniones con los lobbistas, sino que cuando son exigidas se envían con meses de retraso y con amplios signos de censura.</w:t>
      </w:r>
      <w:r w:rsidRPr="00A526A1">
        <w:rPr>
          <w:rFonts w:ascii="Times New Roman" w:hAnsi="Times New Roman" w:cs="Times New Roman"/>
          <w:sz w:val="24"/>
          <w:szCs w:val="24"/>
        </w:rPr>
        <w:t xml:space="preserve"> Un ejemplo es la </w:t>
      </w:r>
      <w:hyperlink r:id="rId84" w:tgtFrame="_blank" w:history="1">
        <w:r w:rsidRPr="00A526A1">
          <w:rPr>
            <w:rStyle w:val="Hipervnculo"/>
            <w:rFonts w:ascii="Times New Roman" w:hAnsi="Times New Roman" w:cs="Times New Roman"/>
            <w:color w:val="auto"/>
            <w:sz w:val="24"/>
            <w:szCs w:val="24"/>
          </w:rPr>
          <w:t>petición de información</w:t>
        </w:r>
      </w:hyperlink>
      <w:r w:rsidRPr="00A526A1">
        <w:rPr>
          <w:rFonts w:ascii="Times New Roman" w:hAnsi="Times New Roman" w:cs="Times New Roman"/>
          <w:sz w:val="24"/>
          <w:szCs w:val="24"/>
        </w:rPr>
        <w:t xml:space="preserve"> que Corporate Europe Observatory envió en abril de 2013 para obtener una visión general de los contactos que la Comisión había mantenido con la industria durante los preparativos del TTIP. Los documentos llegaron 14 meses después de la presentación de la solicitud (si bien el derecho de la UE requiere una respuesta en un plazo de 15 días laborables) y además, en los informes la Comisión había blanqueado o ennegrecido partes comprometidas. “Si la Comisión Europea se tomara en serio el cabildeo y la transparencia publicaría las listas de todas las reuniones con los grupos de presión en su sitio web”, critican desde el CEO.</w:t>
      </w:r>
    </w:p>
    <w:p w:rsidR="000369FD" w:rsidRPr="00A526A1" w:rsidRDefault="000369FD" w:rsidP="000369FD">
      <w:pPr>
        <w:shd w:val="clear" w:color="auto" w:fill="FFFFFF"/>
        <w:spacing w:after="225" w:line="240" w:lineRule="auto"/>
        <w:jc w:val="both"/>
        <w:outlineLvl w:val="3"/>
        <w:rPr>
          <w:rFonts w:ascii="Times New Roman" w:hAnsi="Times New Roman" w:cs="Times New Roman"/>
          <w:b/>
          <w:bCs/>
          <w:sz w:val="24"/>
          <w:szCs w:val="24"/>
        </w:rPr>
      </w:pPr>
      <w:r w:rsidRPr="00A526A1">
        <w:rPr>
          <w:rStyle w:val="Textoennegrita"/>
          <w:rFonts w:ascii="Times New Roman" w:hAnsi="Times New Roman" w:cs="Times New Roman"/>
          <w:sz w:val="24"/>
          <w:szCs w:val="24"/>
        </w:rPr>
        <w:t>La inexistencia de un debate público acerca del TTIP</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 xml:space="preserve">En España pocos han sido los medios privados que han informado sobre el Tratado. De hecho, El Mundo sólo recoge en su </w:t>
      </w:r>
      <w:hyperlink r:id="rId85" w:tgtFrame="_blank" w:history="1">
        <w:r w:rsidRPr="00A526A1">
          <w:rPr>
            <w:rStyle w:val="Hipervnculo"/>
            <w:rFonts w:ascii="Times New Roman" w:hAnsi="Times New Roman" w:cs="Times New Roman"/>
            <w:color w:val="auto"/>
            <w:sz w:val="24"/>
            <w:szCs w:val="24"/>
          </w:rPr>
          <w:t>hemeroteca</w:t>
        </w:r>
      </w:hyperlink>
      <w:r w:rsidRPr="00A526A1">
        <w:rPr>
          <w:rFonts w:ascii="Times New Roman" w:hAnsi="Times New Roman" w:cs="Times New Roman"/>
          <w:sz w:val="24"/>
          <w:szCs w:val="24"/>
        </w:rPr>
        <w:t xml:space="preserve"> 18 noticias relacionadas con el TTIP durante los dos años de negociación. En El País, durante los últimos dos meses sólo hay cuatro referencias: dos son cartas al director y otras dos son tribunas abiertas que reflejan las voces de sus partidarios, una de ellas la firman Miguel Arias Cañete, comisario europeo de Acción por el Clima y Energía, y Cecilia Malmström, comisaria europea de Comercio.</w:t>
      </w:r>
    </w:p>
    <w:p w:rsidR="000369FD" w:rsidRPr="00A526A1" w:rsidRDefault="000369FD" w:rsidP="000369FD">
      <w:pPr>
        <w:shd w:val="clear" w:color="auto" w:fill="FFFFFF"/>
        <w:spacing w:after="225" w:line="240" w:lineRule="auto"/>
        <w:jc w:val="both"/>
        <w:rPr>
          <w:rFonts w:ascii="Times New Roman" w:hAnsi="Times New Roman" w:cs="Times New Roman"/>
          <w:sz w:val="24"/>
          <w:szCs w:val="24"/>
        </w:rPr>
      </w:pPr>
      <w:r w:rsidRPr="00A526A1">
        <w:rPr>
          <w:rFonts w:ascii="Times New Roman" w:hAnsi="Times New Roman" w:cs="Times New Roman"/>
          <w:sz w:val="24"/>
          <w:szCs w:val="24"/>
        </w:rPr>
        <w:t xml:space="preserve">La falta de conocimiento de la opinión pública nacional sobre las consecuencias de este polémico tratado, a pesar de las </w:t>
      </w:r>
      <w:hyperlink r:id="rId86" w:tgtFrame="_blank" w:history="1">
        <w:r w:rsidRPr="00A526A1">
          <w:rPr>
            <w:rStyle w:val="Hipervnculo"/>
            <w:rFonts w:ascii="Times New Roman" w:hAnsi="Times New Roman" w:cs="Times New Roman"/>
            <w:color w:val="auto"/>
            <w:sz w:val="24"/>
            <w:szCs w:val="24"/>
          </w:rPr>
          <w:t>campañas</w:t>
        </w:r>
      </w:hyperlink>
      <w:r w:rsidRPr="00A526A1">
        <w:rPr>
          <w:rFonts w:ascii="Times New Roman" w:hAnsi="Times New Roman" w:cs="Times New Roman"/>
          <w:sz w:val="24"/>
          <w:szCs w:val="24"/>
        </w:rPr>
        <w:t xml:space="preserve"> de organizaciones contrarias a este, quedó en evidencia cuando la Comisión realizó una consulta sobre el criticado mecanismo de arbitraje entre Estados e Inversores (llamado ISDS). De las 150.000 respuestas ciudadanas recibidas, sólo el 2 por ciento venían de España.</w:t>
      </w:r>
    </w:p>
    <w:p w:rsidR="000369FD" w:rsidRPr="001B666C" w:rsidRDefault="000369FD" w:rsidP="000369FD">
      <w:pPr>
        <w:shd w:val="clear" w:color="auto" w:fill="FFFFFF"/>
        <w:spacing w:after="225" w:line="240" w:lineRule="auto"/>
        <w:jc w:val="both"/>
        <w:rPr>
          <w:rFonts w:ascii="Times New Roman" w:hAnsi="Times New Roman" w:cs="Times New Roman"/>
          <w:sz w:val="24"/>
          <w:szCs w:val="24"/>
          <w:u w:val="single"/>
        </w:rPr>
      </w:pPr>
      <w:r w:rsidRPr="001B666C">
        <w:rPr>
          <w:rFonts w:ascii="Times New Roman" w:hAnsi="Times New Roman" w:cs="Times New Roman"/>
          <w:sz w:val="24"/>
          <w:szCs w:val="24"/>
          <w:u w:val="single"/>
        </w:rPr>
        <w:t xml:space="preserve">“Cuanto más se informa al público de lo que está en juego con el TTIP, más impopular se vuelve el acuerdo, porque la gente entiende que tiene mucho que perder”, afirman desde el Corporate Europe Obsevatory en relación a la falta de información que hay en los medios sobre las consecuencias negativas de este tratado. Quizá sea por ello por lo que la Comisión Europea elaboró una estrategia de comunicación para “comunicar de </w:t>
      </w:r>
      <w:r w:rsidRPr="001B666C">
        <w:rPr>
          <w:rFonts w:ascii="Times New Roman" w:hAnsi="Times New Roman" w:cs="Times New Roman"/>
          <w:sz w:val="24"/>
          <w:szCs w:val="24"/>
          <w:u w:val="single"/>
        </w:rPr>
        <w:lastRenderedPageBreak/>
        <w:t xml:space="preserve">manera adecuada” las ventajas del Tratado. En un </w:t>
      </w:r>
      <w:hyperlink r:id="rId87" w:tgtFrame="_blank" w:history="1">
        <w:r w:rsidRPr="001B666C">
          <w:rPr>
            <w:rStyle w:val="Hipervnculo"/>
            <w:rFonts w:ascii="Times New Roman" w:hAnsi="Times New Roman" w:cs="Times New Roman"/>
            <w:color w:val="auto"/>
            <w:sz w:val="24"/>
            <w:szCs w:val="24"/>
          </w:rPr>
          <w:t>documento filtrado</w:t>
        </w:r>
      </w:hyperlink>
      <w:r w:rsidRPr="001B666C">
        <w:rPr>
          <w:rFonts w:ascii="Times New Roman" w:hAnsi="Times New Roman" w:cs="Times New Roman"/>
          <w:sz w:val="24"/>
          <w:szCs w:val="24"/>
          <w:u w:val="single"/>
        </w:rPr>
        <w:t xml:space="preserve"> se refleja el contexto del TTIP, los retos principales de su comunicación, así como los mensajes y objetivos sobre los que debe de girar el discurso de las partes interesadas en su firma.</w:t>
      </w:r>
    </w:p>
    <w:p w:rsidR="000369FD" w:rsidRDefault="000369FD" w:rsidP="000369FD">
      <w:pPr>
        <w:shd w:val="clear" w:color="auto" w:fill="FFFFFF"/>
        <w:spacing w:after="225" w:line="240" w:lineRule="auto"/>
        <w:jc w:val="both"/>
        <w:rPr>
          <w:rFonts w:ascii="Times New Roman" w:hAnsi="Times New Roman" w:cs="Times New Roman"/>
          <w:sz w:val="24"/>
          <w:szCs w:val="24"/>
          <w:u w:val="single"/>
        </w:rPr>
      </w:pPr>
      <w:r w:rsidRPr="001B666C">
        <w:rPr>
          <w:rFonts w:ascii="Times New Roman" w:hAnsi="Times New Roman" w:cs="Times New Roman"/>
          <w:sz w:val="24"/>
          <w:szCs w:val="24"/>
          <w:u w:val="single"/>
        </w:rPr>
        <w:t xml:space="preserve">Como afirma el Premio Nobel Paul Krugman en el </w:t>
      </w:r>
      <w:hyperlink r:id="rId88" w:tgtFrame="_blank" w:history="1">
        <w:r w:rsidRPr="001B666C">
          <w:rPr>
            <w:rStyle w:val="Hipervnculo"/>
            <w:rFonts w:ascii="Times New Roman" w:hAnsi="Times New Roman" w:cs="Times New Roman"/>
            <w:i/>
            <w:iCs/>
            <w:color w:val="auto"/>
            <w:sz w:val="24"/>
            <w:szCs w:val="24"/>
          </w:rPr>
          <w:t>New York Times</w:t>
        </w:r>
      </w:hyperlink>
      <w:r w:rsidRPr="001B666C">
        <w:rPr>
          <w:rFonts w:ascii="Times New Roman" w:hAnsi="Times New Roman" w:cs="Times New Roman"/>
          <w:sz w:val="24"/>
          <w:szCs w:val="24"/>
          <w:u w:val="single"/>
        </w:rPr>
        <w:t>. “Hay razones para apoyar este Tratado y razones para oponerse a él. Pero cuando la Cámara de Comercio de Estados Unidos hace de un acuerdo muy complicado su gran prioridad, y ofrece falsedades para justificarlo, deberíamos sospechar de que hay asuntos perversos ocultos en la letra pequeña”.</w:t>
      </w:r>
    </w:p>
    <w:p w:rsidR="000369FD" w:rsidRPr="00902806" w:rsidRDefault="000369FD" w:rsidP="000369FD">
      <w:pPr>
        <w:shd w:val="clear" w:color="auto" w:fill="FFFFFF"/>
        <w:spacing w:after="36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902806">
        <w:rPr>
          <w:rFonts w:ascii="Times New Roman" w:hAnsi="Times New Roman" w:cs="Times New Roman"/>
          <w:color w:val="000000"/>
          <w:sz w:val="24"/>
          <w:szCs w:val="24"/>
          <w:u w:val="single"/>
        </w:rPr>
        <w:t>El Europarlamento pedirá a la Comisión que negocie de nuevo el tratado con EEUU</w:t>
      </w:r>
      <w:r>
        <w:rPr>
          <w:rFonts w:ascii="Times New Roman" w:hAnsi="Times New Roman" w:cs="Times New Roman"/>
          <w:color w:val="000000"/>
          <w:sz w:val="24"/>
          <w:szCs w:val="24"/>
        </w:rPr>
        <w:t xml:space="preserve"> (Vozpópuli - </w:t>
      </w:r>
      <w:r w:rsidRPr="00902806">
        <w:rPr>
          <w:rFonts w:ascii="Times New Roman" w:hAnsi="Times New Roman" w:cs="Times New Roman"/>
          <w:b/>
          <w:color w:val="000000"/>
          <w:sz w:val="24"/>
          <w:szCs w:val="24"/>
        </w:rPr>
        <w:t>8/3/15</w:t>
      </w:r>
      <w:r>
        <w:rPr>
          <w:rFonts w:ascii="Times New Roman" w:hAnsi="Times New Roman" w:cs="Times New Roman"/>
          <w:color w:val="000000"/>
          <w:sz w:val="24"/>
          <w:szCs w:val="24"/>
        </w:rPr>
        <w:t>)</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Un documento en discusión en el Parlamento Europeo fija límites a la negociación con EEUU para un tratado de libre comercio y le advierte de que los servicios básicos no se tocan.</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Un documento elaborado en el Parlamento Europeo y al que Vozpópuli ha tenido acceso advierte contra el secretismo con el que se están realizando las negociaciones entre la Comisión Europea que negocia los tratados de libre comercio con Estados Unidos y Canadá y avisa de que ese carácter secreto “en el pasado ha dado lugar a deficiencias en términos de control democrático del proceso de negociación”</w:t>
      </w:r>
      <w:r w:rsidRPr="00787092">
        <w:rPr>
          <w:rFonts w:ascii="Times New Roman" w:hAnsi="Times New Roman" w:cs="Times New Roman"/>
          <w:sz w:val="24"/>
          <w:szCs w:val="24"/>
        </w:rPr>
        <w:t xml:space="preserve">. </w:t>
      </w:r>
      <w:r w:rsidRPr="00787092">
        <w:rPr>
          <w:rFonts w:ascii="Times New Roman" w:hAnsi="Times New Roman" w:cs="Times New Roman"/>
          <w:sz w:val="24"/>
          <w:szCs w:val="24"/>
          <w:u w:val="single"/>
        </w:rPr>
        <w:t>El Europarlamento va a pedir a la Comisión, entre otras cosas, que no se toquen los “servicios conflictivos” y esenciales de utilidad pública, tales como el agua, la sanidad, la seguridad social y la educación. Es decir, que no se privaticen, tal y como parece exigir Estados Unidos a puerta cerrada.</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Este documento, titulado “Recomendaciones del Parlamento Europeo a la Comisión relativas a las negociaciones de la Asociación Transatlántica de Comercio e Inversión (ATCI)”, aunque en fase de “proyecto de informe” en tanto no se apruebe por el Parlamento, es importantísimo, porque el legislativo fija a la Comisión límites a sus negociaciones con Estados Unidos y le recuerda explícitamente que cualquier tratado que afecte a Europa tiene que ser aprobado por esta Cámara. Es decir, que no le garantiza el voto afirmativo al texto final si sigue con su política de secretismo y huye de las recomendaciones que este documento contiene.</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rPr>
        <w:t xml:space="preserve">Es más, el documento advierte que el Parlamento Europeo “tiene derecho a expresar su posición sobre el acuerdo en cualquier fase de las negociaciones” y dice claramente lo siguiente: “El informe del Parlamento debería contribuir a un nuevo comienzo de las negociaciones, ahora que ya se ha formado la nueva Comisión y después de las elecciones a mitad de mandato en los Estados Unidos”. </w:t>
      </w:r>
      <w:r w:rsidRPr="00787092">
        <w:rPr>
          <w:rFonts w:ascii="Times New Roman" w:hAnsi="Times New Roman" w:cs="Times New Roman"/>
          <w:sz w:val="24"/>
          <w:szCs w:val="24"/>
          <w:u w:val="single"/>
        </w:rPr>
        <w:t>Es decir, que le dice a la Comisión que es mejor no correr y empezar de nuevo las negociaciones, pero respetando determinados principios. Hay que decir que la Comisión Europea y Estados Unidos mantienen negociaciones en secreto desde hace más de año y medio.</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Otro de los puntos más importantes del documento del Europarlamento es el relativo a garantizar los servicios públicos que tienen que ver con pensiones, sanidad o educación, las tres enormes áreas en las que las grandes empresas europeas y norteamericanas quieren meter la mano. El documento hace al respecto la siguiente “recomendación”:</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lastRenderedPageBreak/>
        <w:t>•“(vi) garantizar una disociación adecuada de servicios conflictivos como los servicios públicos y los servicios esenciales de utilidad pública (agua, salud, sistemas de seguridad social y educación), que conceda a las autoridades nacionales y locales margen de maniobra suficiente para legislar en favor del interés público; una declaración conjunta que refleje el compromiso claro de las partes negociantes de excluir estos sectores de las negociaciones resultaría muy útil en este sentido”.</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Este párrafo es de extraordinaria importancia y repercusión, porque los borradores conocidos hasta ahora de las negociaciones del TTIP (por sus siglas en inglés) apuestan por la vía del intento de privatización de esos servicios públicos, que mueven ingentes cantidades de dinero del sector público y que quiere captar el sector privado.</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rPr>
      </w:pPr>
      <w:r w:rsidRPr="00787092">
        <w:rPr>
          <w:rFonts w:ascii="Times New Roman" w:hAnsi="Times New Roman" w:cs="Times New Roman"/>
          <w:sz w:val="24"/>
          <w:szCs w:val="24"/>
        </w:rPr>
        <w:t>En ese sentido, el documento advierte a la Comisión Europea en uno de sus párrafos lo siguiente:</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•“Dadas las muchas voces críticas de la opinión pública europea y ante la debilidad de la aceptación pública del acuerdo en negociación, el Parlamento seguirá presionando para alcanzar el más alto nivel posible de transparencia y garantizará que se adopte sólo un buen acuerdo, un acuerdo que respete los valores europeos, estimule el crecimiento sostenible y contribuya al bienestar de todos los ciudadanos”.</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Entre los puntos más importantes del documento figura el combinar las negociaciones de acceso a los mercados en relación con los servicios financieros con la convergencia de los reglamentos financieros a fin de respaldar las actividades de cooperación en marcha en otros foros internacionales, como el Comité de Supervisión Bancaria de Basilea. Se trata de que haya un control exhaustivo que imposibilite o al menos dificulte una crisis financiera como la que hemos vivido.</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También se exigen compromisos sobre protección de datos; protección del sector audiovisual y servicios culturales; se tenga en cuenta “el enorme interés por parte de las empresas europeas en la obtención de acceso a los contratos públicos en los EEUU”, o garantizar que el capítulo de cooperación normativa promueva un entorno económico favorable a la competencia a través de la facilitación del comercio y la inversión, “al tiempo que se desarrolla y garantiza un elevado nivel de protección en materia de sanidad y seguridad, laboral, de los consumidores, a la legislación medioambiental y la diversidad cultural que existen en la UE”.</w:t>
      </w:r>
    </w:p>
    <w:p w:rsidR="000369FD" w:rsidRPr="00787092" w:rsidRDefault="000369FD" w:rsidP="000369FD">
      <w:pPr>
        <w:shd w:val="clear" w:color="auto" w:fill="FFFFFF"/>
        <w:spacing w:after="360" w:line="240" w:lineRule="auto"/>
        <w:jc w:val="both"/>
        <w:rPr>
          <w:rFonts w:ascii="Times New Roman" w:hAnsi="Times New Roman" w:cs="Times New Roman"/>
          <w:sz w:val="24"/>
          <w:szCs w:val="24"/>
          <w:u w:val="single"/>
        </w:rPr>
      </w:pPr>
      <w:r w:rsidRPr="00787092">
        <w:rPr>
          <w:rFonts w:ascii="Times New Roman" w:hAnsi="Times New Roman" w:cs="Times New Roman"/>
          <w:sz w:val="24"/>
          <w:szCs w:val="24"/>
          <w:u w:val="single"/>
        </w:rPr>
        <w:t>Otros puntos están referidos a respetar los sistemas de reglamentación establecidos a ambos lados del Atlántico, así como el papel del Parlamento Europeo en el proceso de toma de decisiones de la UE, o “garantizar que el capítulo de desarrollo sostenible tiene como objetivo la ratificación, aplicación y cumplimiento plenos y eficaces de los ocho convenios fundamentales de la Organización Internacional del Trabajo (OIT) y de su contenido, el Programa de Trabajo Decente de la OIT y los acuerdos internacionales fundamentales en materia de medio ambiente”.</w:t>
      </w:r>
    </w:p>
    <w:p w:rsidR="000369FD" w:rsidRPr="001B666C" w:rsidRDefault="000369FD" w:rsidP="000369FD">
      <w:pPr>
        <w:shd w:val="clear" w:color="auto" w:fill="FFFFFF"/>
        <w:spacing w:after="225" w:line="240" w:lineRule="auto"/>
        <w:jc w:val="both"/>
        <w:rPr>
          <w:rFonts w:ascii="Times New Roman" w:hAnsi="Times New Roman" w:cs="Times New Roman"/>
          <w:sz w:val="24"/>
          <w:szCs w:val="24"/>
          <w:u w:val="single"/>
        </w:rPr>
      </w:pPr>
    </w:p>
    <w:p w:rsidR="004265B7" w:rsidRDefault="004265B7" w:rsidP="000369FD">
      <w:pPr>
        <w:shd w:val="clear" w:color="auto" w:fill="FFFFFF"/>
        <w:spacing w:after="225" w:line="240" w:lineRule="auto"/>
        <w:jc w:val="both"/>
        <w:rPr>
          <w:rFonts w:ascii="Times New Roman" w:hAnsi="Times New Roman" w:cs="Times New Roman"/>
          <w:sz w:val="24"/>
          <w:szCs w:val="24"/>
        </w:rPr>
      </w:pPr>
    </w:p>
    <w:p w:rsidR="000369FD" w:rsidRDefault="000369FD" w:rsidP="000369FD">
      <w:pPr>
        <w:shd w:val="clear" w:color="auto" w:fill="FFFFFF"/>
        <w:spacing w:after="225" w:line="24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lastRenderedPageBreak/>
        <w:t xml:space="preserve">- </w:t>
      </w:r>
      <w:r w:rsidRPr="00080BA8">
        <w:rPr>
          <w:rFonts w:ascii="Times New Roman" w:hAnsi="Times New Roman" w:cs="Times New Roman"/>
          <w:b/>
          <w:color w:val="000000"/>
          <w:sz w:val="24"/>
          <w:szCs w:val="24"/>
        </w:rPr>
        <w:t>L</w:t>
      </w:r>
      <w:r>
        <w:rPr>
          <w:rFonts w:ascii="Times New Roman" w:hAnsi="Times New Roman" w:cs="Times New Roman"/>
          <w:b/>
          <w:color w:val="000000"/>
          <w:sz w:val="24"/>
          <w:szCs w:val="24"/>
        </w:rPr>
        <w:t>a opinión de l</w:t>
      </w:r>
      <w:r w:rsidRPr="00080BA8">
        <w:rPr>
          <w:rFonts w:ascii="Times New Roman" w:hAnsi="Times New Roman" w:cs="Times New Roman"/>
          <w:b/>
          <w:color w:val="000000"/>
          <w:sz w:val="24"/>
          <w:szCs w:val="24"/>
        </w:rPr>
        <w:t>os que saben…</w:t>
      </w:r>
      <w:r>
        <w:rPr>
          <w:rFonts w:ascii="Times New Roman" w:hAnsi="Times New Roman" w:cs="Times New Roman"/>
          <w:b/>
          <w:color w:val="000000"/>
          <w:sz w:val="24"/>
          <w:szCs w:val="24"/>
        </w:rPr>
        <w:t xml:space="preserve"> (supuestamente)</w:t>
      </w:r>
    </w:p>
    <w:p w:rsidR="000369FD" w:rsidRDefault="000369FD" w:rsidP="000369FD">
      <w:pPr>
        <w:shd w:val="clear" w:color="auto" w:fill="FFFFFF"/>
        <w:spacing w:after="225" w:line="240" w:lineRule="auto"/>
        <w:jc w:val="both"/>
        <w:rPr>
          <w:rFonts w:ascii="Times New Roman" w:hAnsi="Times New Roman" w:cs="Times New Roman"/>
          <w:b/>
          <w:color w:val="000000"/>
          <w:sz w:val="24"/>
          <w:szCs w:val="24"/>
        </w:rPr>
      </w:pPr>
      <w:r>
        <w:rPr>
          <w:rFonts w:ascii="Helvetica" w:hAnsi="Helvetica" w:cs="Helvetica"/>
          <w:noProof/>
          <w:color w:val="666666"/>
          <w:sz w:val="21"/>
          <w:szCs w:val="21"/>
          <w:lang w:eastAsia="es-ES"/>
        </w:rPr>
        <w:drawing>
          <wp:inline distT="0" distB="0" distL="0" distR="0" wp14:anchorId="1E21094E" wp14:editId="746EC67B">
            <wp:extent cx="5397500" cy="2508250"/>
            <wp:effectExtent l="0" t="0" r="0" b="6350"/>
            <wp:docPr id="7" name="Imagen 7" descr="Transatlantic Trade and Investment Partnership - TTIP. Blog Elc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ransatlantic Trade and Investment Partnership - TTIP. Blog Elcano"/>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400040" cy="2509430"/>
                    </a:xfrm>
                    <a:prstGeom prst="rect">
                      <a:avLst/>
                    </a:prstGeom>
                    <a:noFill/>
                    <a:ln>
                      <a:noFill/>
                    </a:ln>
                  </pic:spPr>
                </pic:pic>
              </a:graphicData>
            </a:graphic>
          </wp:inline>
        </w:drawing>
      </w:r>
    </w:p>
    <w:p w:rsidR="000369FD" w:rsidRPr="005B7D88"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5B7D88">
        <w:rPr>
          <w:rFonts w:ascii="Times New Roman" w:hAnsi="Times New Roman" w:cs="Times New Roman"/>
          <w:color w:val="000000"/>
          <w:sz w:val="24"/>
          <w:szCs w:val="24"/>
        </w:rPr>
        <w:t>¿</w:t>
      </w:r>
      <w:r w:rsidRPr="00437B07">
        <w:rPr>
          <w:rFonts w:ascii="Times New Roman" w:hAnsi="Times New Roman" w:cs="Times New Roman"/>
          <w:color w:val="000000"/>
          <w:sz w:val="24"/>
          <w:szCs w:val="24"/>
          <w:u w:val="single"/>
        </w:rPr>
        <w:t>Una mala apuesta comercial de Europa</w:t>
      </w:r>
      <w:r w:rsidRPr="005B7D88">
        <w:rPr>
          <w:rFonts w:ascii="Times New Roman" w:hAnsi="Times New Roman" w:cs="Times New Roman"/>
          <w:color w:val="000000"/>
          <w:sz w:val="24"/>
          <w:szCs w:val="24"/>
        </w:rPr>
        <w:t>?</w:t>
      </w:r>
      <w:r>
        <w:rPr>
          <w:rFonts w:ascii="Times New Roman" w:hAnsi="Times New Roman" w:cs="Times New Roman"/>
          <w:color w:val="000000"/>
          <w:sz w:val="24"/>
          <w:szCs w:val="24"/>
        </w:rPr>
        <w:t xml:space="preserve"> (Project Syndicate - </w:t>
      </w:r>
      <w:r w:rsidRPr="005B7D88">
        <w:rPr>
          <w:rFonts w:ascii="Times New Roman" w:hAnsi="Times New Roman" w:cs="Times New Roman"/>
          <w:b/>
          <w:color w:val="000000"/>
          <w:sz w:val="24"/>
          <w:szCs w:val="24"/>
        </w:rPr>
        <w:t>11/7/13</w:t>
      </w:r>
      <w:r>
        <w:rPr>
          <w:rFonts w:ascii="Times New Roman" w:hAnsi="Times New Roman" w:cs="Times New Roman"/>
          <w:color w:val="000000"/>
          <w:sz w:val="24"/>
          <w:szCs w:val="24"/>
        </w:rPr>
        <w:t>)</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Pr>
          <w:rFonts w:ascii="Times New Roman" w:hAnsi="Times New Roman" w:cs="Times New Roman"/>
          <w:color w:val="000000"/>
          <w:sz w:val="24"/>
          <w:szCs w:val="24"/>
        </w:rPr>
        <w:t>Paris.-</w:t>
      </w:r>
      <w:r w:rsidRPr="005B7D88">
        <w:rPr>
          <w:rFonts w:ascii="Times New Roman" w:hAnsi="Times New Roman" w:cs="Times New Roman"/>
          <w:color w:val="000000"/>
          <w:sz w:val="24"/>
          <w:szCs w:val="24"/>
        </w:rPr>
        <w:t xml:space="preserve"> </w:t>
      </w:r>
      <w:r w:rsidRPr="00BC5A07">
        <w:rPr>
          <w:rFonts w:ascii="Times New Roman" w:hAnsi="Times New Roman" w:cs="Times New Roman"/>
          <w:color w:val="000000"/>
          <w:sz w:val="24"/>
          <w:szCs w:val="24"/>
          <w:u w:val="single"/>
        </w:rPr>
        <w:t>El inicio de negociaciones para un acuerdo de libre comercio entre la Unión Europea y Estados Unidos -que recibió el nombre oficial de Alianza Transatlántica de Comercio e Inversión (TTIP por su sigla en inglés)- marca un punto de inflexión fundamental para la UE y el comercio mundial</w:t>
      </w:r>
      <w:r w:rsidRPr="005B7D88">
        <w:rPr>
          <w:rFonts w:ascii="Times New Roman" w:hAnsi="Times New Roman" w:cs="Times New Roman"/>
          <w:color w:val="000000"/>
          <w:sz w:val="24"/>
          <w:szCs w:val="24"/>
        </w:rPr>
        <w:t xml:space="preserve">. También consolida el alejamiento de ambas partes de la política de comercio multilateral en los últimos años. </w:t>
      </w:r>
      <w:r w:rsidRPr="00BC5A07">
        <w:rPr>
          <w:rFonts w:ascii="Times New Roman" w:hAnsi="Times New Roman" w:cs="Times New Roman"/>
          <w:color w:val="FF0000"/>
          <w:sz w:val="24"/>
          <w:szCs w:val="24"/>
          <w:u w:val="single"/>
        </w:rPr>
        <w:t xml:space="preserve">Puede que sea la decisión apropiada para Estados Unidos, pero podría implicar un problema serio para Europa. </w:t>
      </w:r>
    </w:p>
    <w:p w:rsidR="000369FD" w:rsidRPr="00BC5A07"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BC5A07">
        <w:rPr>
          <w:rFonts w:ascii="Times New Roman" w:hAnsi="Times New Roman" w:cs="Times New Roman"/>
          <w:color w:val="000000"/>
          <w:sz w:val="24"/>
          <w:szCs w:val="24"/>
          <w:u w:val="single"/>
        </w:rPr>
        <w:t xml:space="preserve">En los últimos 50 años, la UE, que representa apenas el 7% de la población global, ha logrado mantener una posición comercial excepcionalmente fuerte, a pesar del ascenso de mercados emergentes como China. De modo que, si bien Estados Unidos y Japón vieron caer sus respectivas participaciones en las exportaciones globales, la cuota de la UE se mantuvo estable, en aproximadamente el 20%. </w:t>
      </w:r>
    </w:p>
    <w:p w:rsidR="000369FD" w:rsidRPr="00BC5A07"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BC5A07">
        <w:rPr>
          <w:rFonts w:ascii="Times New Roman" w:hAnsi="Times New Roman" w:cs="Times New Roman"/>
          <w:color w:val="000000"/>
          <w:sz w:val="24"/>
          <w:szCs w:val="24"/>
          <w:u w:val="single"/>
        </w:rPr>
        <w:t xml:space="preserve">De hecho, el poder comercial de la UE contrasta marcadamente con la percepción de una Europa debilitada. Más importante aún, para lograrlo, Europa no hizo más que invertir fuertemente en un sistema comercial multilateral a través del GATT y luego de la Organización Mundial de Comercio. </w:t>
      </w:r>
    </w:p>
    <w:p w:rsidR="000369FD" w:rsidRPr="005B7D88" w:rsidRDefault="000369FD" w:rsidP="000369FD">
      <w:pPr>
        <w:shd w:val="clear" w:color="auto" w:fill="FFFFFF"/>
        <w:spacing w:after="225" w:line="240" w:lineRule="auto"/>
        <w:jc w:val="both"/>
        <w:rPr>
          <w:rFonts w:ascii="Times New Roman" w:hAnsi="Times New Roman" w:cs="Times New Roman"/>
          <w:color w:val="000000"/>
          <w:sz w:val="24"/>
          <w:szCs w:val="24"/>
        </w:rPr>
      </w:pPr>
      <w:r w:rsidRPr="00BC5A07">
        <w:rPr>
          <w:rFonts w:ascii="Times New Roman" w:hAnsi="Times New Roman" w:cs="Times New Roman"/>
          <w:color w:val="FF0000"/>
          <w:sz w:val="24"/>
          <w:szCs w:val="24"/>
          <w:u w:val="single"/>
        </w:rPr>
        <w:t>Y, sin embargo, si bien la UE le debe mucho al sistema de comercio multilateral, desde 2006 también se inclinó por el bilateralismo, logrando sus mayores éxitos con los acuerdos de libre comercio con América Latina y Corea del Sur.</w:t>
      </w:r>
      <w:r w:rsidRPr="005B7D88">
        <w:rPr>
          <w:rFonts w:ascii="Times New Roman" w:hAnsi="Times New Roman" w:cs="Times New Roman"/>
          <w:color w:val="000000"/>
          <w:sz w:val="24"/>
          <w:szCs w:val="24"/>
        </w:rPr>
        <w:t xml:space="preserve"> Un acuerdo con Canadá hoy es factible (aunque las negociaciones bilaterales con la India parecen haberse estancado, probablemente porque los indios no creen que un acuerdo de libre comercio los vaya a ayudar mucho).</w:t>
      </w:r>
    </w:p>
    <w:p w:rsidR="000369FD" w:rsidRPr="00BC5A07"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BC5A07">
        <w:rPr>
          <w:rFonts w:ascii="Times New Roman" w:hAnsi="Times New Roman" w:cs="Times New Roman"/>
          <w:color w:val="000000"/>
          <w:sz w:val="24"/>
          <w:szCs w:val="24"/>
          <w:u w:val="single"/>
        </w:rPr>
        <w:t xml:space="preserve">Oficialmente, la UE considera que una estrategia comercial bilateral es perfectamente compatible con un retorno al multilateralismo. Pero los hechos lo contradicen. </w:t>
      </w:r>
    </w:p>
    <w:p w:rsidR="000369FD" w:rsidRPr="005B7D88" w:rsidRDefault="000369FD" w:rsidP="000369FD">
      <w:pPr>
        <w:shd w:val="clear" w:color="auto" w:fill="FFFFFF"/>
        <w:spacing w:after="225" w:line="240" w:lineRule="auto"/>
        <w:jc w:val="both"/>
        <w:rPr>
          <w:rFonts w:ascii="Times New Roman" w:hAnsi="Times New Roman" w:cs="Times New Roman"/>
          <w:color w:val="000000"/>
          <w:sz w:val="24"/>
          <w:szCs w:val="24"/>
        </w:rPr>
      </w:pPr>
      <w:r w:rsidRPr="00BC5A07">
        <w:rPr>
          <w:rFonts w:ascii="Times New Roman" w:hAnsi="Times New Roman" w:cs="Times New Roman"/>
          <w:color w:val="FF0000"/>
          <w:sz w:val="24"/>
          <w:szCs w:val="24"/>
          <w:u w:val="single"/>
        </w:rPr>
        <w:t>En primer lugar, es evidente que el bilateralismo está creciendo y que el multilateralismo se desvanece</w:t>
      </w:r>
      <w:r w:rsidRPr="005B7D88">
        <w:rPr>
          <w:rFonts w:ascii="Times New Roman" w:hAnsi="Times New Roman" w:cs="Times New Roman"/>
          <w:color w:val="000000"/>
          <w:sz w:val="24"/>
          <w:szCs w:val="24"/>
        </w:rPr>
        <w:t xml:space="preserve">. </w:t>
      </w:r>
      <w:r w:rsidRPr="00BC5A07">
        <w:rPr>
          <w:rFonts w:ascii="Times New Roman" w:hAnsi="Times New Roman" w:cs="Times New Roman"/>
          <w:color w:val="000000"/>
          <w:sz w:val="24"/>
          <w:szCs w:val="24"/>
          <w:u w:val="single"/>
        </w:rPr>
        <w:t xml:space="preserve">Desde 2008, cuando colapsó la Ronda Doha de conversaciones de libre comercio global de la OMC, los europeos demostraron ser incapaces de volver a traer a </w:t>
      </w:r>
      <w:r w:rsidRPr="00BC5A07">
        <w:rPr>
          <w:rFonts w:ascii="Times New Roman" w:hAnsi="Times New Roman" w:cs="Times New Roman"/>
          <w:color w:val="000000"/>
          <w:sz w:val="24"/>
          <w:szCs w:val="24"/>
          <w:u w:val="single"/>
        </w:rPr>
        <w:lastRenderedPageBreak/>
        <w:t>Estados Unidos, China y la India a la mesa de negociaciones multilaterales. Más importante aún, dejaron de intentarlo, evidentemente.</w:t>
      </w:r>
      <w:r w:rsidRPr="005B7D88">
        <w:rPr>
          <w:rFonts w:ascii="Times New Roman" w:hAnsi="Times New Roman" w:cs="Times New Roman"/>
          <w:color w:val="000000"/>
          <w:sz w:val="24"/>
          <w:szCs w:val="24"/>
        </w:rPr>
        <w:t xml:space="preserve"> Esto se refleja en la reticencia de la UE a presionar a los mercados emergentes a ser parte del Acuerdo sobre Contratación Pública multilateral de la OMC, como si hubiera aceptado que esta cuestión sólo se puede resolver bilateralmente.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 xml:space="preserve">Es más, desde 2008, la política comercial de Estados Unidos deliberadamente abandonó el multilateralismo con la intención de contener a China mediante una estrategia dual: la Alianza Transpacífica (TPP) y la TTIP. La razón para este cambio es simple: Estados Unidos  ya no tiene el poder para fijar las reglas del sistema de comercio global, pero se considera lo suficientemente fuerte como para sortearlas.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000000"/>
          <w:sz w:val="24"/>
          <w:szCs w:val="24"/>
          <w:u w:val="single"/>
        </w:rPr>
        <w:t xml:space="preserve">La UE en parte comparte aquí el objetivo estratégico de Estados Unidos, porque también tiene quejas contra las potencias emergentes en términos de acceso al mercado, cumplimiento de los derechos de propiedad intelectual, acceso a la contratación pública y subsidios a las compañías estatales. </w:t>
      </w:r>
      <w:r w:rsidRPr="00BC5A07">
        <w:rPr>
          <w:rFonts w:ascii="Times New Roman" w:hAnsi="Times New Roman" w:cs="Times New Roman"/>
          <w:color w:val="FF0000"/>
          <w:sz w:val="24"/>
          <w:szCs w:val="24"/>
          <w:u w:val="single"/>
        </w:rPr>
        <w:t xml:space="preserve">Pero Europa debe evitar una alineación con este nuevo foco comercial de Estados Unidos, de por sí estrecho, por varios motivos. </w:t>
      </w:r>
    </w:p>
    <w:p w:rsidR="000369FD" w:rsidRPr="00BC5A07"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BC5A07">
        <w:rPr>
          <w:rFonts w:ascii="Times New Roman" w:hAnsi="Times New Roman" w:cs="Times New Roman"/>
          <w:color w:val="FF0000"/>
          <w:sz w:val="24"/>
          <w:szCs w:val="24"/>
          <w:u w:val="single"/>
        </w:rPr>
        <w:t>Primero, Europa no tiene una estrategia asiática o un equivalente de la TPP</w:t>
      </w:r>
      <w:r w:rsidRPr="005B7D88">
        <w:rPr>
          <w:rFonts w:ascii="Times New Roman" w:hAnsi="Times New Roman" w:cs="Times New Roman"/>
          <w:color w:val="000000"/>
          <w:sz w:val="24"/>
          <w:szCs w:val="24"/>
        </w:rPr>
        <w:t xml:space="preserve">. </w:t>
      </w:r>
      <w:r w:rsidRPr="00BC5A07">
        <w:rPr>
          <w:rFonts w:ascii="Times New Roman" w:hAnsi="Times New Roman" w:cs="Times New Roman"/>
          <w:color w:val="000000"/>
          <w:sz w:val="24"/>
          <w:szCs w:val="24"/>
          <w:u w:val="single"/>
        </w:rPr>
        <w:t xml:space="preserve">Está claro que un acuerdo entre la UE y Japón sería muy beneficioso para Europa y reduciría las ventajas de Estados Unidos en Asia. Pero si Estados Unidos cierra la TPP antes de que los europeos sellen un acuerdo con Japón, el poder de negociación del gobierno japonés frente a la UE automáticamente aumentaría. En este sentido, tanto para Estados Unidos como para Europa, un acuerdo con Japón sería la medida clave del éxito o el fracaso del bilateralismo.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 xml:space="preserve">Segundo, y más importante, Estados Unidos es una potencia político-militar además de ser una potencia económica. En consecuencia, el cálculo comercial de sus socios siempre estará influenciado por consideraciones estratégicas, que no gravitan cuando tratan con Europa.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 xml:space="preserve">Esto es especialmente relevante con respecto a China. Estados Unidos muy claramente quiere frenar a China elevando los estándares comerciales globales. Pero, si consideraciones geopolíticas más amplias llevaran a estos dos países a un acuerdo, Europa podría salir perjudicada.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 xml:space="preserve">Algo similar sucedió durante la conferencia sobre cambio climático en Copenhague en 2009, donde Estados Unidos y China decidieron oponerse a un acuerdo global integral, dejando claramente de lado a Europa. De la misma manera, Estados Unidos no tiene ningún interés real en revitalizar las negociaciones de comercio multilaterales, porque el bilateralismo es mucho más efectivo a la hora de obtener concesiones de las potencias emergentes.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Europa no tiene ni los mismos intereses geopolíticos que Estados Unidos ni, más importante, los mismos recursos, lo que implica que está mucho más interesado en que se revitalice el comercio multilateral. De hecho, la proliferación de acuerdos bilaterales, con sus propios mecanismos para resolver las diferencias, inevitablemente debilitarán el mecanismo de resolución de conflictos de la OMC, minando aún más el multilateralismo.</w:t>
      </w:r>
    </w:p>
    <w:p w:rsidR="000369FD" w:rsidRPr="005B7D88" w:rsidRDefault="000369FD" w:rsidP="000369FD">
      <w:pPr>
        <w:shd w:val="clear" w:color="auto" w:fill="FFFFFF"/>
        <w:spacing w:after="225" w:line="240" w:lineRule="auto"/>
        <w:jc w:val="both"/>
        <w:rPr>
          <w:rFonts w:ascii="Times New Roman" w:hAnsi="Times New Roman" w:cs="Times New Roman"/>
          <w:color w:val="000000"/>
          <w:sz w:val="24"/>
          <w:szCs w:val="24"/>
        </w:rPr>
      </w:pPr>
      <w:r w:rsidRPr="005B7D88">
        <w:rPr>
          <w:rFonts w:ascii="Times New Roman" w:hAnsi="Times New Roman" w:cs="Times New Roman"/>
          <w:color w:val="000000"/>
          <w:sz w:val="24"/>
          <w:szCs w:val="24"/>
        </w:rPr>
        <w:t xml:space="preserve">La necesidad de revivir el multilateralismo cobra mayor importancia si se considera que las negociaciones entre la UE y Estados Unidos probablemente sean difíciles y prolongadas, debido sobre todo a la resistencia de los reguladores europeos y </w:t>
      </w:r>
      <w:r w:rsidRPr="005B7D88">
        <w:rPr>
          <w:rFonts w:ascii="Times New Roman" w:hAnsi="Times New Roman" w:cs="Times New Roman"/>
          <w:color w:val="000000"/>
          <w:sz w:val="24"/>
          <w:szCs w:val="24"/>
        </w:rPr>
        <w:lastRenderedPageBreak/>
        <w:t xml:space="preserve">norteamericanos. Los reguladores europeos ya han decidido ajustar las condiciones para autorizar organismos genéticamente modificados, como para demostrarles a los negociadores comerciales de Estados Unidos que no se apartarán fácilmente de las posiciones en las que se sienten cómodos.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 xml:space="preserve">Ahora que se han lanzado oficialmente las conversaciones de la TTIP, Europa debe intentar obtener los mejores términos posibles. Sobre todo, la UE debe aceptar que el comercio global es un juego político despiadado, que se rige según una regla primordial: mantener todas las opciones abiertas en todo momento.  </w:t>
      </w:r>
    </w:p>
    <w:p w:rsidR="000369FD" w:rsidRPr="001B666C"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lang w:val="en-US"/>
        </w:rPr>
        <w:t>(</w:t>
      </w:r>
      <w:r w:rsidRPr="005B7D88">
        <w:rPr>
          <w:rFonts w:ascii="Times New Roman" w:hAnsi="Times New Roman" w:cs="Times New Roman"/>
          <w:color w:val="000000"/>
          <w:sz w:val="24"/>
          <w:szCs w:val="24"/>
          <w:lang w:val="en-US"/>
        </w:rPr>
        <w:t xml:space="preserve">Zaki Laïdi is Professor of International Relations at L'Institut d’études politiques de Paris (Sciences Po). </w:t>
      </w:r>
      <w:r w:rsidRPr="001B666C">
        <w:rPr>
          <w:rFonts w:ascii="Times New Roman" w:hAnsi="Times New Roman" w:cs="Times New Roman"/>
          <w:color w:val="000000"/>
          <w:sz w:val="24"/>
          <w:szCs w:val="24"/>
        </w:rPr>
        <w:t>His most recent book is Le reflux de l'Europe)</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437B07">
        <w:rPr>
          <w:rFonts w:ascii="Times New Roman" w:hAnsi="Times New Roman" w:cs="Times New Roman"/>
          <w:color w:val="000000"/>
          <w:sz w:val="24"/>
          <w:szCs w:val="24"/>
        </w:rPr>
        <w:t xml:space="preserve">- </w:t>
      </w:r>
      <w:r w:rsidRPr="00437B07">
        <w:rPr>
          <w:rFonts w:ascii="Times New Roman" w:hAnsi="Times New Roman" w:cs="Times New Roman"/>
          <w:color w:val="000000"/>
          <w:sz w:val="24"/>
          <w:szCs w:val="24"/>
          <w:u w:val="single"/>
        </w:rPr>
        <w:t>El comercio transatlántico se torna global</w:t>
      </w:r>
      <w:r>
        <w:rPr>
          <w:rFonts w:ascii="Times New Roman" w:hAnsi="Times New Roman" w:cs="Times New Roman"/>
          <w:color w:val="000000"/>
          <w:sz w:val="24"/>
          <w:szCs w:val="24"/>
        </w:rPr>
        <w:t xml:space="preserve"> (Project Syndicate - </w:t>
      </w:r>
      <w:r w:rsidRPr="00437B07">
        <w:rPr>
          <w:rFonts w:ascii="Times New Roman" w:hAnsi="Times New Roman" w:cs="Times New Roman"/>
          <w:b/>
          <w:color w:val="000000"/>
          <w:sz w:val="24"/>
          <w:szCs w:val="24"/>
        </w:rPr>
        <w:t>16/7/13</w:t>
      </w:r>
      <w:r>
        <w:rPr>
          <w:rFonts w:ascii="Times New Roman" w:hAnsi="Times New Roman" w:cs="Times New Roman"/>
          <w:color w:val="000000"/>
          <w:sz w:val="24"/>
          <w:szCs w:val="24"/>
        </w:rPr>
        <w:t>)</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437B07">
        <w:rPr>
          <w:rFonts w:ascii="Times New Roman" w:hAnsi="Times New Roman" w:cs="Times New Roman"/>
          <w:color w:val="000000"/>
          <w:sz w:val="24"/>
          <w:szCs w:val="24"/>
        </w:rPr>
        <w:t>S</w:t>
      </w:r>
      <w:r>
        <w:rPr>
          <w:rFonts w:ascii="Times New Roman" w:hAnsi="Times New Roman" w:cs="Times New Roman"/>
          <w:color w:val="000000"/>
          <w:sz w:val="24"/>
          <w:szCs w:val="24"/>
        </w:rPr>
        <w:t>tanford.-</w:t>
      </w:r>
      <w:r w:rsidRPr="00437B07">
        <w:rPr>
          <w:rFonts w:ascii="Times New Roman" w:hAnsi="Times New Roman" w:cs="Times New Roman"/>
          <w:color w:val="000000"/>
          <w:sz w:val="24"/>
          <w:szCs w:val="24"/>
        </w:rPr>
        <w:t xml:space="preserve"> </w:t>
      </w:r>
      <w:r w:rsidRPr="00BC5A07">
        <w:rPr>
          <w:rFonts w:ascii="Times New Roman" w:hAnsi="Times New Roman" w:cs="Times New Roman"/>
          <w:color w:val="FF0000"/>
          <w:sz w:val="24"/>
          <w:szCs w:val="24"/>
          <w:u w:val="single"/>
        </w:rPr>
        <w:t>Han comenzado las negociaciones entre Estados Unidos y la Unión Europea para el Acuerdo Transatlántico sobre Comercio e Inversión (ATCI), que puede convertirse en el mayor acuerdo de libre comercio regional de la historia. En caso de tener éxito, abarcaría más del 40 % del PBI mundial y representaría una gran parte del comercio y la inversión directa extranjera del mundo</w:t>
      </w:r>
      <w:r>
        <w:rPr>
          <w:rFonts w:ascii="Times New Roman" w:hAnsi="Times New Roman" w:cs="Times New Roman"/>
          <w:color w:val="000000"/>
          <w:sz w:val="24"/>
          <w:szCs w:val="24"/>
        </w:rPr>
        <w:t>. EEUU</w:t>
      </w:r>
      <w:r w:rsidRPr="00437B07">
        <w:rPr>
          <w:rFonts w:ascii="Times New Roman" w:hAnsi="Times New Roman" w:cs="Times New Roman"/>
          <w:color w:val="000000"/>
          <w:sz w:val="24"/>
          <w:szCs w:val="24"/>
        </w:rPr>
        <w:t xml:space="preserve"> y la UE han fijado una ambiciosa meta: completar las negociaciones a fines de 2014. Históricamente, sin embargo, la concreción de la mayoría de los acuerdos comerciales ha requerido mucho más tiempo.</w:t>
      </w:r>
    </w:p>
    <w:p w:rsidR="000369FD" w:rsidRPr="00BC5A07"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BC5A07">
        <w:rPr>
          <w:rFonts w:ascii="Times New Roman" w:hAnsi="Times New Roman" w:cs="Times New Roman"/>
          <w:color w:val="000000"/>
          <w:sz w:val="24"/>
          <w:szCs w:val="24"/>
          <w:u w:val="single"/>
        </w:rPr>
        <w:t xml:space="preserve">La escala del ATCI es enorme. Con el ingreso de Croacia a principios de julio, la UE incluye ahora 28 estados miembros, cada uno con su conjunto particular de intereses especiales, que presionan en favor o en contra del comercio según sus ventajas comparativas, su historia y su poder político local. </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FF0000"/>
          <w:sz w:val="24"/>
          <w:szCs w:val="24"/>
          <w:u w:val="single"/>
        </w:rPr>
        <w:t>Además, el alcance deseado del acuerdo es vasto y eso complica aún más el proceso. La ATCI eliminaría todos los aranceles comerciales y reduciría las barreras no arancelarias, incluidas las agrícolas; ampliaría el acceso a los mercados en el comercio de servicios; lograría la armonización regulatoria; fortalecería la protección de la propiedad intelectual; restringiría los subsidios a empresas estatales; y más. Todo esto garantiza negociaciones difíciles; de hecho, Francia ya ha exigido y recibido una “excepción cultural” para el cine y la televisión.</w:t>
      </w:r>
    </w:p>
    <w:p w:rsidR="000369FD" w:rsidRPr="00BC5A07"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BC5A07">
        <w:rPr>
          <w:rFonts w:ascii="Times New Roman" w:hAnsi="Times New Roman" w:cs="Times New Roman"/>
          <w:color w:val="000000"/>
          <w:sz w:val="24"/>
          <w:szCs w:val="24"/>
          <w:u w:val="single"/>
        </w:rPr>
        <w:t>La ampliación del comercio mejora los ingresos, en promedio, en todos los países que participan</w:t>
      </w:r>
      <w:r w:rsidRPr="00437B07">
        <w:rPr>
          <w:rFonts w:ascii="Times New Roman" w:hAnsi="Times New Roman" w:cs="Times New Roman"/>
          <w:color w:val="000000"/>
          <w:sz w:val="24"/>
          <w:szCs w:val="24"/>
        </w:rPr>
        <w:t xml:space="preserve">. </w:t>
      </w:r>
      <w:r w:rsidRPr="00BC5A07">
        <w:rPr>
          <w:rFonts w:ascii="Times New Roman" w:hAnsi="Times New Roman" w:cs="Times New Roman"/>
          <w:color w:val="FF0000"/>
          <w:sz w:val="24"/>
          <w:szCs w:val="24"/>
          <w:u w:val="single"/>
        </w:rPr>
        <w:t>Los economistas estiman que el libre comercio mundial</w:t>
      </w:r>
      <w:r w:rsidRPr="00437B07">
        <w:rPr>
          <w:rFonts w:ascii="Times New Roman" w:hAnsi="Times New Roman" w:cs="Times New Roman"/>
          <w:color w:val="000000"/>
          <w:sz w:val="24"/>
          <w:szCs w:val="24"/>
        </w:rPr>
        <w:t xml:space="preserve">, favorecido por varias rondas exitosas de negociaciones multilaterales (la más reciente ha sido la Ronda Uruguay, que culminó en el establecimiento de la Organización Mundial del Comercio), </w:t>
      </w:r>
      <w:r w:rsidRPr="00BC5A07">
        <w:rPr>
          <w:rFonts w:ascii="Times New Roman" w:hAnsi="Times New Roman" w:cs="Times New Roman"/>
          <w:color w:val="FF0000"/>
          <w:sz w:val="24"/>
          <w:szCs w:val="24"/>
          <w:u w:val="single"/>
        </w:rPr>
        <w:t>ha impulsado sustancialmente el ingreso mundial.</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BC5A07">
        <w:rPr>
          <w:rFonts w:ascii="Times New Roman" w:hAnsi="Times New Roman" w:cs="Times New Roman"/>
          <w:color w:val="000000"/>
          <w:sz w:val="24"/>
          <w:szCs w:val="24"/>
          <w:u w:val="single"/>
        </w:rPr>
        <w:t>Los acuerdos regionales de libre comercio (ALC), como la ATCI, tienen el mismo efecto, pero algunos de los beneficios pueden generarse a expensas de otros socios comerciales</w:t>
      </w:r>
      <w:r w:rsidRPr="00437B07">
        <w:rPr>
          <w:rFonts w:ascii="Times New Roman" w:hAnsi="Times New Roman" w:cs="Times New Roman"/>
          <w:color w:val="000000"/>
          <w:sz w:val="24"/>
          <w:szCs w:val="24"/>
        </w:rPr>
        <w:t>. En cada país, a pesar de las ganancias netas, también hay algunos perdedores. La mejor forma de ocuparse de las preocupaciones económicas, políticas y humanitarias que surgen de los acuerdos comerciales es mediante reglas de transición, apoyo temporal al ingreso y capacitación, no a través de barreras proteccionistas.</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 xml:space="preserve">Los beneficios de estos pactos provienen de diversos factores, el más importante de ellos es la ventaja comparativa: los países se especializan en producir los bienes y servicios en </w:t>
      </w:r>
      <w:r w:rsidRPr="00173C43">
        <w:rPr>
          <w:rFonts w:ascii="Times New Roman" w:hAnsi="Times New Roman" w:cs="Times New Roman"/>
          <w:color w:val="FF0000"/>
          <w:sz w:val="24"/>
          <w:szCs w:val="24"/>
          <w:u w:val="single"/>
        </w:rPr>
        <w:lastRenderedPageBreak/>
        <w:t>los que son relativamente más eficientes, y los intercambian por otros. Las economías de escala y otros factores también son importantes.</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437B07">
        <w:rPr>
          <w:rFonts w:ascii="Times New Roman" w:hAnsi="Times New Roman" w:cs="Times New Roman"/>
          <w:color w:val="000000"/>
          <w:sz w:val="24"/>
          <w:szCs w:val="24"/>
        </w:rPr>
        <w:t>A medida que se reduce la liberalización del comercio, tamb</w:t>
      </w:r>
      <w:r>
        <w:rPr>
          <w:rFonts w:ascii="Times New Roman" w:hAnsi="Times New Roman" w:cs="Times New Roman"/>
          <w:color w:val="000000"/>
          <w:sz w:val="24"/>
          <w:szCs w:val="24"/>
        </w:rPr>
        <w:t>ién lo hacen los beneficios -</w:t>
      </w:r>
      <w:r w:rsidRPr="00437B07">
        <w:rPr>
          <w:rFonts w:ascii="Times New Roman" w:hAnsi="Times New Roman" w:cs="Times New Roman"/>
          <w:color w:val="000000"/>
          <w:sz w:val="24"/>
          <w:szCs w:val="24"/>
        </w:rPr>
        <w:t xml:space="preserve">más que proporcionalmente. </w:t>
      </w:r>
      <w:r w:rsidRPr="00173C43">
        <w:rPr>
          <w:rFonts w:ascii="Times New Roman" w:hAnsi="Times New Roman" w:cs="Times New Roman"/>
          <w:color w:val="FF0000"/>
          <w:sz w:val="24"/>
          <w:szCs w:val="24"/>
          <w:u w:val="single"/>
        </w:rPr>
        <w:t>Las estimaciones de los beneficios anuales que proporcionaría la implementación completa de la ATCI son de $160 mil millones para la UE y $128 mil millones para EEUU.</w:t>
      </w:r>
      <w:r w:rsidRPr="00437B07">
        <w:rPr>
          <w:rFonts w:ascii="Times New Roman" w:hAnsi="Times New Roman" w:cs="Times New Roman"/>
          <w:color w:val="000000"/>
          <w:sz w:val="24"/>
          <w:szCs w:val="24"/>
        </w:rPr>
        <w:t xml:space="preserve"> </w:t>
      </w:r>
      <w:r w:rsidRPr="00173C43">
        <w:rPr>
          <w:rFonts w:ascii="Times New Roman" w:hAnsi="Times New Roman" w:cs="Times New Roman"/>
          <w:color w:val="FF0000"/>
          <w:sz w:val="24"/>
          <w:szCs w:val="24"/>
          <w:u w:val="single"/>
        </w:rPr>
        <w:t>El primer ministro británico, David Cameron, predice la creación de dos millones de nuevos puestos de trabajo</w:t>
      </w:r>
      <w:r w:rsidRPr="00437B07">
        <w:rPr>
          <w:rFonts w:ascii="Times New Roman" w:hAnsi="Times New Roman" w:cs="Times New Roman"/>
          <w:color w:val="000000"/>
          <w:sz w:val="24"/>
          <w:szCs w:val="24"/>
        </w:rPr>
        <w:t>. Y un impulso no inflacionario al crecimiento de una economía mundial debilitada sería especialmente oportuno.</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Pero el diablo está en los detalles. Los aranceles ya son modestos en general, así que los beneficios de una mayor reducción también lo serían. Es fundamental eliminar las barreras no arancelarias, como las normas y restricciones localizadas que no se basan en preocupaciones científicamente legítimas sobre la seguridad o la salud, a pesar de la presión política para mantenerlas o aumentarlas. Limitar el alcance del comercio y la inversión que cubre la ATCI reduciría de igual manera los beneficios.</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437B07">
        <w:rPr>
          <w:rFonts w:ascii="Times New Roman" w:hAnsi="Times New Roman" w:cs="Times New Roman"/>
          <w:color w:val="000000"/>
          <w:sz w:val="24"/>
          <w:szCs w:val="24"/>
        </w:rPr>
        <w:t>Las negociaciones comerciales se tornan entonces amplias y profundas, o estrechas y limitadas. El TLCAN, por ejemplo, siguió el primero de esos caminos y aumentó en gr</w:t>
      </w:r>
      <w:r>
        <w:rPr>
          <w:rFonts w:ascii="Times New Roman" w:hAnsi="Times New Roman" w:cs="Times New Roman"/>
          <w:color w:val="000000"/>
          <w:sz w:val="24"/>
          <w:szCs w:val="24"/>
        </w:rPr>
        <w:t>an medida el comercio entre EEUU</w:t>
      </w:r>
      <w:r w:rsidRPr="00437B07">
        <w:rPr>
          <w:rFonts w:ascii="Times New Roman" w:hAnsi="Times New Roman" w:cs="Times New Roman"/>
          <w:color w:val="000000"/>
          <w:sz w:val="24"/>
          <w:szCs w:val="24"/>
        </w:rPr>
        <w:t>, Canadá y México. Su imitador, el SAFTA (Tratado de Libre Comercio del Sur de Asia), avanzó lentamente en la reducción de los aranceles y la lista de exclusiones, por lo que India firmó ALC bilaterales con Bangladesh y Sri Lanka.</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000000"/>
          <w:sz w:val="24"/>
          <w:szCs w:val="24"/>
          <w:u w:val="single"/>
        </w:rPr>
        <w:t>La ATCI se está dividiendo en 15 grupos de trabajo específicos. Si bien las negociaciones son nuevas, las cuestiones que separan a ambas partes son de larga data y ampliamente conocidas</w:t>
      </w:r>
      <w:r w:rsidRPr="00437B07">
        <w:rPr>
          <w:rFonts w:ascii="Times New Roman" w:hAnsi="Times New Roman" w:cs="Times New Roman"/>
          <w:color w:val="000000"/>
          <w:sz w:val="24"/>
          <w:szCs w:val="24"/>
        </w:rPr>
        <w:t xml:space="preserve">. </w:t>
      </w:r>
      <w:r w:rsidRPr="00173C43">
        <w:rPr>
          <w:rFonts w:ascii="Times New Roman" w:hAnsi="Times New Roman" w:cs="Times New Roman"/>
          <w:color w:val="FF0000"/>
          <w:sz w:val="24"/>
          <w:szCs w:val="24"/>
          <w:u w:val="single"/>
        </w:rPr>
        <w:t>Una de las más difíciles es la limitación de la UE a las importaciones de alimentos genéticamente modificados, que presenta un gran problema para la agricultura estadounidense. Otra es la regulación financiera, para la cual los bancos estadounidenses prefieren las reglas europeas al marco más acotado a que deben ajustarse en casa (como los mayores requisitos de capital para los grandes bancos, recientemente propuestos por los reguladores financieros estadounidenses).</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Hay muchos otros desacuerdos importantes que se interponen a un acuerdo integral. Por ejemplo, las empresas farmacéuticas estadounidenses gozan de una mayor protección para la propiedad intelectual en su país que en la UE. El entretenimiento será cada vez más polémico por la distribución en línea de películas. Y la anacrónica Ley Jones de 1920 exige que las cargas transportadas entre puertos estadounidenses solo sean enviadas en barcos de ese país (recuerden la confusión sobre la posibilidad de que barcos extranjeros ayudaran durante el derrame de petróleo de BP en el Golfo). Las normas de seguridad y restricciones sobre el control extranjero de empresas en industrias sensibles también son temas adicionales de disputa.</w:t>
      </w:r>
    </w:p>
    <w:p w:rsidR="000369FD" w:rsidRPr="00173C43"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173C43">
        <w:rPr>
          <w:rFonts w:ascii="Times New Roman" w:hAnsi="Times New Roman" w:cs="Times New Roman"/>
          <w:color w:val="000000"/>
          <w:sz w:val="24"/>
          <w:szCs w:val="24"/>
          <w:u w:val="single"/>
        </w:rPr>
        <w:t>La ATCI no afecta solo a EEUU y la UE. México ya tiene un ALC con la UE y Canadá está negociando uno. En algún punto, el TLCAN y la ATCI tendrán que ser armonizados.</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173C43">
        <w:rPr>
          <w:rFonts w:ascii="Times New Roman" w:hAnsi="Times New Roman" w:cs="Times New Roman"/>
          <w:color w:val="FF0000"/>
          <w:sz w:val="24"/>
          <w:szCs w:val="24"/>
          <w:u w:val="single"/>
        </w:rPr>
        <w:t>Mientras tanto, los restantes países del mundo -que representan más de la mitad del PBI y el grueso del comercio y la IED mundiales- se preguntan cómo afectará la ATCI a cada uno de ellos</w:t>
      </w:r>
      <w:r w:rsidRPr="00437B07">
        <w:rPr>
          <w:rFonts w:ascii="Times New Roman" w:hAnsi="Times New Roman" w:cs="Times New Roman"/>
          <w:color w:val="000000"/>
          <w:sz w:val="24"/>
          <w:szCs w:val="24"/>
        </w:rPr>
        <w:t xml:space="preserve">. Una posibilidad, sugerida por quien fue mi colega, la exrepresentante de Comercio de Estados Unidos, Carla Hills, es que una ATCI exitosa implicaría un significativo impulso para reavivar la moribunda Ronda de Doha de negociaciones para </w:t>
      </w:r>
      <w:r w:rsidRPr="00437B07">
        <w:rPr>
          <w:rFonts w:ascii="Times New Roman" w:hAnsi="Times New Roman" w:cs="Times New Roman"/>
          <w:color w:val="000000"/>
          <w:sz w:val="24"/>
          <w:szCs w:val="24"/>
        </w:rPr>
        <w:lastRenderedPageBreak/>
        <w:t>el libre comercio mundial. La Ronda Uruguay recibió un impulso similar poco después de la firma del TLCAN.</w:t>
      </w:r>
    </w:p>
    <w:p w:rsidR="000369FD" w:rsidRPr="00437B07" w:rsidRDefault="000369FD" w:rsidP="000369FD">
      <w:pPr>
        <w:shd w:val="clear" w:color="auto" w:fill="FFFFFF"/>
        <w:spacing w:after="225" w:line="240" w:lineRule="auto"/>
        <w:jc w:val="both"/>
        <w:rPr>
          <w:rFonts w:ascii="Times New Roman" w:hAnsi="Times New Roman" w:cs="Times New Roman"/>
          <w:color w:val="000000"/>
          <w:sz w:val="24"/>
          <w:szCs w:val="24"/>
        </w:rPr>
      </w:pPr>
      <w:r w:rsidRPr="00173C43">
        <w:rPr>
          <w:rFonts w:ascii="Times New Roman" w:hAnsi="Times New Roman" w:cs="Times New Roman"/>
          <w:color w:val="000000"/>
          <w:sz w:val="24"/>
          <w:szCs w:val="24"/>
          <w:u w:val="single"/>
        </w:rPr>
        <w:t>Todos, en todas partes, están interesados por los avances de las negociaciones para la ATCI y en cómo los afectará en última instancia</w:t>
      </w:r>
      <w:r w:rsidRPr="00437B07">
        <w:rPr>
          <w:rFonts w:ascii="Times New Roman" w:hAnsi="Times New Roman" w:cs="Times New Roman"/>
          <w:color w:val="000000"/>
          <w:sz w:val="24"/>
          <w:szCs w:val="24"/>
        </w:rPr>
        <w:t>. Para tomar un ejemplo simple, normas más razonables en la UE sobre las importaciones de productos agrícolas estadounidenses genéticamente modificados, si se traducen con un adecuado y cuidadoso control a África, podrían implicar un tremendo impulso para la agricultura de ese continente. El fracaso de los avances sobre este tema en las negociaciones para la ATCI casi seguramente bloquearía los alimentos genéticamente modificados en África.</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Cuestiones similares surgen en un sector tras otro y una regulación tras otra. Podemos esperar, pero de ninguna manera garantizar, que los detalles que se acuerden al finalizar las negociaciones para la ATCI justifiquen el entusiasmo de sus inicios.</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w:t>
      </w:r>
      <w:r w:rsidRPr="00437B07">
        <w:rPr>
          <w:rFonts w:ascii="Times New Roman" w:hAnsi="Times New Roman" w:cs="Times New Roman"/>
          <w:color w:val="000000"/>
          <w:sz w:val="24"/>
          <w:szCs w:val="24"/>
          <w:lang w:val="en-US"/>
        </w:rPr>
        <w:t>Michael J. Boskin is Professor of Economics at Stanford University and Senior Fellow at the Hoover Institution. He was Chairman of George H. W. Bush’s Council of Economic Advisers from 1989 to 1993, and headed the so-called Boskin Commission, a congressional advisory body that highlighted errors in …</w:t>
      </w:r>
      <w:r>
        <w:rPr>
          <w:rFonts w:ascii="Times New Roman" w:hAnsi="Times New Roman" w:cs="Times New Roman"/>
          <w:color w:val="000000"/>
          <w:sz w:val="24"/>
          <w:szCs w:val="24"/>
          <w:lang w:val="en-US"/>
        </w:rPr>
        <w:t>)</w:t>
      </w:r>
    </w:p>
    <w:p w:rsidR="000369FD" w:rsidRDefault="000369FD" w:rsidP="000369FD">
      <w:pPr>
        <w:shd w:val="clear" w:color="auto" w:fill="FFFFFF"/>
        <w:spacing w:after="225" w:line="240" w:lineRule="auto"/>
        <w:jc w:val="both"/>
        <w:rPr>
          <w:rFonts w:ascii="Times New Roman" w:hAnsi="Times New Roman" w:cs="Times New Roman"/>
          <w:b/>
          <w:color w:val="000000"/>
          <w:sz w:val="24"/>
          <w:szCs w:val="24"/>
        </w:rPr>
      </w:pPr>
      <w:r w:rsidRPr="0081458D">
        <w:rPr>
          <w:rFonts w:ascii="Times New Roman" w:hAnsi="Times New Roman" w:cs="Times New Roman"/>
          <w:color w:val="000000"/>
          <w:sz w:val="24"/>
          <w:szCs w:val="24"/>
        </w:rPr>
        <w:t xml:space="preserve">- </w:t>
      </w:r>
      <w:r w:rsidRPr="0081458D">
        <w:rPr>
          <w:rFonts w:ascii="Times New Roman" w:hAnsi="Times New Roman" w:cs="Times New Roman"/>
          <w:color w:val="000000"/>
          <w:sz w:val="24"/>
          <w:szCs w:val="24"/>
          <w:u w:val="single"/>
        </w:rPr>
        <w:t>Carrera de obstáculos en el Atlántico Norte</w:t>
      </w:r>
      <w:r>
        <w:rPr>
          <w:rFonts w:ascii="Times New Roman" w:hAnsi="Times New Roman" w:cs="Times New Roman"/>
          <w:color w:val="000000"/>
          <w:sz w:val="24"/>
          <w:szCs w:val="24"/>
        </w:rPr>
        <w:t xml:space="preserve"> (elcato.org - </w:t>
      </w:r>
      <w:r w:rsidRPr="0081458D">
        <w:rPr>
          <w:rFonts w:ascii="Times New Roman" w:hAnsi="Times New Roman" w:cs="Times New Roman"/>
          <w:b/>
          <w:color w:val="000000"/>
          <w:sz w:val="24"/>
          <w:szCs w:val="24"/>
        </w:rPr>
        <w:t>25/7/13</w:t>
      </w:r>
      <w:r>
        <w:rPr>
          <w:rFonts w:ascii="Times New Roman" w:hAnsi="Times New Roman" w:cs="Times New Roman"/>
          <w:b/>
          <w:color w:val="000000"/>
          <w:sz w:val="24"/>
          <w:szCs w:val="24"/>
        </w:rPr>
        <w:t>)</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81458D">
        <w:rPr>
          <w:rFonts w:ascii="Times New Roman" w:hAnsi="Times New Roman" w:cs="Times New Roman"/>
          <w:color w:val="000000"/>
          <w:sz w:val="24"/>
          <w:szCs w:val="24"/>
        </w:rPr>
        <w:t>(Por</w:t>
      </w:r>
      <w:r>
        <w:rPr>
          <w:rFonts w:ascii="Times New Roman" w:hAnsi="Times New Roman" w:cs="Times New Roman"/>
          <w:b/>
          <w:color w:val="000000"/>
          <w:sz w:val="24"/>
          <w:szCs w:val="24"/>
        </w:rPr>
        <w:t xml:space="preserve"> </w:t>
      </w:r>
      <w:r w:rsidRPr="0081458D">
        <w:rPr>
          <w:rFonts w:ascii="Times New Roman" w:hAnsi="Times New Roman" w:cs="Times New Roman"/>
          <w:color w:val="000000"/>
          <w:sz w:val="24"/>
          <w:szCs w:val="24"/>
        </w:rPr>
        <w:t>Pedro Schwartz</w:t>
      </w: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 xml:space="preserve">  </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173C43">
        <w:rPr>
          <w:rFonts w:ascii="Times New Roman" w:hAnsi="Times New Roman" w:cs="Times New Roman"/>
          <w:color w:val="000000"/>
          <w:sz w:val="24"/>
          <w:szCs w:val="24"/>
          <w:u w:val="single"/>
        </w:rPr>
        <w:t xml:space="preserve">En su Discurso sobre el Estado de la Unión del pasado febrero, el presidente Obama dio carácter oficial a una iniciativa debatida desde hacía tiempo entre los defensores del libre comercio: crear un área sin barreras en el Atlántico Norte para el intercambio de bienes, servicios y capitales. </w:t>
      </w:r>
      <w:r w:rsidRPr="00173C43">
        <w:rPr>
          <w:rFonts w:ascii="Times New Roman" w:hAnsi="Times New Roman" w:cs="Times New Roman"/>
          <w:color w:val="000000"/>
          <w:sz w:val="24"/>
          <w:szCs w:val="24"/>
          <w:u w:val="single"/>
          <w:lang w:val="en-US"/>
        </w:rPr>
        <w:t>La llamó Transatlantic Trade and Investment Partnership with the European Union (TTIP).</w:t>
      </w:r>
      <w:r w:rsidRPr="0081458D">
        <w:rPr>
          <w:rFonts w:ascii="Times New Roman" w:hAnsi="Times New Roman" w:cs="Times New Roman"/>
          <w:color w:val="000000"/>
          <w:sz w:val="24"/>
          <w:szCs w:val="24"/>
          <w:lang w:val="en-US"/>
        </w:rPr>
        <w:t xml:space="preserve"> </w:t>
      </w:r>
      <w:r w:rsidRPr="00173C43">
        <w:rPr>
          <w:rFonts w:ascii="Times New Roman" w:hAnsi="Times New Roman" w:cs="Times New Roman"/>
          <w:color w:val="FF0000"/>
          <w:sz w:val="24"/>
          <w:szCs w:val="24"/>
          <w:u w:val="single"/>
        </w:rPr>
        <w:t>Para Obama, se trata de “forjar una alianza económica con Europa tan fuerte como nuestra alianza militar y política”.</w:t>
      </w:r>
      <w:r w:rsidRPr="00173C43">
        <w:rPr>
          <w:rFonts w:ascii="Times New Roman" w:hAnsi="Times New Roman" w:cs="Times New Roman"/>
          <w:color w:val="FF0000"/>
          <w:sz w:val="24"/>
          <w:szCs w:val="24"/>
        </w:rPr>
        <w:t xml:space="preserve"> </w:t>
      </w:r>
      <w:r w:rsidRPr="00173C43">
        <w:rPr>
          <w:rFonts w:ascii="Times New Roman" w:hAnsi="Times New Roman" w:cs="Times New Roman"/>
          <w:color w:val="000000"/>
          <w:sz w:val="24"/>
          <w:szCs w:val="24"/>
          <w:u w:val="single"/>
        </w:rPr>
        <w:t>Es una gran idea que ha despertado el entusiasmo de las autoridades europeas, pero que se enfrenta con grandes obstáculos muy difíciles de superar.</w:t>
      </w:r>
      <w:r w:rsidRPr="0081458D">
        <w:rPr>
          <w:rFonts w:ascii="Times New Roman" w:hAnsi="Times New Roman" w:cs="Times New Roman"/>
          <w:color w:val="000000"/>
          <w:sz w:val="24"/>
          <w:szCs w:val="24"/>
        </w:rPr>
        <w:t xml:space="preserve"> A ello s</w:t>
      </w:r>
      <w:r>
        <w:rPr>
          <w:rFonts w:ascii="Times New Roman" w:hAnsi="Times New Roman" w:cs="Times New Roman"/>
          <w:color w:val="000000"/>
          <w:sz w:val="24"/>
          <w:szCs w:val="24"/>
        </w:rPr>
        <w:t>e añade que el presidente de EEUU</w:t>
      </w:r>
      <w:r w:rsidRPr="0081458D">
        <w:rPr>
          <w:rFonts w:ascii="Times New Roman" w:hAnsi="Times New Roman" w:cs="Times New Roman"/>
          <w:color w:val="000000"/>
          <w:sz w:val="24"/>
          <w:szCs w:val="24"/>
        </w:rPr>
        <w:t xml:space="preserve"> ve un posible acuerdo con Europa como una marca o recordatorio de su mandato: por ello, ha fijado un plazo brevísimo para conseguirlo. ¿Será capaz de conseguir la firma de un pacto significativo nada menos que para octubre de 2014? En todo caso, las negociaciones entr</w:t>
      </w:r>
      <w:r>
        <w:rPr>
          <w:rFonts w:ascii="Times New Roman" w:hAnsi="Times New Roman" w:cs="Times New Roman"/>
          <w:color w:val="000000"/>
          <w:sz w:val="24"/>
          <w:szCs w:val="24"/>
        </w:rPr>
        <w:t>e Dan Mullaney, por parte de EEUU</w:t>
      </w:r>
      <w:r w:rsidRPr="0081458D">
        <w:rPr>
          <w:rFonts w:ascii="Times New Roman" w:hAnsi="Times New Roman" w:cs="Times New Roman"/>
          <w:color w:val="000000"/>
          <w:sz w:val="24"/>
          <w:szCs w:val="24"/>
        </w:rPr>
        <w:t>, e Ignacio García Bermejo, por la europea, se pusieron en marcha el 8 de julio pasado: la celeridad está a la orden del día.</w:t>
      </w:r>
    </w:p>
    <w:p w:rsidR="000369FD"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La relación económica entre EEUU y Europa ya es profunda y productiva. Se calcula que cada día se intercambian bienes y servicios por valor de 2.100 millones de euros, lo equivalente a un tercio del comercio mundial diario. En 2011, los países de la UE dirigieron a EEUU el 17% de todas sus exportaciones de bienes y el 24% de las de servicios; e importaron de la gran República Americana el 11% y el 17%, respectivamente. La importancia que prestan las empresas europeas a su presencia en EEUU puede juzgarse por el hecho de que los individuos y las empresas europeas tienen a su haber el 62,7% de todas las inversiones extranjeras directas (es decir, excluidas las financieras) en EEUU; y el empleo directo total creado por filiales europeas y estadounidenses en el “otro lado del charco” supone nada menos que 13 millones de personas.</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p>
    <w:p w:rsidR="000369FD" w:rsidRPr="00363D32" w:rsidRDefault="000369FD" w:rsidP="000369FD">
      <w:pPr>
        <w:shd w:val="clear" w:color="auto" w:fill="FFFFFF"/>
        <w:spacing w:after="225" w:line="240" w:lineRule="auto"/>
        <w:jc w:val="both"/>
        <w:rPr>
          <w:rFonts w:ascii="Times New Roman" w:hAnsi="Times New Roman" w:cs="Times New Roman"/>
          <w:color w:val="000000"/>
          <w:sz w:val="24"/>
          <w:szCs w:val="24"/>
        </w:rPr>
      </w:pPr>
      <w:r w:rsidRPr="00363D32">
        <w:rPr>
          <w:rFonts w:ascii="Times New Roman" w:hAnsi="Times New Roman" w:cs="Times New Roman"/>
          <w:color w:val="000000"/>
          <w:sz w:val="24"/>
          <w:szCs w:val="24"/>
        </w:rPr>
        <w:lastRenderedPageBreak/>
        <w:t>Prosperidad</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000000"/>
          <w:sz w:val="24"/>
          <w:szCs w:val="24"/>
          <w:u w:val="single"/>
        </w:rPr>
        <w:t>Sobre esta base, el esfuerzo de liberación buscado con tal Iniciativa resultaría en una multiplicación extraordinaria de la prosperidad en Europa y EEUU</w:t>
      </w: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 xml:space="preserve"> </w:t>
      </w:r>
      <w:r w:rsidRPr="00173C43">
        <w:rPr>
          <w:rFonts w:ascii="Times New Roman" w:hAnsi="Times New Roman" w:cs="Times New Roman"/>
          <w:color w:val="FF0000"/>
          <w:sz w:val="24"/>
          <w:szCs w:val="24"/>
          <w:u w:val="single"/>
        </w:rPr>
        <w:t>En un Informe de 2011 del Centro de Relaciones Transatlánticas (CTR) se cifra el aumento del comercio tras acordar un “arancel 0” en un 18% anual para la UE y un 17% para EEUU. Si además de esa reducción de los aranceles se consiguiera una convergencia en los sistemas y criterios de regulación de ambos partenaires, las exportaciones de la UE podrían crecer un 2,1% más y las de EEUU un 6,1%.</w:t>
      </w:r>
      <w:r w:rsidRPr="0081458D">
        <w:rPr>
          <w:rFonts w:ascii="Times New Roman" w:hAnsi="Times New Roman" w:cs="Times New Roman"/>
          <w:color w:val="000000"/>
          <w:sz w:val="24"/>
          <w:szCs w:val="24"/>
        </w:rPr>
        <w:t xml:space="preserve"> </w:t>
      </w:r>
      <w:r w:rsidRPr="00173C43">
        <w:rPr>
          <w:rFonts w:ascii="Times New Roman" w:hAnsi="Times New Roman" w:cs="Times New Roman"/>
          <w:color w:val="FF0000"/>
          <w:sz w:val="24"/>
          <w:szCs w:val="24"/>
          <w:u w:val="single"/>
        </w:rPr>
        <w:t>Una cifra aún más llamativa de ese estudio es la mejora permanente de los ingresos de los hogares europeos y estadounidenses traídos por la liberación: a lo largo de su vida de trabajo, los hogares europeos podrían ingresar unos 14.000 euros más año tras año y los de EEUU unos 8.400 euros. Además, si los negociadores consiguen evitar la trampa de excluir el resto del mundo de tal Iniciativa, el efecto positivo ser extendería por todo el mundo.</w:t>
      </w:r>
    </w:p>
    <w:p w:rsidR="000369FD" w:rsidRPr="00173C43"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173C43">
        <w:rPr>
          <w:rFonts w:ascii="Times New Roman" w:hAnsi="Times New Roman" w:cs="Times New Roman"/>
          <w:color w:val="FF0000"/>
          <w:sz w:val="24"/>
          <w:szCs w:val="24"/>
          <w:u w:val="single"/>
        </w:rPr>
        <w:t xml:space="preserve">Las dificultades para conseguir la liberación de los intercambios y la convergencia de las regulaciones son grandes, sin embargo. Así, en el terreno agrícola, la opinión europea se opone decididamente a la importación de carne de ganados engordados con antibióticos, así como al consumo de productos vegetales genéticamente mejorados, como la soja o maíz transgénicos. </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173C43">
        <w:rPr>
          <w:rFonts w:ascii="Times New Roman" w:hAnsi="Times New Roman" w:cs="Times New Roman"/>
          <w:color w:val="FF0000"/>
          <w:sz w:val="24"/>
          <w:szCs w:val="24"/>
          <w:u w:val="single"/>
        </w:rPr>
        <w:t>Por su parte, EEUU mantiene una protección de sus azucareros aún más decidida que la europea; ambas zonas permiten la entrada de azúcares de países del tercer mundo, lo que supone más “chinitas” en el camino. Más temibles aún son las barreras no tradicionales nacidas de reglas divergentes en materia de estándares de seguridad, de protección de los consumidores o de compras por parte de instituciones públicas</w:t>
      </w:r>
      <w:r w:rsidRPr="0081458D">
        <w:rPr>
          <w:rFonts w:ascii="Times New Roman" w:hAnsi="Times New Roman" w:cs="Times New Roman"/>
          <w:color w:val="000000"/>
          <w:sz w:val="24"/>
          <w:szCs w:val="24"/>
        </w:rPr>
        <w:t xml:space="preserve">. </w:t>
      </w:r>
      <w:r w:rsidRPr="00173C43">
        <w:rPr>
          <w:rFonts w:ascii="Times New Roman" w:hAnsi="Times New Roman" w:cs="Times New Roman"/>
          <w:color w:val="000000"/>
          <w:sz w:val="24"/>
          <w:szCs w:val="24"/>
          <w:u w:val="single"/>
        </w:rPr>
        <w:t>Baste con señalar la distinta manera que tienen las autoridades de las dos orillas de defender la competencia y enfrentarse con los oligopolios: los estadounidenses lo hacen por medio de los tribunales de justicia, los europeos por regulación e intervención administrativa.</w:t>
      </w:r>
      <w:r w:rsidRPr="0081458D">
        <w:rPr>
          <w:rFonts w:ascii="Times New Roman" w:hAnsi="Times New Roman" w:cs="Times New Roman"/>
          <w:color w:val="000000"/>
          <w:sz w:val="24"/>
          <w:szCs w:val="24"/>
        </w:rPr>
        <w:t xml:space="preserve"> Por eso, la “reserva cultural” exigida por Francia para su industria audiovisual es el menor de los problemas con los que se enfrentan los negociadores.</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81458D">
        <w:rPr>
          <w:rFonts w:ascii="Times New Roman" w:hAnsi="Times New Roman" w:cs="Times New Roman"/>
          <w:color w:val="000000"/>
          <w:sz w:val="24"/>
          <w:szCs w:val="24"/>
        </w:rPr>
        <w:t>Conscientes de lo escarpado del camino y lo breve del plazo, los americanos hablan de que, una vez firmado algo significativo en octubre de 2014,</w:t>
      </w:r>
      <w:r>
        <w:rPr>
          <w:rFonts w:ascii="Times New Roman" w:hAnsi="Times New Roman" w:cs="Times New Roman"/>
          <w:color w:val="000000"/>
          <w:sz w:val="24"/>
          <w:szCs w:val="24"/>
        </w:rPr>
        <w:t xml:space="preserve"> se continúe el proceso con un “living agreement”</w:t>
      </w:r>
      <w:r w:rsidRPr="0081458D">
        <w:rPr>
          <w:rFonts w:ascii="Times New Roman" w:hAnsi="Times New Roman" w:cs="Times New Roman"/>
          <w:color w:val="000000"/>
          <w:sz w:val="24"/>
          <w:szCs w:val="24"/>
        </w:rPr>
        <w:t>, una buena disposición para seguir negociando en aquellas zonas en las que sigan existiendo obstáculos no salvados.</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81458D">
        <w:rPr>
          <w:rFonts w:ascii="Times New Roman" w:hAnsi="Times New Roman" w:cs="Times New Roman"/>
          <w:color w:val="000000"/>
          <w:sz w:val="24"/>
          <w:szCs w:val="24"/>
        </w:rPr>
        <w:t xml:space="preserve">En mi opinión, sin embargo, la dificultad mayor se encuentra en otro punto. Jacob Viner, uno de los grandes historiadores de la economía en el siglo XX, señaló que </w:t>
      </w:r>
      <w:r w:rsidRPr="00334774">
        <w:rPr>
          <w:rFonts w:ascii="Times New Roman" w:hAnsi="Times New Roman" w:cs="Times New Roman"/>
          <w:color w:val="000000"/>
          <w:sz w:val="24"/>
          <w:szCs w:val="24"/>
          <w:u w:val="single"/>
        </w:rPr>
        <w:t>la creación de una zona de librecambio en una parte del mundo podía hacer mucho daño al resto si el resultado era el de desviar comercio en vez de crear comercio nuevo para mayor prosperidad general. Para evitar este tipo de efectos negativos, la Organización Mundial de Comercio impone a quienes busquen crear áreas de librecambio limitadas geográficamente la llamada “regla de nación más favorecida”. Según esa regla, las ventajas concedidas en la más reciente negociación deben extenderse a los países con los que las partes tuvieran acuerdos anteriores.</w:t>
      </w:r>
      <w:r w:rsidRPr="0081458D">
        <w:rPr>
          <w:rFonts w:ascii="Times New Roman" w:hAnsi="Times New Roman" w:cs="Times New Roman"/>
          <w:color w:val="000000"/>
          <w:sz w:val="24"/>
          <w:szCs w:val="24"/>
        </w:rPr>
        <w:t xml:space="preserve"> </w:t>
      </w:r>
      <w:r w:rsidRPr="00334774">
        <w:rPr>
          <w:rFonts w:ascii="Times New Roman" w:hAnsi="Times New Roman" w:cs="Times New Roman"/>
          <w:color w:val="FF0000"/>
          <w:sz w:val="24"/>
          <w:szCs w:val="24"/>
          <w:u w:val="single"/>
        </w:rPr>
        <w:t xml:space="preserve">Para curarse en salud, la propuesta incluye la declaración de que “juntos, EEUU y la UE pueden contribuir con su iniciativa a una liberalización multilateral en un mundo globalizado”. La mencionada cláusula tendría por efecto la extensión automática de las libertades comerciales a un número creciente de países: a EEUU y la UE les sería posible comunicar a las demás naciones que pueden entrar en la nueva zona liberada a voluntad si aceptan todas las condiciones pactadas. </w:t>
      </w:r>
      <w:r w:rsidRPr="00334774">
        <w:rPr>
          <w:rFonts w:ascii="Times New Roman" w:hAnsi="Times New Roman" w:cs="Times New Roman"/>
          <w:color w:val="FF0000"/>
          <w:sz w:val="24"/>
          <w:szCs w:val="24"/>
          <w:u w:val="single"/>
        </w:rPr>
        <w:lastRenderedPageBreak/>
        <w:t>Temo que esta declaración no sea sino una hoja de parra para cubrir las vergüenzas de proteccionistas irredentos.</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Pedro Schwartz  es Presidente del Tribunal de Defensa de la Competencia de Madrid y Profesor de Economía d</w:t>
      </w:r>
      <w:r>
        <w:rPr>
          <w:rFonts w:ascii="Times New Roman" w:hAnsi="Times New Roman" w:cs="Times New Roman"/>
          <w:color w:val="000000"/>
          <w:sz w:val="24"/>
          <w:szCs w:val="24"/>
        </w:rPr>
        <w:t xml:space="preserve">e la Universidad San Pablo CEU.)  </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Este artículo fue publicado originalmente en Expansión (España</w:t>
      </w:r>
      <w:r>
        <w:rPr>
          <w:rFonts w:ascii="Times New Roman" w:hAnsi="Times New Roman" w:cs="Times New Roman"/>
          <w:color w:val="000000"/>
          <w:sz w:val="24"/>
          <w:szCs w:val="24"/>
        </w:rPr>
        <w:t>) el 19 de julio de 2013)</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81458D">
        <w:rPr>
          <w:rFonts w:ascii="Times New Roman" w:hAnsi="Times New Roman" w:cs="Times New Roman"/>
          <w:color w:val="000000"/>
          <w:sz w:val="24"/>
          <w:szCs w:val="24"/>
        </w:rPr>
        <w:t>¿</w:t>
      </w:r>
      <w:r w:rsidRPr="0081458D">
        <w:rPr>
          <w:rFonts w:ascii="Times New Roman" w:hAnsi="Times New Roman" w:cs="Times New Roman"/>
          <w:color w:val="000000"/>
          <w:sz w:val="24"/>
          <w:szCs w:val="24"/>
          <w:u w:val="single"/>
        </w:rPr>
        <w:t>Las regulaciones podrían obstaculizar un comercio más libre a través del Atlántico</w:t>
      </w:r>
      <w:r w:rsidRPr="0081458D">
        <w:rPr>
          <w:rFonts w:ascii="Times New Roman" w:hAnsi="Times New Roman" w:cs="Times New Roman"/>
          <w:color w:val="000000"/>
          <w:sz w:val="24"/>
          <w:szCs w:val="24"/>
        </w:rPr>
        <w:t>?</w:t>
      </w:r>
      <w:r>
        <w:rPr>
          <w:rFonts w:ascii="Times New Roman" w:hAnsi="Times New Roman" w:cs="Times New Roman"/>
          <w:color w:val="000000"/>
          <w:sz w:val="24"/>
          <w:szCs w:val="24"/>
        </w:rPr>
        <w:t xml:space="preserve"> (elcato.org - </w:t>
      </w:r>
      <w:r w:rsidRPr="0081458D">
        <w:rPr>
          <w:rFonts w:ascii="Times New Roman" w:hAnsi="Times New Roman" w:cs="Times New Roman"/>
          <w:b/>
          <w:color w:val="000000"/>
          <w:sz w:val="24"/>
          <w:szCs w:val="24"/>
        </w:rPr>
        <w:t>29/10/13</w:t>
      </w:r>
      <w:r>
        <w:rPr>
          <w:rFonts w:ascii="Times New Roman" w:hAnsi="Times New Roman" w:cs="Times New Roman"/>
          <w:color w:val="000000"/>
          <w:sz w:val="24"/>
          <w:szCs w:val="24"/>
        </w:rPr>
        <w:t>)</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Simon Lester)</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81458D">
        <w:rPr>
          <w:rFonts w:ascii="Times New Roman" w:hAnsi="Times New Roman" w:cs="Times New Roman"/>
          <w:color w:val="000000"/>
          <w:sz w:val="24"/>
          <w:szCs w:val="24"/>
        </w:rPr>
        <w:t xml:space="preserve">Las negociaciones comerciales no son lo </w:t>
      </w:r>
      <w:r>
        <w:rPr>
          <w:rFonts w:ascii="Times New Roman" w:hAnsi="Times New Roman" w:cs="Times New Roman"/>
          <w:color w:val="000000"/>
          <w:sz w:val="24"/>
          <w:szCs w:val="24"/>
        </w:rPr>
        <w:t>que eran antes. La llegada del “siglo veintiuno” o de los acuerdos comerciales “comprensivos”</w:t>
      </w:r>
      <w:r w:rsidRPr="0081458D">
        <w:rPr>
          <w:rFonts w:ascii="Times New Roman" w:hAnsi="Times New Roman" w:cs="Times New Roman"/>
          <w:color w:val="000000"/>
          <w:sz w:val="24"/>
          <w:szCs w:val="24"/>
        </w:rPr>
        <w:t xml:space="preserve">, cuya envergadura va mucho más allá de los asuntos tradicionales como la reducción de aranceles y el acceso a los mercados, han dado paso a discusiones en varias áreas que solían ser cuestión de política doméstica. Un área en la que los acuerdos comerciales se han entrometido es en los </w:t>
      </w:r>
      <w:r>
        <w:rPr>
          <w:rFonts w:ascii="Times New Roman" w:hAnsi="Times New Roman" w:cs="Times New Roman"/>
          <w:color w:val="000000"/>
          <w:sz w:val="24"/>
          <w:szCs w:val="24"/>
        </w:rPr>
        <w:t>asuntos que van “más allá de la frontera”</w:t>
      </w:r>
      <w:r w:rsidRPr="0081458D">
        <w:rPr>
          <w:rFonts w:ascii="Times New Roman" w:hAnsi="Times New Roman" w:cs="Times New Roman"/>
          <w:color w:val="000000"/>
          <w:sz w:val="24"/>
          <w:szCs w:val="24"/>
        </w:rPr>
        <w:t xml:space="preserve"> como las barreras comerciales regulatorias. </w:t>
      </w:r>
      <w:r w:rsidRPr="00334774">
        <w:rPr>
          <w:rFonts w:ascii="Times New Roman" w:hAnsi="Times New Roman" w:cs="Times New Roman"/>
          <w:color w:val="FF0000"/>
          <w:sz w:val="24"/>
          <w:szCs w:val="24"/>
          <w:u w:val="single"/>
        </w:rPr>
        <w:t xml:space="preserve">En las negociaciones para lograr el Acuerdo de Asociación Transpacífica (TTIP, por sus siglas en inglés), los efectos comerciales de la regulación doméstica han sido enfatizados como un área de gran potencial de crecimiento económico, con grandes cifras mencionadas -algunos hablan de un aumento de entre 2,5 a 3 por ciento en el PIB si se eliminan totalmente las barreras comerciales regulatorias. Pero este entusiasmo temprano para resolver estas viejas barreras al comercio encubren un problema fundamental que está surgiendo: EEUU y la Unión Europea (UE) no están de acuerdo acerca de la naturaleza de las barreras regulatorias al comercio y sobre cómo abordarlas. </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Para EEUU, el enfoque parece estar en aplicar sus esfuerzos de reforma regulatoria doméstica a nivel global. En su último viaje a Europa, el Representante Comercial de EEUU Michael Froman alabó las virtudes de la estrategia de EEUU para regular, y urgió a la UE a tomar en cuenta los principios de “transparencia”, “participación”, y “rendición de cuentas”. Sostuvo que el proceso estadounidense promueve estos principios al proveer: “notificación adelantada de medidas regulatorias específicas” (transparencia); “oportunidades significativas para conocer la opinión de un amplio sector de actores concernidos” (participación); y “respuestas a esas opiniones” (rendición de cuentas).</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Su énfasis en estas características refleja la crítica de EEUU al proceso regulatorio de la UE, en particular al sistema de la UE de emitir estudios generales con comentarios antes de proponer las reglas, sin permitirlos acerca del texto de la regulación en sí. La implicación de lo que dijo Froman en Bruselas ante una audiencia de funcionarios comerciales es que, desde el punto de vista de EEUU, la UE debería reformar su proceso regulatorio para tomar en cuenta estos principios.</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La UE, en cambio, no ve la reforma regulatoria doméstica como el asunto central en la eliminación de las barreras regulatorias al comercio transatlántico. Además, la UE no ve las discrepancias nacionales acerca del proceso de conformación de normas como un problema para la cooperación más general, y también ha argumentado que el sistema de la UE es, de hecho, transparente. Ellos, también, obtienen opiniones del sector público y privado, pero en una etapa anterior, y permiten la participación de un amplio rango de actores afectados durante el proceso de conformación de las normas.</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000000"/>
          <w:sz w:val="24"/>
          <w:szCs w:val="24"/>
          <w:u w:val="single"/>
        </w:rPr>
        <w:lastRenderedPageBreak/>
        <w:t>No debería sorprender que la UE no se mostrara receptiva a los llamados a un cambio.</w:t>
      </w:r>
      <w:r w:rsidRPr="0081458D">
        <w:rPr>
          <w:rFonts w:ascii="Times New Roman" w:hAnsi="Times New Roman" w:cs="Times New Roman"/>
          <w:color w:val="000000"/>
          <w:sz w:val="24"/>
          <w:szCs w:val="24"/>
        </w:rPr>
        <w:t xml:space="preserve"> El Comisionado Comercial Europeo Karel De Gucht lo expresó de esta manera: </w:t>
      </w:r>
      <w:r w:rsidRPr="00334774">
        <w:rPr>
          <w:rFonts w:ascii="Times New Roman" w:hAnsi="Times New Roman" w:cs="Times New Roman"/>
          <w:color w:val="000000"/>
          <w:sz w:val="24"/>
          <w:szCs w:val="24"/>
          <w:u w:val="single"/>
        </w:rPr>
        <w:t>“Ningún lado logrará el éxito si busca imponer un sistema sobre el otro”</w:t>
      </w:r>
      <w:r w:rsidRPr="0081458D">
        <w:rPr>
          <w:rFonts w:ascii="Times New Roman" w:hAnsi="Times New Roman" w:cs="Times New Roman"/>
          <w:color w:val="000000"/>
          <w:sz w:val="24"/>
          <w:szCs w:val="24"/>
        </w:rPr>
        <w:t xml:space="preserve">. En un discurso escrito como respuesta a los comentarios de Froman, De Gucht dejó claro que la UE se enfoca en abordar el resultado de la regulación, tratando de reconciliar las diferencias regulatorias que existen entre varios mercados. </w:t>
      </w:r>
      <w:r w:rsidRPr="00334774">
        <w:rPr>
          <w:rFonts w:ascii="Times New Roman" w:hAnsi="Times New Roman" w:cs="Times New Roman"/>
          <w:color w:val="000000"/>
          <w:sz w:val="24"/>
          <w:szCs w:val="24"/>
          <w:u w:val="single"/>
        </w:rPr>
        <w:t>Esta estrategia incluye encontrar “maneras de cooperar en regulaciones futuras para evitar las barreras comerciales innecesarias” y “para lograr que las regulaciones existentes sean más compatibles”. Por ejemplo, los reguladores de la industria de automóviles en EEUU y la UE imponen sus propias reglas de seguridad. En lugar de obligar a las empresas de automóviles a establecer procesos de producción distintos para sus vehículos en aras de cumplir con los diversos requisitos de cada mercado, los gobiernos podrían simplemente reconocer que las reglas son funcionalmente equivalentes, y un carro que cumple con las reglas de un mercado debería ser considerado como aceptable en otros también</w:t>
      </w:r>
      <w:r w:rsidRPr="0081458D">
        <w:rPr>
          <w:rFonts w:ascii="Times New Roman" w:hAnsi="Times New Roman" w:cs="Times New Roman"/>
          <w:color w:val="000000"/>
          <w:sz w:val="24"/>
          <w:szCs w:val="24"/>
        </w:rPr>
        <w:t xml:space="preserve">. </w:t>
      </w:r>
      <w:r w:rsidRPr="00334774">
        <w:rPr>
          <w:rFonts w:ascii="Times New Roman" w:hAnsi="Times New Roman" w:cs="Times New Roman"/>
          <w:color w:val="FF0000"/>
          <w:sz w:val="24"/>
          <w:szCs w:val="24"/>
          <w:u w:val="single"/>
        </w:rPr>
        <w:t xml:space="preserve">Por lo tanto, la UE ha sugerido enfocarse en sectores clave del comercio transatlántico, como los autos, las farmacéuticas, y los químicos, entre otros, para examinar dónde las diferencias regulatorias son especialmente costosas y previenen el libre intercambio de bienes que ya han atravesado pruebas y procesos de certificación exhaustivos para evaluar su seguridad. </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 xml:space="preserve">Basada en esta reciente expresión de opiniones por parte de funcionarios de alto rango, pareciera que EEUU y la UE perciben el problema de las barreras comerciales regulatorias de manera muy distinta. EEUU ve las barreras regulatorias como algo relacionado a cómo estas son creadas; la UE, por otro lado, acepta las diferencias en los procesos de cómo son generadas las regulaciones y está más preocupada acerca de abordar las discrepancias técnicas en resultados regulatorios. </w:t>
      </w:r>
    </w:p>
    <w:p w:rsidR="000369FD" w:rsidRPr="0033477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 xml:space="preserve">Con estas estrategias distintas para tratar las barreras regulatorias, los negociadores de la EEUU y la UE no parecen estar en la misma página. ¿Esto significa que todo el esfuerzo está condenado al fracaso? Si es así, eso sería un desastre para TTIP, dado que muchos han estado señalando a la eliminación de las barreras regulatorias como el núcleo de las negociaciones. </w:t>
      </w:r>
    </w:p>
    <w:p w:rsidR="000369FD" w:rsidRPr="00BF3820"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334774">
        <w:rPr>
          <w:rFonts w:ascii="Times New Roman" w:hAnsi="Times New Roman" w:cs="Times New Roman"/>
          <w:color w:val="FF0000"/>
          <w:sz w:val="24"/>
          <w:szCs w:val="24"/>
          <w:u w:val="single"/>
        </w:rPr>
        <w:t>Para evitar un inmenso fracaso como este, necesitamos considerar un camino hacia delante que sea realista</w:t>
      </w:r>
      <w:r w:rsidRPr="0081458D">
        <w:rPr>
          <w:rFonts w:ascii="Times New Roman" w:hAnsi="Times New Roman" w:cs="Times New Roman"/>
          <w:color w:val="000000"/>
          <w:sz w:val="24"/>
          <w:szCs w:val="24"/>
        </w:rPr>
        <w:t xml:space="preserve">. Vale la pena discutir ambos asuntos a nivel internacional. Sin embargo, tienen implicaciones diferentes en términos de su impacto y sensibilidad. </w:t>
      </w:r>
      <w:r w:rsidRPr="00BF3820">
        <w:rPr>
          <w:rFonts w:ascii="Times New Roman" w:hAnsi="Times New Roman" w:cs="Times New Roman"/>
          <w:color w:val="FF0000"/>
          <w:sz w:val="24"/>
          <w:szCs w:val="24"/>
          <w:u w:val="single"/>
        </w:rPr>
        <w:t xml:space="preserve">El enfoque de la UE en abordar las discrepancias existentes y las que podrían surgir en el futuro, en lugar de enfocarse en la reforma regulatoria en casa, es un punto útil de partida para lidiar con este asunto. Puede conducir a ganancias económicas concretas, y, si se lo hace bien, no debería interferir con los objetivos domésticos de políticas públicas. </w:t>
      </w:r>
    </w:p>
    <w:p w:rsidR="000369FD" w:rsidRPr="00BF3820"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81458D">
        <w:rPr>
          <w:rFonts w:ascii="Times New Roman" w:hAnsi="Times New Roman" w:cs="Times New Roman"/>
          <w:color w:val="000000"/>
          <w:sz w:val="24"/>
          <w:szCs w:val="24"/>
        </w:rPr>
        <w:t xml:space="preserve">Ya hay un precedente de esto. Dichos caminos de cooperación existen en la forma de múltiples acuerdos de reconocimiento mutuo para productos específicos, y de manera más permanente en foros tales como el </w:t>
      </w:r>
      <w:r>
        <w:rPr>
          <w:rFonts w:ascii="Times New Roman" w:hAnsi="Times New Roman" w:cs="Times New Roman"/>
          <w:color w:val="000000"/>
          <w:sz w:val="24"/>
          <w:szCs w:val="24"/>
        </w:rPr>
        <w:t>Consejo de Cooperación entre EEUU</w:t>
      </w:r>
      <w:r w:rsidRPr="0081458D">
        <w:rPr>
          <w:rFonts w:ascii="Times New Roman" w:hAnsi="Times New Roman" w:cs="Times New Roman"/>
          <w:color w:val="000000"/>
          <w:sz w:val="24"/>
          <w:szCs w:val="24"/>
        </w:rPr>
        <w:t xml:space="preserve"> y Can</w:t>
      </w:r>
      <w:r>
        <w:rPr>
          <w:rFonts w:ascii="Times New Roman" w:hAnsi="Times New Roman" w:cs="Times New Roman"/>
          <w:color w:val="000000"/>
          <w:sz w:val="24"/>
          <w:szCs w:val="24"/>
        </w:rPr>
        <w:t xml:space="preserve">adá. </w:t>
      </w:r>
      <w:r w:rsidRPr="00BF3820">
        <w:rPr>
          <w:rFonts w:ascii="Times New Roman" w:hAnsi="Times New Roman" w:cs="Times New Roman"/>
          <w:color w:val="FF0000"/>
          <w:sz w:val="24"/>
          <w:szCs w:val="24"/>
          <w:u w:val="single"/>
        </w:rPr>
        <w:t>Lo que se necesita para EEUU y la UE es un mecanismo similar mediante el cual los reguladores se puedan sentar con sus contrapartes y hablar sobre cómo superar diferencias arbitrarias en las regulaciones actuales, y cómo evitar tales diferencias en regulaciones del futuro. Eventualmente, dicho foro podría evolucionar hasta incluir otros países también.</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BF3820">
        <w:rPr>
          <w:rFonts w:ascii="Times New Roman" w:hAnsi="Times New Roman" w:cs="Times New Roman"/>
          <w:color w:val="FF0000"/>
          <w:sz w:val="24"/>
          <w:szCs w:val="24"/>
          <w:u w:val="single"/>
        </w:rPr>
        <w:t xml:space="preserve">En cambio, el objetivo de utilizar acuerdos internacionales vinculantes para mejorar el proceso regulatorio doméstico en general es pedir mucho, y es incierto si esto rendiría </w:t>
      </w:r>
      <w:r w:rsidRPr="00BF3820">
        <w:rPr>
          <w:rFonts w:ascii="Times New Roman" w:hAnsi="Times New Roman" w:cs="Times New Roman"/>
          <w:color w:val="FF0000"/>
          <w:sz w:val="24"/>
          <w:szCs w:val="24"/>
          <w:u w:val="single"/>
        </w:rPr>
        <w:lastRenderedPageBreak/>
        <w:t>beneficio relevante alguno en términos de reducir la carga de la regulación. Los sistemas regulatorios domésticos son el resultado de complejos procesos internos, y no pueden cambiarse fácilmente. El sistema de la UE no es un accidente de la historia. Han dedicado mucho tiempo a desarrollarlo, y no sería fácil lograr acuerdos internos para modificarlo.</w:t>
      </w:r>
      <w:r w:rsidRPr="0081458D">
        <w:rPr>
          <w:rFonts w:ascii="Times New Roman" w:hAnsi="Times New Roman" w:cs="Times New Roman"/>
          <w:color w:val="000000"/>
          <w:sz w:val="24"/>
          <w:szCs w:val="24"/>
        </w:rPr>
        <w:t xml:space="preserve"> La comisión de la UE ya ha estado trabajando para mejorar el ambiente regulatorio por más de una década, más recientemente a través del Programa para la Aptitud y Desempeño Regulatorios (REFIT</w:t>
      </w:r>
      <w:r>
        <w:rPr>
          <w:rFonts w:ascii="Times New Roman" w:hAnsi="Times New Roman" w:cs="Times New Roman"/>
          <w:color w:val="000000"/>
          <w:sz w:val="24"/>
          <w:szCs w:val="24"/>
        </w:rPr>
        <w:t>, por sus siglas en inglés). EEUU</w:t>
      </w:r>
      <w:r w:rsidRPr="0081458D">
        <w:rPr>
          <w:rFonts w:ascii="Times New Roman" w:hAnsi="Times New Roman" w:cs="Times New Roman"/>
          <w:color w:val="000000"/>
          <w:sz w:val="24"/>
          <w:szCs w:val="24"/>
        </w:rPr>
        <w:t xml:space="preserve"> ha tenido iniciativas similares, y continúa esforzándose po</w:t>
      </w:r>
      <w:r>
        <w:rPr>
          <w:rFonts w:ascii="Times New Roman" w:hAnsi="Times New Roman" w:cs="Times New Roman"/>
          <w:color w:val="000000"/>
          <w:sz w:val="24"/>
          <w:szCs w:val="24"/>
        </w:rPr>
        <w:t>r realizar reformas domésticas.</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BF3820">
        <w:rPr>
          <w:rFonts w:ascii="Times New Roman" w:hAnsi="Times New Roman" w:cs="Times New Roman"/>
          <w:color w:val="FF0000"/>
          <w:sz w:val="24"/>
          <w:szCs w:val="24"/>
          <w:u w:val="single"/>
        </w:rPr>
        <w:t>No digo que nada puede hacerse acerca de las reformas al proceso regulatorio a nivel internacional. Pero los modelos regulatorios son un tema delicado para la política a nivel doméstico, y debería ser abordado con cierta sensibilidad. Por lo tanto, en lugar de reglas internacionales vinculantes, un foro internacional para la discusión de estos asuntos puede ser un camino útil hacia delante</w:t>
      </w:r>
      <w:r w:rsidRPr="0081458D">
        <w:rPr>
          <w:rFonts w:ascii="Times New Roman" w:hAnsi="Times New Roman" w:cs="Times New Roman"/>
          <w:color w:val="000000"/>
          <w:sz w:val="24"/>
          <w:szCs w:val="24"/>
        </w:rPr>
        <w:t>. Muchos gobiernos alrededor del mundo han considerado seriamente estos asuntos. Todos probablemente podrían aprender un poco de sus contrapartes, compartiendo experiencias con otros países que están realizando esfuerzos similares.</w:t>
      </w:r>
      <w:r>
        <w:rPr>
          <w:rFonts w:ascii="Times New Roman" w:hAnsi="Times New Roman" w:cs="Times New Roman"/>
          <w:color w:val="000000"/>
          <w:sz w:val="24"/>
          <w:szCs w:val="24"/>
        </w:rPr>
        <w:t xml:space="preserve"> </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BF3820">
        <w:rPr>
          <w:rFonts w:ascii="Times New Roman" w:hAnsi="Times New Roman" w:cs="Times New Roman"/>
          <w:color w:val="FF0000"/>
          <w:sz w:val="24"/>
          <w:szCs w:val="24"/>
          <w:u w:val="single"/>
        </w:rPr>
        <w:t>El TTIP es una nueva y prometedora iniciativa comercial y sus esfuerzos de lidiar con las barreras regulatorias al comercio son admirables. Pero es importante mantener las negociaciones enfocadas en objetivos realistas</w:t>
      </w:r>
      <w:r w:rsidRPr="0081458D">
        <w:rPr>
          <w:rFonts w:ascii="Times New Roman" w:hAnsi="Times New Roman" w:cs="Times New Roman"/>
          <w:color w:val="000000"/>
          <w:sz w:val="24"/>
          <w:szCs w:val="24"/>
        </w:rPr>
        <w:t xml:space="preserve">. Si queremos que este esfuerzo tenga éxito, sería mejor enfatizar el objetivo más pequeño, pero realizable, de abordar las discrepancias regulatorias y dejar los esfuerzos de reforma regulatoria a nivel doméstico en manos de los estados individuales y sus ciudadanos. </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Simon Lester  es analista de políticas públicas en el Centro Herbert A. Stiefel para Estudios de Políti</w:t>
      </w:r>
      <w:r>
        <w:rPr>
          <w:rFonts w:ascii="Times New Roman" w:hAnsi="Times New Roman" w:cs="Times New Roman"/>
          <w:color w:val="000000"/>
          <w:sz w:val="24"/>
          <w:szCs w:val="24"/>
        </w:rPr>
        <w:t xml:space="preserve">ca Comercial del Cato Institute)   </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81458D">
        <w:rPr>
          <w:rFonts w:ascii="Times New Roman" w:hAnsi="Times New Roman" w:cs="Times New Roman"/>
          <w:color w:val="000000"/>
          <w:sz w:val="24"/>
          <w:szCs w:val="24"/>
        </w:rPr>
        <w:t>Este artículo fue publicado originalmente en The National Interest Online (E</w:t>
      </w:r>
      <w:r>
        <w:rPr>
          <w:rFonts w:ascii="Times New Roman" w:hAnsi="Times New Roman" w:cs="Times New Roman"/>
          <w:color w:val="000000"/>
          <w:sz w:val="24"/>
          <w:szCs w:val="24"/>
        </w:rPr>
        <w:t>EUU) el 15 de octubre de 2013)</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 xml:space="preserve">- </w:t>
      </w:r>
      <w:r w:rsidRPr="00F34E34">
        <w:rPr>
          <w:rFonts w:ascii="Times New Roman" w:hAnsi="Times New Roman" w:cs="Times New Roman"/>
          <w:color w:val="000000"/>
          <w:sz w:val="24"/>
          <w:szCs w:val="24"/>
          <w:u w:val="single"/>
        </w:rPr>
        <w:t>Negociaciones comerciales entre la UE y EEUU: ¿qué hay en juego?</w:t>
      </w:r>
      <w:r w:rsidRPr="00F34E34">
        <w:rPr>
          <w:rFonts w:ascii="Times New Roman" w:hAnsi="Times New Roman" w:cs="Times New Roman"/>
          <w:color w:val="000000"/>
          <w:sz w:val="24"/>
          <w:szCs w:val="24"/>
        </w:rPr>
        <w:t xml:space="preserve"> (Real Instituto Elcano - 13/11/13) </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Federico Steinberg)</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b/>
          <w:color w:val="000000"/>
          <w:sz w:val="24"/>
          <w:szCs w:val="24"/>
        </w:rPr>
        <w:t>Tema</w:t>
      </w:r>
      <w:r w:rsidRPr="00F34E34">
        <w:rPr>
          <w:rFonts w:ascii="Times New Roman" w:hAnsi="Times New Roman" w:cs="Times New Roman"/>
          <w:color w:val="000000"/>
          <w:sz w:val="24"/>
          <w:szCs w:val="24"/>
        </w:rPr>
        <w:t xml:space="preserve">: </w:t>
      </w:r>
      <w:r w:rsidRPr="00F34E34">
        <w:rPr>
          <w:rFonts w:ascii="Times New Roman" w:hAnsi="Times New Roman" w:cs="Times New Roman"/>
          <w:color w:val="FF0000"/>
          <w:sz w:val="24"/>
          <w:szCs w:val="24"/>
          <w:u w:val="single"/>
        </w:rPr>
        <w:t>Las negociaciones comerciales entre la UE y EEUU están más motivadas por consideraciones geopolíticas que económicas.</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b/>
          <w:color w:val="000000"/>
          <w:sz w:val="24"/>
          <w:szCs w:val="24"/>
        </w:rPr>
        <w:t>Resumen</w:t>
      </w:r>
      <w:r w:rsidRPr="00F34E34">
        <w:rPr>
          <w:rFonts w:ascii="Times New Roman" w:hAnsi="Times New Roman" w:cs="Times New Roman"/>
          <w:color w:val="000000"/>
          <w:sz w:val="24"/>
          <w:szCs w:val="24"/>
        </w:rPr>
        <w:t xml:space="preserve">: </w:t>
      </w:r>
      <w:r w:rsidRPr="00F34E34">
        <w:rPr>
          <w:rFonts w:ascii="Times New Roman" w:hAnsi="Times New Roman" w:cs="Times New Roman"/>
          <w:color w:val="FF0000"/>
          <w:sz w:val="24"/>
          <w:szCs w:val="24"/>
          <w:u w:val="single"/>
        </w:rPr>
        <w:t>Cerrar un acuerdo ambicioso de comercio e inversiones podría suponer para la UE y EEUU tanto un impulso a su crecimiento económico como una recuperación de su liderazgo económico y geopolítico, que está cada vez más cuestionado por el auge de las potencias emergentes. Pero el camino no será fácil. No sólo habrá que vencer obstáculos internos, vinculados a los intereses proteccionistas a ambos lados del Atlántico, sino también convencer a los países emergentes a que acepten los estándares regulatorios acordados por la UE y EEUU, algo que en absoluto está asegurado.</w:t>
      </w:r>
    </w:p>
    <w:p w:rsidR="000369FD" w:rsidRPr="00F74065" w:rsidRDefault="000369FD" w:rsidP="000369FD">
      <w:pPr>
        <w:shd w:val="clear" w:color="auto" w:fill="FFFFFF"/>
        <w:spacing w:after="225" w:line="240" w:lineRule="auto"/>
        <w:jc w:val="both"/>
        <w:rPr>
          <w:rFonts w:ascii="Times New Roman" w:hAnsi="Times New Roman" w:cs="Times New Roman"/>
          <w:b/>
          <w:color w:val="000000"/>
          <w:sz w:val="24"/>
          <w:szCs w:val="24"/>
        </w:rPr>
      </w:pPr>
      <w:r w:rsidRPr="00F74065">
        <w:rPr>
          <w:rFonts w:ascii="Times New Roman" w:hAnsi="Times New Roman" w:cs="Times New Roman"/>
          <w:b/>
          <w:color w:val="000000"/>
          <w:sz w:val="24"/>
          <w:szCs w:val="24"/>
        </w:rPr>
        <w:t>Análisis</w:t>
      </w:r>
    </w:p>
    <w:p w:rsidR="000369FD" w:rsidRPr="00F74065" w:rsidRDefault="000369FD" w:rsidP="000369FD">
      <w:pPr>
        <w:shd w:val="clear" w:color="auto" w:fill="FFFFFF"/>
        <w:spacing w:after="225" w:line="240" w:lineRule="auto"/>
        <w:jc w:val="both"/>
        <w:rPr>
          <w:rFonts w:ascii="Times New Roman" w:hAnsi="Times New Roman" w:cs="Times New Roman"/>
          <w:b/>
          <w:color w:val="000000"/>
          <w:sz w:val="24"/>
          <w:szCs w:val="24"/>
        </w:rPr>
      </w:pPr>
      <w:r w:rsidRPr="00F74065">
        <w:rPr>
          <w:rFonts w:ascii="Times New Roman" w:hAnsi="Times New Roman" w:cs="Times New Roman"/>
          <w:b/>
          <w:color w:val="000000"/>
          <w:sz w:val="24"/>
          <w:szCs w:val="24"/>
        </w:rPr>
        <w:t>Introducción</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000000"/>
          <w:sz w:val="24"/>
          <w:szCs w:val="24"/>
          <w:u w:val="single"/>
        </w:rPr>
        <w:lastRenderedPageBreak/>
        <w:t>Durante los últimos 200 años la economía mundial ha estado dominada por los países del Atlántico Norte. Primero, por Europa en solitario y después, por Europa y EEUU (con un liderazgo marcadamente norteamericano tras la Segunda Guerra Mundial).</w:t>
      </w:r>
      <w:r w:rsidRPr="00F34E34">
        <w:rPr>
          <w:rFonts w:ascii="Times New Roman" w:hAnsi="Times New Roman" w:cs="Times New Roman"/>
          <w:color w:val="000000"/>
          <w:sz w:val="24"/>
          <w:szCs w:val="24"/>
        </w:rPr>
        <w:t xml:space="preserve"> </w:t>
      </w:r>
      <w:r w:rsidRPr="00F34E34">
        <w:rPr>
          <w:rFonts w:ascii="Times New Roman" w:hAnsi="Times New Roman" w:cs="Times New Roman"/>
          <w:color w:val="FF0000"/>
          <w:sz w:val="24"/>
          <w:szCs w:val="24"/>
          <w:u w:val="single"/>
        </w:rPr>
        <w:t>Sin embargo, a lo largo de los próximos años se espera que la pérdida de peso relativo del eje transatlántico en la economía mundial, que comenzó hace ya dos décadas, se acelere. Los ganadores serán las nuevas potencias emergentes, especialmente asiáticas, pero también latinoamericanas y africanas.</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34E34">
        <w:rPr>
          <w:rFonts w:ascii="Times New Roman" w:hAnsi="Times New Roman" w:cs="Times New Roman"/>
          <w:color w:val="000000"/>
          <w:sz w:val="24"/>
          <w:szCs w:val="24"/>
          <w:u w:val="single"/>
        </w:rPr>
        <w:t>Ante este panorama, al que además se suma que las economías occidentales están muy endeudadas y tienen un crecimiento económico bajo, la UE y EEUU han abierto negociaciones para crear un área de libre comercio e inversiones (TTIP, por sus siglas en inglés) que sería la mayor del mundo, cubriendo más del 40% del PIB mundial, un tercio de los flujos comerciales globales (alrededor de 650.000 millones de dólares al año) y casi el 60% de los stocks de inversión acumulados en el mundo (más de 3,7 billones de dólares).</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El objetivo de las negociaciones es cerrar para 2015 una zona económica integrada sin aranceles para los bienes manufacturados y agrícolas y con una importante armonización regulatoria, que facilite las inversiones cruzadas y la prestación de servicios. No es que los aranceles sean ahora demasiado altos, sino que las diferencias regulatorias a ambos lados del Atlántico, que afectan sobre todo al comercio de servicios de alto valor añadido, suponen trabas al comercio significativas.</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34E34">
        <w:rPr>
          <w:rFonts w:ascii="Times New Roman" w:hAnsi="Times New Roman" w:cs="Times New Roman"/>
          <w:color w:val="FF0000"/>
          <w:sz w:val="24"/>
          <w:szCs w:val="24"/>
          <w:u w:val="single"/>
        </w:rPr>
        <w:t>Aunque las autoridades europeas y estadounidenses han resaltado los importantes beneficios económicos que el acuerdo tendría, en este artículo sostenemos que el verdadero objetivo del TTIP es geopolítico</w:t>
      </w:r>
      <w:r w:rsidRPr="00F34E34">
        <w:rPr>
          <w:rFonts w:ascii="Times New Roman" w:hAnsi="Times New Roman" w:cs="Times New Roman"/>
          <w:color w:val="000000"/>
          <w:sz w:val="24"/>
          <w:szCs w:val="24"/>
        </w:rPr>
        <w:t xml:space="preserve">. </w:t>
      </w:r>
      <w:r w:rsidRPr="00F34E34">
        <w:rPr>
          <w:rFonts w:ascii="Times New Roman" w:hAnsi="Times New Roman" w:cs="Times New Roman"/>
          <w:color w:val="000000"/>
          <w:sz w:val="24"/>
          <w:szCs w:val="24"/>
          <w:u w:val="single"/>
        </w:rPr>
        <w:t>Por una parte, intenta revitalizar la relación transatlántica para contrarrestar la narrativa cada vez más dominante en las relaciones internacionales según la cual el futuro es de los países emergentes y está en la cuenca del Pacífico. Por otra, pretende devolver a EEUU y a la UE el liderazgo en la fijación de las reglas de juego de la economía internacional, que ya tuvieron después de la Segunda Guerra Mundial y que han ido perdiendo paulatinamente.</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000000"/>
          <w:sz w:val="24"/>
          <w:szCs w:val="24"/>
          <w:u w:val="single"/>
        </w:rPr>
        <w:t>Sin embargo, el camino no será fácil</w:t>
      </w:r>
      <w:r w:rsidRPr="00F34E34">
        <w:rPr>
          <w:rFonts w:ascii="Times New Roman" w:hAnsi="Times New Roman" w:cs="Times New Roman"/>
          <w:color w:val="000000"/>
          <w:sz w:val="24"/>
          <w:szCs w:val="24"/>
        </w:rPr>
        <w:t xml:space="preserve">. </w:t>
      </w:r>
      <w:r w:rsidRPr="00F34E34">
        <w:rPr>
          <w:rFonts w:ascii="Times New Roman" w:hAnsi="Times New Roman" w:cs="Times New Roman"/>
          <w:color w:val="FF0000"/>
          <w:sz w:val="24"/>
          <w:szCs w:val="24"/>
          <w:u w:val="single"/>
        </w:rPr>
        <w:t>Primero, es necesario que estadounidenses y europeos se pongan de acuerdo en las nuevas reglas para el comercio, algo difícil dadas las diferentes tradiciones regulatorias a ambos lados del Atlántico. Segundo, aunque pudiera negociar un TTIP ambicioso, no estaría asegurado que los países emergentes se adhirieran a esas normas, lo que podría dar lugar a la fragmentación del mercado mundial en bloques comerciales rivales, lo que terminaría además dinamitando la ya débil Organización Mundial del Comercio (OMC).</w:t>
      </w:r>
    </w:p>
    <w:p w:rsidR="000369FD" w:rsidRPr="00F74065" w:rsidRDefault="000369FD" w:rsidP="000369FD">
      <w:pPr>
        <w:shd w:val="clear" w:color="auto" w:fill="FFFFFF"/>
        <w:spacing w:after="225" w:line="240" w:lineRule="auto"/>
        <w:jc w:val="both"/>
        <w:rPr>
          <w:rFonts w:ascii="Times New Roman" w:hAnsi="Times New Roman" w:cs="Times New Roman"/>
          <w:i/>
          <w:color w:val="000000"/>
          <w:sz w:val="24"/>
          <w:szCs w:val="24"/>
        </w:rPr>
      </w:pPr>
      <w:r w:rsidRPr="00F74065">
        <w:rPr>
          <w:rFonts w:ascii="Times New Roman" w:hAnsi="Times New Roman" w:cs="Times New Roman"/>
          <w:i/>
          <w:color w:val="000000"/>
          <w:sz w:val="24"/>
          <w:szCs w:val="24"/>
        </w:rPr>
        <w:t>La relación económica transatlántica</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34E34">
        <w:rPr>
          <w:rFonts w:ascii="Times New Roman" w:hAnsi="Times New Roman" w:cs="Times New Roman"/>
          <w:color w:val="000000"/>
          <w:sz w:val="24"/>
          <w:szCs w:val="24"/>
          <w:u w:val="single"/>
        </w:rPr>
        <w:t>Las relaciones económicas entre la UE y EEUU son las más intensas e importantes del planeta. Aunque este estrecho vínculo se fraguó durante la Guerra Fría, la actual era de globalización que comenzó en los años 80, unida a la revolución tecnológica que ha permitido la expansión del comercio de servicios, ha intensificado tanto los intercambios comerciales como los flujos de capital, llegando a integrar (parcialmente) mercados que hasta hace unas décadas permanecían cerrados al exterior.</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 xml:space="preserve">Tras décadas de sucesivas rondas de liberalización comercial auspiciadas por el GATT, hoy el comercio transatlántico de bienes es más abierto que nunca, con aranceles aplicados inferiores al 4% para la mayoría de los bienes manufacturados, el arancel medio </w:t>
      </w:r>
      <w:r w:rsidRPr="00F34E34">
        <w:rPr>
          <w:rFonts w:ascii="Times New Roman" w:hAnsi="Times New Roman" w:cs="Times New Roman"/>
          <w:color w:val="FF0000"/>
          <w:sz w:val="24"/>
          <w:szCs w:val="24"/>
          <w:u w:val="single"/>
        </w:rPr>
        <w:lastRenderedPageBreak/>
        <w:t>ponderado situado en el 2,8% y con algunos aranceles más elevados en los sectores agrícola y textil. Esto ha permitido que EEUU sea el principal socio comercial de la UE y viceversa. Según datos de Eurostat, en 2012 el 11,5% de las importaciones de bienes europeas provinieron de EEUU y el 17,3% de las exportaciones de la UE tuvieron a EEUU como destino, mientras que en el caso de EEUU estas mismas cifras ascienden al 15,8% y al 16,5%, lo que arroja un saldo comercial favorable a la UE.</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Por su parte, el grado de integración en los mercados de servicios, aunque incompleto por las barreras regulatorias, es el más elevado del mundo entre dos bloques económicos.</w:t>
      </w:r>
      <w:r w:rsidRPr="00F34E34">
        <w:rPr>
          <w:rFonts w:ascii="Times New Roman" w:hAnsi="Times New Roman" w:cs="Times New Roman"/>
          <w:color w:val="FF0000"/>
          <w:sz w:val="24"/>
          <w:szCs w:val="24"/>
        </w:rPr>
        <w:t xml:space="preserve"> </w:t>
      </w:r>
      <w:r w:rsidRPr="00F34E34">
        <w:rPr>
          <w:rFonts w:ascii="Times New Roman" w:hAnsi="Times New Roman" w:cs="Times New Roman"/>
          <w:color w:val="000000"/>
          <w:sz w:val="24"/>
          <w:szCs w:val="24"/>
        </w:rPr>
        <w:t xml:space="preserve">Dadas la elevada dotación de capital por trabajador, el alto nivel de renta de los consumidores y la seguridad jurídica a ambos lados del Atlántico, es natural que el comercio de servicios este dominado por los segmentos de alto valor añadido (servicios financieros, jurídicos o de consultoría, seguros, telecomunicaciones, etc.), y se apoye en elevados stocks de inversión cruzados. Así, </w:t>
      </w:r>
      <w:r w:rsidRPr="00F34E34">
        <w:rPr>
          <w:rFonts w:ascii="Times New Roman" w:hAnsi="Times New Roman" w:cs="Times New Roman"/>
          <w:color w:val="FF0000"/>
          <w:sz w:val="24"/>
          <w:szCs w:val="24"/>
          <w:u w:val="single"/>
        </w:rPr>
        <w:t>según datos de Eurostat, en 2012, el 35% del stock de inversiones estadounidenses en el exterior estaban en la UE y el 33% de las inversiones extracomunitarias de los países europeos se ubicaban en EEUU, siendo la inversiones británicas, alemanas y francesas las más importantes, y con las españolas experimentando un crecimiento significativo.</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Gráfico 1. Relaciones económicas entre la UE y EEUU</w:t>
      </w:r>
    </w:p>
    <w:p w:rsidR="000369FD" w:rsidRPr="000369FD" w:rsidRDefault="000369FD" w:rsidP="000369FD">
      <w:pPr>
        <w:shd w:val="clear" w:color="auto" w:fill="FFFFFF"/>
        <w:spacing w:after="225" w:line="240" w:lineRule="auto"/>
        <w:jc w:val="both"/>
        <w:rPr>
          <w:rFonts w:ascii="Times New Roman" w:hAnsi="Times New Roman" w:cs="Times New Roman"/>
          <w:color w:val="000000"/>
          <w:sz w:val="24"/>
          <w:szCs w:val="24"/>
          <w:lang w:val="en-US"/>
        </w:rPr>
      </w:pPr>
      <w:r w:rsidRPr="004B2C71">
        <w:rPr>
          <w:rFonts w:ascii="Times New Roman" w:eastAsia="Times New Roman" w:hAnsi="Times New Roman" w:cs="Times New Roman"/>
          <w:noProof/>
          <w:color w:val="000000"/>
          <w:sz w:val="24"/>
          <w:szCs w:val="24"/>
          <w:lang w:eastAsia="es-ES"/>
        </w:rPr>
        <w:drawing>
          <wp:inline distT="0" distB="0" distL="0" distR="0" wp14:anchorId="58C15205" wp14:editId="0B74750B">
            <wp:extent cx="5400040" cy="2631744"/>
            <wp:effectExtent l="0" t="0" r="0" b="0"/>
            <wp:docPr id="68" name="Imagen 68" descr="Relaciones econ&amp;oacute;micas entre la UE y EEU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ciones econ&amp;oacute;micas entre la UE y EEUU"/>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400040" cy="2631744"/>
                    </a:xfrm>
                    <a:prstGeom prst="rect">
                      <a:avLst/>
                    </a:prstGeom>
                    <a:noFill/>
                    <a:ln>
                      <a:noFill/>
                    </a:ln>
                  </pic:spPr>
                </pic:pic>
              </a:graphicData>
            </a:graphic>
          </wp:inline>
        </w:drawing>
      </w:r>
      <w:r w:rsidRPr="000369FD">
        <w:rPr>
          <w:rFonts w:ascii="Times New Roman" w:hAnsi="Times New Roman" w:cs="Times New Roman"/>
          <w:color w:val="000000"/>
          <w:sz w:val="24"/>
          <w:szCs w:val="24"/>
          <w:lang w:val="en-US"/>
        </w:rPr>
        <w:t xml:space="preserve"> </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lang w:val="en-US"/>
        </w:rPr>
      </w:pPr>
      <w:r w:rsidRPr="00F34E34">
        <w:rPr>
          <w:rFonts w:ascii="Times New Roman" w:hAnsi="Times New Roman" w:cs="Times New Roman"/>
          <w:color w:val="000000"/>
          <w:sz w:val="24"/>
          <w:szCs w:val="24"/>
          <w:lang w:val="en-US"/>
        </w:rPr>
        <w:t>Fuente: basado en Bertrand de Largentaye (2013), “Challenges and prospects of a transatlantic free trade area”, Policy Paper nº 99, Notre Europe, p. 9.</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En definitiva, a pesar del auge económico de las potencias emergentes, EEUU y la UE siguen siendo los grandes actores del sistema económico internacional, así como los que tiene una relación bilateral comercial e inversora más fluida, intensa y abierta.</w:t>
      </w:r>
    </w:p>
    <w:p w:rsidR="000369FD" w:rsidRPr="00F74065" w:rsidRDefault="000369FD" w:rsidP="000369FD">
      <w:pPr>
        <w:shd w:val="clear" w:color="auto" w:fill="FFFFFF"/>
        <w:spacing w:after="225" w:line="240" w:lineRule="auto"/>
        <w:jc w:val="both"/>
        <w:rPr>
          <w:rFonts w:ascii="Times New Roman" w:hAnsi="Times New Roman" w:cs="Times New Roman"/>
          <w:i/>
          <w:color w:val="000000"/>
          <w:sz w:val="24"/>
          <w:szCs w:val="24"/>
        </w:rPr>
      </w:pPr>
      <w:r w:rsidRPr="00F74065">
        <w:rPr>
          <w:rFonts w:ascii="Times New Roman" w:hAnsi="Times New Roman" w:cs="Times New Roman"/>
          <w:i/>
          <w:color w:val="000000"/>
          <w:sz w:val="24"/>
          <w:szCs w:val="24"/>
        </w:rPr>
        <w:t>Relación amigable con integración limitada</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En general, la relación económica transatlántica ha sido poco conflictiva. Al margen de disputas puntuales (véase el Gráfico 1) las relaciones económicas son fluidas. Ello se debe a que ambos bloques comparten ideas sobre cómo deben operar los mercados, son economías liberalizadas y abiertas y tienen intereses bastante compatibles, algo que no sucede con tanta claridad entre occidente y los países emergentes.</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FF0000"/>
          <w:sz w:val="24"/>
          <w:szCs w:val="24"/>
          <w:u w:val="single"/>
        </w:rPr>
        <w:lastRenderedPageBreak/>
        <w:t>A pesar de estos enormes vínculos económicos, la integración del mercado trasatlántico dista mucho de ser completa. No existe un mercado único con libre movilidad de bienes, servicios y factores de producción, como sí ocurre tanto en la UE como entre los estados de EEUU. Persisten importantes barreras no arancelarias porque cada bloque mantiene su autonomía regulatoria en materias como la propiedad intelectual, la seguridad alimentaria, la fiscalidad, la inmigración, las medidas sanitarias y fitosanitarias, los servicios audiovisuales, la legislación laboral, contable y financiera y la política de competencia, la energética y la medioambiental</w:t>
      </w:r>
      <w:r w:rsidRPr="00F34E34">
        <w:rPr>
          <w:rFonts w:ascii="Times New Roman" w:hAnsi="Times New Roman" w:cs="Times New Roman"/>
          <w:color w:val="000000"/>
          <w:sz w:val="24"/>
          <w:szCs w:val="24"/>
        </w:rPr>
        <w:t>. Algunos ejemplos de estas barreras corresponden al sector del automóvil y al de las compras públicas. En el primero, a pesar de que los aranceles no son demasiado elevados, las normativas y los estándares (particularmente sobre seguridad) a ambos lados del Atlántico son muy distintos, lo que actúa como una barrera proteccionista. En el caso de las compras públicas, las normas locales o estatales -que son especialmente relevantes en EEUU- implican que este enorme mercado está prácticamente cerrado a la competencia internacional.</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34E34">
        <w:rPr>
          <w:rFonts w:ascii="Times New Roman" w:hAnsi="Times New Roman" w:cs="Times New Roman"/>
          <w:color w:val="FF0000"/>
          <w:sz w:val="24"/>
          <w:szCs w:val="24"/>
          <w:u w:val="single"/>
        </w:rPr>
        <w:t>La ausencia de armonización en la legislación económica y en las instituciones en ambos bloques responde a que los modelos económicos europeo y norteamericano continúan siendo distintos por la diferencia en valores y preferencias entre sus ciudadanos, sin que ello haya impedido que se hayan producido un gran número de inversiones cruzadas.</w:t>
      </w:r>
      <w:r w:rsidRPr="00F34E34">
        <w:rPr>
          <w:rFonts w:ascii="Times New Roman" w:hAnsi="Times New Roman" w:cs="Times New Roman"/>
          <w:color w:val="FF0000"/>
          <w:sz w:val="24"/>
          <w:szCs w:val="24"/>
        </w:rPr>
        <w:t xml:space="preserve"> </w:t>
      </w:r>
      <w:r w:rsidRPr="00F34E34">
        <w:rPr>
          <w:rFonts w:ascii="Times New Roman" w:hAnsi="Times New Roman" w:cs="Times New Roman"/>
          <w:color w:val="000000"/>
          <w:sz w:val="24"/>
          <w:szCs w:val="24"/>
          <w:u w:val="single"/>
        </w:rPr>
        <w:t>Hasta hace unos años la existencia de estas barreras, que lógicamente incrementan los costes de transacción y reducen la eficiencia económica pero que sirven para preservar la soberanía institucional y los valores sociales más arraigados, no había sido puesta en cuestión. Se asumía que la integración económica no sería completa porque con ello se evitarían ciertos costes sociales y, por lo tanto, no se intentaron reducir estas barreras, que para algunos constituyen un injustificable “nacionalismo económico” y para otros una lícita fórmula para preservar la identidad nacional.</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Sin embargo, como explicamos más abajo, el nuevo panorama económico y geopolítico internacional, con un rápido auge de las potencias emergentes y una economía occidental muy endeudada, cada vez más envejecida, menos dinámica y en claro declive relativo, ha propiciado el lanzamiento del TTIP para reducir precisamente aquellas barreras al comercio y la inversión que hasta ahora se consideraban aceptables, e incluso deseables.</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Así, en julio de 2013 se lanzaron las negociaciones. El objetivo del TTIP es alcanzar un acuerdo ambicioso basado en la reducción de aranceles y la convergencia de estándares, que pueda ser cerrado a lo largo de 2015, que es la ventana de oportunidad que se abrirá tras las elecciones en 2014 (tanto al Parlamento Europeo como las mid-term del Congreso estadounidense) y antes de las presidenciales en EEUU en 2016. De hecho, aunque no fuera posible alcanzar un acuerdo muy ambicioso para esa fecha, los negociadores son conscientes de que, para que el TTIP tenga un futuro, es esencial cerrar algún tipo de acuerdo en 2015, y construir sobre él después de 2017.</w:t>
      </w:r>
    </w:p>
    <w:p w:rsidR="000369FD" w:rsidRPr="00234627" w:rsidRDefault="000369FD" w:rsidP="000369FD">
      <w:pPr>
        <w:shd w:val="clear" w:color="auto" w:fill="FFFFFF"/>
        <w:spacing w:after="225" w:line="240" w:lineRule="auto"/>
        <w:jc w:val="both"/>
        <w:rPr>
          <w:rFonts w:ascii="Times New Roman" w:hAnsi="Times New Roman" w:cs="Times New Roman"/>
          <w:i/>
          <w:color w:val="000000"/>
          <w:sz w:val="24"/>
          <w:szCs w:val="24"/>
        </w:rPr>
      </w:pPr>
      <w:r w:rsidRPr="00234627">
        <w:rPr>
          <w:rFonts w:ascii="Times New Roman" w:hAnsi="Times New Roman" w:cs="Times New Roman"/>
          <w:i/>
          <w:color w:val="000000"/>
          <w:sz w:val="24"/>
          <w:szCs w:val="24"/>
        </w:rPr>
        <w:t>Justificación del TTIP: no es la economía, es la geopolítica</w:t>
      </w:r>
    </w:p>
    <w:p w:rsidR="000369FD" w:rsidRPr="00F34E34"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FF0000"/>
          <w:sz w:val="24"/>
          <w:szCs w:val="24"/>
          <w:u w:val="single"/>
        </w:rPr>
        <w:t xml:space="preserve">La principal justificación que las autoridades europeas y estadounidenses han dado para lanzar el acuerdo es que generará crecimiento y empleo. Según un estudio de CEPR, encargado por la Comisión Europea, un acuerdo amplio y ambicioso podría generar 119.000 millones de euros al año para la UE y 95.000 para EEUU, lo que supondría, en media, 545 euros de renta disponible anual extra para cada familia de cuatro miembros en la UE y 655 en EEUU (siempre en caso de que los beneficios alcanzaran por igual a </w:t>
      </w:r>
      <w:r w:rsidRPr="00F34E34">
        <w:rPr>
          <w:rFonts w:ascii="Times New Roman" w:hAnsi="Times New Roman" w:cs="Times New Roman"/>
          <w:color w:val="FF0000"/>
          <w:sz w:val="24"/>
          <w:szCs w:val="24"/>
          <w:u w:val="single"/>
        </w:rPr>
        <w:lastRenderedPageBreak/>
        <w:t>toda la población y/o que los perdedores pudieran ser compensados, algo que, con toda seguridad no sucederá).</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Estos aumentos de renta en Europa estarían generados por un incremento del 28% en las exportaciones de bienes y servicios de la UE a EEUU (equivalentes a 187.000 millones de euros anuales), lo que produciría un aumento total del volumen de comercio del 6% en la UE y del 8% en EEUU. Como los aranceles ya son bajos, el 80% de estas ganancias provendrían del avance hacia un mercado común transatlántico, es decir, de la reducción de las barreras no arancelarias, en particular de la liberalización del comercio de servicios y de las compras públicas, así como de la simplificación de los requisitos administrativos y de la homologación de normas. Esto supone que el TTIP trata sobre todo de lo que se conoce en economía como integración positiva (establecer nuevas normas comunes) más que de integración negativa (quitar trabas al comercio). Por lo tanto, no es un ejercicio de desregulación sino más bien todo lo contrario</w:t>
      </w:r>
      <w:r w:rsidRPr="00F34E34">
        <w:rPr>
          <w:rFonts w:ascii="Times New Roman" w:hAnsi="Times New Roman" w:cs="Times New Roman"/>
          <w:color w:val="000000"/>
          <w:sz w:val="24"/>
          <w:szCs w:val="24"/>
        </w:rPr>
        <w:t xml:space="preserve">. Ello se debe a que las áreas en las que aparecen mayores ganancias del comercio (por ejemplo servicios, inversiones y compras públicas) están muy reguladas a ambos lados del Atlántico porque, en las mismas, tienden a existir fallos de mercado que hacen imprescindible la intervención pública, como es el caso, por ejemplo, del sistema financiero y de los productos alimentarios y farmacéuticos. </w:t>
      </w:r>
      <w:r w:rsidRPr="00F74065">
        <w:rPr>
          <w:rFonts w:ascii="Times New Roman" w:hAnsi="Times New Roman" w:cs="Times New Roman"/>
          <w:color w:val="FF0000"/>
          <w:sz w:val="24"/>
          <w:szCs w:val="24"/>
          <w:u w:val="single"/>
        </w:rPr>
        <w:t>Por último, el informe proyecta que el impacto del acuerdo para el resto del mundo será positivo en 100.000 millones de euros (la creación de comercio superará a la desviación de comercio), así como que sólo entre el 0,2% y el 0,5% de los trabajadores europeos tendría que cambiar de empleo, al tiempo que se generarán múltiples oportunidades de trabajo en una amplia variedad de sectores.</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Aunque analizar el impacto por países es todavía más difícil, según un estudio de la Fundación Bertelsmann Stiftung, si se alcanzara un acuerdo amplio, los países más beneficiados (en términos de aumento de la renta per cápita) serían el Reino Unido, Suecia, Finlandia, Irlanda y España, siendo Francia el país para el que las ganancias serían menores.</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34E34">
        <w:rPr>
          <w:rFonts w:ascii="Times New Roman" w:hAnsi="Times New Roman" w:cs="Times New Roman"/>
          <w:color w:val="000000"/>
          <w:sz w:val="24"/>
          <w:szCs w:val="24"/>
        </w:rPr>
        <w:t xml:space="preserve">Más allá de que estas estimaciones pueden tanto resultar exageradas como quedarse cortas, no resultan sorprendentes: </w:t>
      </w:r>
      <w:r w:rsidRPr="00F74065">
        <w:rPr>
          <w:rFonts w:ascii="Times New Roman" w:hAnsi="Times New Roman" w:cs="Times New Roman"/>
          <w:color w:val="FF0000"/>
          <w:sz w:val="24"/>
          <w:szCs w:val="24"/>
          <w:u w:val="single"/>
        </w:rPr>
        <w:t xml:space="preserve">todos los modelos de comercio internacional predicen que una reducción de barreras al comercio aumenta el excedente del consumidor, aunque también destacan que la apertura comercial da lugar a importantes efectos redistributivos al generar ganadores y perdedores, y que los perdedores casi nunca son compensados. </w:t>
      </w:r>
      <w:r w:rsidRPr="00F74065">
        <w:rPr>
          <w:rFonts w:ascii="Times New Roman" w:hAnsi="Times New Roman" w:cs="Times New Roman"/>
          <w:color w:val="000000"/>
          <w:sz w:val="24"/>
          <w:szCs w:val="24"/>
          <w:u w:val="single"/>
        </w:rPr>
        <w:t>Además, una vez que los países alcanzan niveles de renta elevados y el peso de los servicios en su PIB crece, las mayores ganancias de comercio pasan precisamente por la apertura del comercio de servicios, que es una de las piezas fundamentales del TTIP</w:t>
      </w:r>
      <w:r w:rsidRPr="00F34E34">
        <w:rPr>
          <w:rFonts w:ascii="Times New Roman" w:hAnsi="Times New Roman" w:cs="Times New Roman"/>
          <w:color w:val="000000"/>
          <w:sz w:val="24"/>
          <w:szCs w:val="24"/>
        </w:rPr>
        <w:t xml:space="preserve">. </w:t>
      </w:r>
      <w:r w:rsidRPr="00F74065">
        <w:rPr>
          <w:rFonts w:ascii="Times New Roman" w:hAnsi="Times New Roman" w:cs="Times New Roman"/>
          <w:color w:val="FF0000"/>
          <w:sz w:val="24"/>
          <w:szCs w:val="24"/>
          <w:u w:val="single"/>
        </w:rPr>
        <w:t>En definitiva, en un entorno de bajo crecimiento económico transatlántico y poco margen para aumentos de gasto público para dinamizar el crecimiento, la liberalización comercial aparece como una buena iniciativa. Aunque cerrar el TTIP no vaya a ser ni mucho menos suficiente para dejar atrás la Gran Recesión o resolver los problemas de la unión monetaria europea, el acuerdo puede generar ganancias de renta a coste cero para las arcas públicas. Y eso, en sí mismo, convierte al TTIP en una iniciativa deseable.</w:t>
      </w:r>
    </w:p>
    <w:p w:rsidR="000369FD"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Sin embargo, todas estas potenciales ganancias de comercio también existían hace 10 años y, seguramente, también existirán en el futuro. Por tanto, la pregunta relevante es ¿por qué ahora el TTIP? Y la respuesta hay que buscarla en la geopolítica.</w:t>
      </w:r>
    </w:p>
    <w:p w:rsidR="008742C5" w:rsidRPr="00F74065" w:rsidRDefault="008742C5" w:rsidP="000369FD">
      <w:pPr>
        <w:shd w:val="clear" w:color="auto" w:fill="FFFFFF"/>
        <w:spacing w:after="225" w:line="240" w:lineRule="auto"/>
        <w:jc w:val="both"/>
        <w:rPr>
          <w:rFonts w:ascii="Times New Roman" w:hAnsi="Times New Roman" w:cs="Times New Roman"/>
          <w:color w:val="FF0000"/>
          <w:sz w:val="24"/>
          <w:szCs w:val="24"/>
          <w:u w:val="single"/>
        </w:rPr>
      </w:pPr>
    </w:p>
    <w:p w:rsidR="000369FD" w:rsidRPr="00234627" w:rsidRDefault="000369FD" w:rsidP="000369FD">
      <w:pPr>
        <w:shd w:val="clear" w:color="auto" w:fill="FFFFFF"/>
        <w:spacing w:after="225" w:line="240" w:lineRule="auto"/>
        <w:jc w:val="both"/>
        <w:rPr>
          <w:rFonts w:ascii="Times New Roman" w:hAnsi="Times New Roman" w:cs="Times New Roman"/>
          <w:i/>
          <w:color w:val="000000"/>
          <w:sz w:val="24"/>
          <w:szCs w:val="24"/>
        </w:rPr>
      </w:pPr>
      <w:r w:rsidRPr="00234627">
        <w:rPr>
          <w:rFonts w:ascii="Times New Roman" w:hAnsi="Times New Roman" w:cs="Times New Roman"/>
          <w:i/>
          <w:color w:val="000000"/>
          <w:sz w:val="24"/>
          <w:szCs w:val="24"/>
        </w:rPr>
        <w:lastRenderedPageBreak/>
        <w:t>El TTIP como respuesta al auge de las potencias emergentes</w:t>
      </w:r>
    </w:p>
    <w:p w:rsidR="000369FD" w:rsidRPr="00F74065"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74065">
        <w:rPr>
          <w:rFonts w:ascii="Times New Roman" w:hAnsi="Times New Roman" w:cs="Times New Roman"/>
          <w:color w:val="000000"/>
          <w:sz w:val="24"/>
          <w:szCs w:val="24"/>
          <w:u w:val="single"/>
        </w:rPr>
        <w:t>A lo largo de las últimas décadas, conforme avanzaba la globalización económica y los países emergentes (sobre todo asiáticos) se abrían a la economía mundial, el centro neurálgico de la economía internacional se ha ido desplazando lentamente desde el Atlántico hacia el Pacífico. En un principio estos cambios no pusieron en jaque el liderazgo político, económico e intelectual de Occidente: se trataba de que los nuevos países adoptaran las reglas marcadas por las viejas potencias. Sin embargo, desde el estallido de la crisis financiera global en 2007, y de la Gran Recesión que la ha seguido, el proceso de convergencia entre las principales economías emergentes y los países avanzados se ha acelerado. Mientras que los primeros resistieron relativamente bien la crisis, los segundos se han visto atrapados en círculos viciosos de bajo crecimiento y alta deuda, que dificultan (especialmente en la zona euro) la recuperación del liderazgo que tuvieron en el pasado (Gráfico 2).</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Gráfico 2. Contribución al crecimiento mundial de los países avanzados y emergentes, 1980-2018</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4B2C71">
        <w:rPr>
          <w:rFonts w:ascii="Times New Roman" w:eastAsia="Times New Roman" w:hAnsi="Times New Roman" w:cs="Times New Roman"/>
          <w:noProof/>
          <w:color w:val="000000"/>
          <w:sz w:val="24"/>
          <w:szCs w:val="24"/>
          <w:lang w:eastAsia="es-ES"/>
        </w:rPr>
        <w:drawing>
          <wp:inline distT="0" distB="0" distL="0" distR="0" wp14:anchorId="0DBAD7B4" wp14:editId="53F1CA6A">
            <wp:extent cx="5276850" cy="1943100"/>
            <wp:effectExtent l="0" t="0" r="0" b="0"/>
            <wp:docPr id="75" name="Imagen 75" descr="Contribuci&amp;oacute;n al crecimiento mundial de los pa&amp;iacute;ses avanzados y emergentes, 1980-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ribuci&amp;oacute;n al crecimiento mundial de los pa&amp;iacute;ses avanzados y emergentes, 1980-201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276850" cy="1943100"/>
                    </a:xfrm>
                    <a:prstGeom prst="rect">
                      <a:avLst/>
                    </a:prstGeom>
                    <a:noFill/>
                    <a:ln>
                      <a:noFill/>
                    </a:ln>
                  </pic:spPr>
                </pic:pic>
              </a:graphicData>
            </a:graphic>
          </wp:inline>
        </w:drawing>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Fuente: BBVA Research con datos del FMI.</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Incluso EEUU, cuyo declive relativo es mucho menor que el de la mayoría de los países europeos, y que incluso podría sostener su posición de única superpotencia mundial durante décadas por su hegemonía militar, su capacidad de innovación y su reciente revolución energética, ha optado por iniciar una retirada estratégica de los asuntos internacionales. En definitiva, EEUU y la UE han visto cómo, en pocos años, la legitimidad de su modelo económico se cuestionaba, su liderazgo en la economía mundial se debilitaba, el orden económico internacional que habían diseñado tenía cada vez más contestación y, lo que es más importante en términos simbólicos, aparecía una narrativa dominante en el mundo según la cual el futuro es de los países emergentes.</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El TTIP, por tanto, puede verse como parte de la reacción de Europa y EEUU a su declive relativo; es decir, como un instrumento para recuperar el liderazgo y, por tanto, lograr mayor influencia en el escenario internacional. Se trata de revitalizar su poder de una forma indirecta, que no supone un conflicto abierto con los países emergentes, a través de la fijación de nuevas reglas de juego en el campo económico. Como ya hicieron durante la época del GATT, el objetivo es redefinir la infraestructura económica mundial a imagen y semejanza de sus propias reglas, que reflejan sus valores e intereses.</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lastRenderedPageBreak/>
        <w:t>Sin embargo, ya no pueden hacerlo mediante su dominio de las instituciones multilaterales como la OMC, cuyas negociaciones de la Ronda de Doha están estancadas precisamente porque los países emergentes ya no aceptan los dictados de los países avanzados. Por lo tanto, han optado por intentar forjar normas comunes para los sectores que más potencial de crecimiento tendrán en el futuro, de modo que aparezca un nuevo y apetitoso mercado transatlántico que sirva simultáneamente para generar crecimiento en sus maltrechas economías y, sobre todo, se convierta en el mercado más deseado por los exportadores de los países emergentes, que todavía dependen significativamente de sus ventas a los países ricos para crecer. Si el TTIP llega a buen puerto el mensaje para los países emergentes será claro: si queréis vender vuestros productos a mis ricos consumidores debéis adoptar mis normas; si no, os quedareis fuera, por lo que vuestro crecimiento será menor.</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De hecho, esta lectura geopolítica del TTIP resulta todavía más clara al observar que tanto EEUU como la UE han firmado o están negociando un gran número de acuerdos de libre comercio (profundos) centrados en los servicios y la inversión con terceros países. El más reciente es el que la UE completó con Canadá en noviembre de 2013, que puede verse como un precursor del TTIP puesto que Canadá es una economía avanzada que ya tiene un acuerdo de libre comercio con EEUU, acuerdo que también incluye a México (NAFTA). Pero además, la UE ha cerrado un acuerdo con Corea del Sur y está negociando otros con Japón y la India, además de tener una amplia red de tratados de libre comercio con países emergentes, especialmente en América Latina (estos acuerdos, en general, no abordan muchas de las barreras no arancelarias que se pretende incluir en el TTIP).</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Por su parte, EEUU, que también completó un acuerdo con Corea del Sur en 2012, y que tiene una nutrida red de acuerdos con países de América Latina y el mundo árabe, lanzó un año antes del TTIP la negociación del Acuerdo Trans Pacífico (TPP), que incluye a las principales economías a ambas orillas del Pacífico (incluido Japón), pero que excluye a China.</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En definitiva, EEUU y la UE lideran en este momento varios mega acuerdos bilaterales o regionales, tanto con países avanzados como con los países emergentes que se muestran suficientemente abiertos a la inversión extranjera directa y que están bien insertos en las nuevas cadenas de valor globales, que son las que hoy determinan los patrones de comercio mundial. Todos estos acuerdos aspiran a una integración profunda, más allá de los temas arancelarios, pero siempre bajo el liderazgo normativo de EEUU y la UE, que disfrutan siempre de una posición privilegiada en las negociaciones ya que, en todos los casos, el coste del no acuerdo es menor para ellos que para los países con los que negocia, dado el atractivo de su rico mercado interno.</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Si todos estos acuerdos llegaran a firmarse, y si sus normas y estándares fueran más o menos similares, no sería difícil multilateralizarlos en la OMC, ya que de facto habría unas nuevas reglas para prácticamente todo el comercio mundial, cuyo modelo sería el TTIP. Habría así una OMC 2.0 que habría creado nuevas normas por la vía de la multilateralización del nuevo regionalismo bajo el liderazgo transatlántico, rompiendo así el impasse en el que la organización está desde hace años precisamente por la negativa de los países emergentes a adoptar este tipo de normas.</w:t>
      </w:r>
    </w:p>
    <w:p w:rsidR="000369FD" w:rsidRDefault="000369FD" w:rsidP="000369FD">
      <w:pPr>
        <w:shd w:val="clear" w:color="auto" w:fill="FFFFFF"/>
        <w:spacing w:after="225" w:line="240" w:lineRule="auto"/>
        <w:jc w:val="both"/>
        <w:rPr>
          <w:rFonts w:ascii="Times New Roman" w:hAnsi="Times New Roman" w:cs="Times New Roman"/>
          <w:color w:val="000000"/>
          <w:sz w:val="24"/>
          <w:szCs w:val="24"/>
        </w:rPr>
      </w:pP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p>
    <w:p w:rsidR="000369FD" w:rsidRPr="00234627" w:rsidRDefault="000369FD" w:rsidP="000369FD">
      <w:pPr>
        <w:shd w:val="clear" w:color="auto" w:fill="FFFFFF"/>
        <w:spacing w:after="225" w:line="240" w:lineRule="auto"/>
        <w:jc w:val="both"/>
        <w:rPr>
          <w:rFonts w:ascii="Times New Roman" w:hAnsi="Times New Roman" w:cs="Times New Roman"/>
          <w:i/>
          <w:color w:val="000000"/>
          <w:sz w:val="24"/>
          <w:szCs w:val="24"/>
        </w:rPr>
      </w:pPr>
      <w:r w:rsidRPr="00234627">
        <w:rPr>
          <w:rFonts w:ascii="Times New Roman" w:hAnsi="Times New Roman" w:cs="Times New Roman"/>
          <w:i/>
          <w:color w:val="000000"/>
          <w:sz w:val="24"/>
          <w:szCs w:val="24"/>
        </w:rPr>
        <w:lastRenderedPageBreak/>
        <w:t>El plan puede descarrilar</w:t>
      </w:r>
    </w:p>
    <w:p w:rsidR="000369FD" w:rsidRPr="00F74065" w:rsidRDefault="000369FD" w:rsidP="000369FD">
      <w:pPr>
        <w:shd w:val="clear" w:color="auto" w:fill="FFFFFF"/>
        <w:spacing w:after="225" w:line="240" w:lineRule="auto"/>
        <w:jc w:val="both"/>
        <w:rPr>
          <w:rFonts w:ascii="Times New Roman" w:hAnsi="Times New Roman" w:cs="Times New Roman"/>
          <w:color w:val="000000"/>
          <w:sz w:val="24"/>
          <w:szCs w:val="24"/>
          <w:u w:val="single"/>
        </w:rPr>
      </w:pPr>
      <w:r w:rsidRPr="00F74065">
        <w:rPr>
          <w:rFonts w:ascii="Times New Roman" w:hAnsi="Times New Roman" w:cs="Times New Roman"/>
          <w:color w:val="000000"/>
          <w:sz w:val="24"/>
          <w:szCs w:val="24"/>
          <w:u w:val="single"/>
        </w:rPr>
        <w:t>Utilizar el TTIP como palanca para recuperar el liderazgo económico mundial y de paso resucitar la OMC resulta sin duda atractivo. Sin embargo, la estrategia podría fallar, bien por problemas en la propia negociación del TTIP, bien porque la reacción de las economías emergentes no sea la deseada por el eje transatlántico.</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74065">
        <w:rPr>
          <w:rFonts w:ascii="Times New Roman" w:hAnsi="Times New Roman" w:cs="Times New Roman"/>
          <w:color w:val="FF0000"/>
          <w:sz w:val="24"/>
          <w:szCs w:val="24"/>
          <w:u w:val="single"/>
        </w:rPr>
        <w:t>Para que el plan llegue a buen puerto, es imprescindible que estadounidenses y europeos se pongan de acuerdo en nuevas normas para el comercio y la inversión. Como se han excluido de la negociación los temas más espinosos (las industrias culturales, los subsidios agrícolas y parte de la industria militar) lograr un TTIP ambicioso es factible.</w:t>
      </w:r>
      <w:r w:rsidRPr="00F74065">
        <w:rPr>
          <w:rFonts w:ascii="Times New Roman" w:hAnsi="Times New Roman" w:cs="Times New Roman"/>
          <w:color w:val="FF0000"/>
          <w:sz w:val="24"/>
          <w:szCs w:val="24"/>
        </w:rPr>
        <w:t xml:space="preserve"> </w:t>
      </w:r>
      <w:r w:rsidRPr="00F74065">
        <w:rPr>
          <w:rFonts w:ascii="Times New Roman" w:hAnsi="Times New Roman" w:cs="Times New Roman"/>
          <w:color w:val="000000"/>
          <w:sz w:val="24"/>
          <w:szCs w:val="24"/>
          <w:u w:val="single"/>
        </w:rPr>
        <w:t>Sin embargo, como las tradiciones regulatorias a ambos lados del Atlántico son distintas, esto no será ni mucho menos automático</w:t>
      </w:r>
      <w:r w:rsidRPr="00F34E34">
        <w:rPr>
          <w:rFonts w:ascii="Times New Roman" w:hAnsi="Times New Roman" w:cs="Times New Roman"/>
          <w:color w:val="000000"/>
          <w:sz w:val="24"/>
          <w:szCs w:val="24"/>
        </w:rPr>
        <w:t>. De hecho, como en materia económica la relación de fuerzas entre la UE y EEUU está equilibrada ninguno podrá forzar al otro a que adopte sus propios estándares, lo que deja al reconocimiento mutuo como la mejor fórmula para avanzar. Pero en la UE saben bien que, incluso optando por el reconocimiento mutuo y no por la armonización normativa, fueron necesarias varias décadas para construir el mercado interior. Y, en servicios, todavía no se ha conseguido.</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Las dificultades aparecerán a varios niveles. Primero, deben vencerse las resistencias de los grupos de interés proteccionistas para reducir a cero los aranceles, lo que será más difícil en los productos que mantienen aranceles pico elevados, como los productos lácteos, el azúcar y los cereales. Segundo, será necesario un ejercicio de confianza mutua sin precedentes para avanzar a través del sistema del reconocimiento mutuo, por el cual cada parte acepta como buenos los controles que la otra realiza de los bienes para proteger al consumidor. Sólo así se conseguirá liberalizar sectores con complejas normas de seguridad como los automóviles y los productos alimentarios. Por último, en las áreas en las que todavía quedan normas por establecer (tema que afecta especialmente a los servicios de alto valor añadido, que crecerán de forma exponencial en el futuro), es imprescindible que se establezca una cooperación entre reguladores que termine fraguando nuevas reglas comunes, o, al menos, compatibles. Y, por último, debe mantenerse el compromiso político al más alto nivel para alcanzar el acuerdo, algo que podría debilitarse si casos como el del espionaje minan la confianza entre las partes y envenenan la relación bilateral.</w:t>
      </w:r>
    </w:p>
    <w:p w:rsidR="000369FD" w:rsidRPr="00F34E34"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Pero aún si el TTIP logra completarse, nada asegura que el acuerdo vaya a abrir una nueva etapa de globalización bajo liderazgo occidental. Las potencias emergentes, en especial China, la India y los países de América del Sur, se han resistido durante años a aceptar normas en la OMC que redujeran su margen de maniobra para la política industrial, que son precisamente las normas que intenta fijar el TTIP. Por lo tanto, si para cuando el TTIP esté firmado y funcionando sus propios mercados suponen una porción mayoritaria y creciente del mercado mundial, podrían optar por no adoptar los estándares del TTIP para no perder soberanía regulatoria, confiando en que el coste de oportunidad de esta decisión no fuera demasiado alto porque las oportunidades de crecimiento exportador en el mercado transatlántico fueran decrecientes. De ser así, el TTIP no se convertiría en el modelo de la nueva regulación del comercio mundial, ni sería multilateralizado a través de la OMC, sino que sería el principio de un escenario de fragmentación del mercado mundial entre grandes bloques comerciales rivales que delegaría a la irrelevancia a la OMC, que por el momento es la institución que mejor ha funcionado para regular la globalización.</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234627">
        <w:rPr>
          <w:rFonts w:ascii="Times New Roman" w:hAnsi="Times New Roman" w:cs="Times New Roman"/>
          <w:b/>
          <w:color w:val="000000"/>
          <w:sz w:val="24"/>
          <w:szCs w:val="24"/>
        </w:rPr>
        <w:lastRenderedPageBreak/>
        <w:t>Conclusión</w:t>
      </w:r>
      <w:r w:rsidRPr="00F34E34">
        <w:rPr>
          <w:rFonts w:ascii="Times New Roman" w:hAnsi="Times New Roman" w:cs="Times New Roman"/>
          <w:color w:val="000000"/>
          <w:sz w:val="24"/>
          <w:szCs w:val="24"/>
        </w:rPr>
        <w:t xml:space="preserve">: </w:t>
      </w:r>
      <w:r w:rsidRPr="00F74065">
        <w:rPr>
          <w:rFonts w:ascii="Times New Roman" w:hAnsi="Times New Roman" w:cs="Times New Roman"/>
          <w:color w:val="FF0000"/>
          <w:sz w:val="24"/>
          <w:szCs w:val="24"/>
          <w:u w:val="single"/>
        </w:rPr>
        <w:t>Cerrar un acuerdo ambicioso de comercio e inversiones puede tener para la UE y EEUU un doble dividendo. Por una parte, y esto coincide con el discurso oficial defendido por ambas potencias, el tratado podría impulsar el crecimiento económico a ambos lados del atlántico. Y además lo haría a coste cero, algo especialmente importante ante la actual coyuntura de recortes presupuestarios. Solo por este motivo, el TTIP es una buena idea. Sin embargo, como hemos mostrado en este artículo, existe una razón no explicitada por la que las autoridades transatlánticas han optado por lanzar esta iniciativa ahora: devolver el liderazgo económico y geopolítico a un Occidente cada vez más atemorizado por la narrativa dominante en las relaciones internacionales según la cual el futuro es de los países emergentes. Y lo haría, además, sin una confrontación directa con las potencias emergentes, sino reescribiendo las reglas del comercio y las inversiones mundiales, que son la infraestructura sobre la que se apoya la globalización.</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 xml:space="preserve">Así, en la medida en la que el TTIP logre fijar estándares regulatorios en las áreas del comercio y la inversión con mayor potencial de crecimiento y débilmente regulados por la OMC, como los servicios, la protección de inversiones y los estándares técnicos y sanitarios, los países emergentes se verían presionados a adoptarlos también para asegurar su acceso al mercado transatlántico, lo que además permitiría revitalizar la maltrecha OMC pero con una clara hegemonía regulatoria occidental. </w:t>
      </w:r>
    </w:p>
    <w:p w:rsidR="000369FD" w:rsidRPr="00F74065" w:rsidRDefault="000369FD" w:rsidP="000369FD">
      <w:pPr>
        <w:shd w:val="clear" w:color="auto" w:fill="FFFFFF"/>
        <w:spacing w:after="225" w:line="240" w:lineRule="auto"/>
        <w:jc w:val="both"/>
        <w:rPr>
          <w:rFonts w:ascii="Times New Roman" w:hAnsi="Times New Roman" w:cs="Times New Roman"/>
          <w:color w:val="FF0000"/>
          <w:sz w:val="24"/>
          <w:szCs w:val="24"/>
          <w:u w:val="single"/>
        </w:rPr>
      </w:pPr>
      <w:r w:rsidRPr="00F74065">
        <w:rPr>
          <w:rFonts w:ascii="Times New Roman" w:hAnsi="Times New Roman" w:cs="Times New Roman"/>
          <w:color w:val="FF0000"/>
          <w:sz w:val="24"/>
          <w:szCs w:val="24"/>
          <w:u w:val="single"/>
        </w:rPr>
        <w:t>El camino, sin embargo, no será fácil. Primero será necesario vencer las resistencias transatlánticas internas a un acuerdo ambicioso y lograr que éste salga adelante en 2015, antes de las elecciones presidenciales en EEUU. En segundo lugar, una vez que el acuerdo comience a aplicarse, habrá que ver cuál es la distribución de fuerzas entre los países avanzados y emergentes en la economía mundial; es decir, qué margen de maniobra tienen los emergentes para dar la espalda al TTIP por considerar que pueden volar solos.</w:t>
      </w:r>
    </w:p>
    <w:p w:rsidR="000369FD" w:rsidRPr="0081458D" w:rsidRDefault="000369FD" w:rsidP="000369FD">
      <w:pPr>
        <w:shd w:val="clear" w:color="auto" w:fill="FFFFFF"/>
        <w:spacing w:after="225" w:line="240" w:lineRule="auto"/>
        <w:jc w:val="both"/>
        <w:rPr>
          <w:rFonts w:ascii="Times New Roman" w:hAnsi="Times New Roman" w:cs="Times New Roman"/>
          <w:color w:val="000000"/>
          <w:sz w:val="24"/>
          <w:szCs w:val="24"/>
        </w:rPr>
      </w:pPr>
      <w:r w:rsidRPr="00F34E34">
        <w:rPr>
          <w:rFonts w:ascii="Times New Roman" w:hAnsi="Times New Roman" w:cs="Times New Roman"/>
          <w:color w:val="000000"/>
          <w:sz w:val="24"/>
          <w:szCs w:val="24"/>
        </w:rPr>
        <w:t>(Federico Steinberg Investigador principal de Economía del Real Instituto Elcano y profesor de la Universidad Autónoma de Madrid)</w:t>
      </w:r>
    </w:p>
    <w:p w:rsidR="000369FD" w:rsidRPr="004B2C71" w:rsidRDefault="000369FD" w:rsidP="000369FD">
      <w:pPr>
        <w:spacing w:after="0" w:line="240" w:lineRule="auto"/>
        <w:rPr>
          <w:rFonts w:ascii="Arial" w:eastAsia="Times New Roman" w:hAnsi="Arial" w:cs="Arial"/>
          <w:vanish/>
          <w:sz w:val="15"/>
          <w:szCs w:val="15"/>
          <w:lang w:eastAsia="es-ES"/>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504"/>
      </w:tblGrid>
      <w:tr w:rsidR="000369FD" w:rsidRPr="004B2C71" w:rsidTr="003C7DEE">
        <w:trPr>
          <w:tblCellSpacing w:w="15" w:type="dxa"/>
        </w:trPr>
        <w:tc>
          <w:tcPr>
            <w:tcW w:w="0" w:type="auto"/>
            <w:vAlign w:val="bottom"/>
            <w:hideMark/>
          </w:tcPr>
          <w:p w:rsidR="000369FD" w:rsidRPr="004B2C71" w:rsidRDefault="000369FD" w:rsidP="003C7DEE">
            <w:pPr>
              <w:spacing w:after="0" w:line="240" w:lineRule="auto"/>
              <w:jc w:val="right"/>
              <w:rPr>
                <w:rFonts w:ascii="Arial" w:eastAsia="Times New Roman" w:hAnsi="Arial" w:cs="Arial"/>
                <w:b/>
                <w:bCs/>
                <w:color w:val="008CA2"/>
                <w:sz w:val="18"/>
                <w:szCs w:val="18"/>
                <w:lang w:eastAsia="es-ES"/>
              </w:rPr>
            </w:pPr>
          </w:p>
        </w:tc>
      </w:tr>
    </w:tbl>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37B07">
        <w:rPr>
          <w:rFonts w:ascii="Times New Roman" w:eastAsia="Times New Roman" w:hAnsi="Times New Roman" w:cs="Times New Roman"/>
          <w:sz w:val="24"/>
          <w:szCs w:val="24"/>
          <w:lang w:eastAsia="es-ES"/>
        </w:rPr>
        <w:t xml:space="preserve">- </w:t>
      </w:r>
      <w:r w:rsidRPr="00102F13">
        <w:rPr>
          <w:rFonts w:ascii="Times New Roman" w:eastAsia="Times New Roman" w:hAnsi="Times New Roman" w:cs="Times New Roman"/>
          <w:sz w:val="24"/>
          <w:szCs w:val="24"/>
          <w:u w:val="single"/>
          <w:lang w:eastAsia="es-ES"/>
        </w:rPr>
        <w:t>El peligroso alejamiento de las reglas comerciales globales</w:t>
      </w:r>
      <w:r>
        <w:rPr>
          <w:rFonts w:ascii="Times New Roman" w:eastAsia="Times New Roman" w:hAnsi="Times New Roman" w:cs="Times New Roman"/>
          <w:sz w:val="24"/>
          <w:szCs w:val="24"/>
          <w:lang w:eastAsia="es-ES"/>
        </w:rPr>
        <w:t xml:space="preserve"> (Project Syndicate - </w:t>
      </w:r>
      <w:r w:rsidRPr="00102F13">
        <w:rPr>
          <w:rFonts w:ascii="Times New Roman" w:eastAsia="Times New Roman" w:hAnsi="Times New Roman" w:cs="Times New Roman"/>
          <w:b/>
          <w:sz w:val="24"/>
          <w:szCs w:val="24"/>
          <w:lang w:eastAsia="es-ES"/>
        </w:rPr>
        <w:t>9/1/14</w:t>
      </w:r>
      <w:r>
        <w:rPr>
          <w:rFonts w:ascii="Times New Roman" w:eastAsia="Times New Roman" w:hAnsi="Times New Roman" w:cs="Times New Roman"/>
          <w:sz w:val="24"/>
          <w:szCs w:val="24"/>
          <w:lang w:eastAsia="es-ES"/>
        </w:rPr>
        <w:t>)</w:t>
      </w:r>
    </w:p>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Ginebra.-</w:t>
      </w:r>
      <w:r w:rsidRPr="00437B07">
        <w:rPr>
          <w:rFonts w:ascii="Times New Roman" w:eastAsia="Times New Roman" w:hAnsi="Times New Roman" w:cs="Times New Roman"/>
          <w:sz w:val="24"/>
          <w:szCs w:val="24"/>
          <w:lang w:eastAsia="es-ES"/>
        </w:rPr>
        <w:t xml:space="preserve"> En el transcurso de los últimos 50 años,</w:t>
      </w:r>
      <w:r>
        <w:rPr>
          <w:rFonts w:ascii="Times New Roman" w:eastAsia="Times New Roman" w:hAnsi="Times New Roman" w:cs="Times New Roman"/>
          <w:sz w:val="24"/>
          <w:szCs w:val="24"/>
          <w:lang w:eastAsia="es-ES"/>
        </w:rPr>
        <w:t xml:space="preserve"> el mundo ha experimentado una “gran convergencia”</w:t>
      </w:r>
      <w:r w:rsidRPr="00437B07">
        <w:rPr>
          <w:rFonts w:ascii="Times New Roman" w:eastAsia="Times New Roman" w:hAnsi="Times New Roman" w:cs="Times New Roman"/>
          <w:sz w:val="24"/>
          <w:szCs w:val="24"/>
          <w:lang w:eastAsia="es-ES"/>
        </w:rPr>
        <w:t>, en la que los ingresos per cápita en los países desarrollados aumentaron casi tres veces más rápido que en los países avanzados. Pero los avances en 2013 revelaron que el régimen de comercio abierto que facilitó este progreso hoy está bajo una seria amenaza, ya que el impasse en las negociaciones comerciales multilaterale</w:t>
      </w:r>
      <w:r>
        <w:rPr>
          <w:rFonts w:ascii="Times New Roman" w:eastAsia="Times New Roman" w:hAnsi="Times New Roman" w:cs="Times New Roman"/>
          <w:sz w:val="24"/>
          <w:szCs w:val="24"/>
          <w:lang w:eastAsia="es-ES"/>
        </w:rPr>
        <w:t xml:space="preserve">s promueve la proliferación de </w:t>
      </w:r>
      <w:r w:rsidRPr="004D2480">
        <w:rPr>
          <w:rFonts w:ascii="Times New Roman" w:eastAsia="Times New Roman" w:hAnsi="Times New Roman" w:cs="Times New Roman"/>
          <w:color w:val="FF0000"/>
          <w:sz w:val="24"/>
          <w:szCs w:val="24"/>
          <w:u w:val="single"/>
          <w:lang w:eastAsia="es-ES"/>
        </w:rPr>
        <w:t>“acuerdos comerciales preferenciales” (ACP),</w:t>
      </w:r>
      <w:r w:rsidRPr="00437B07">
        <w:rPr>
          <w:rFonts w:ascii="Times New Roman" w:eastAsia="Times New Roman" w:hAnsi="Times New Roman" w:cs="Times New Roman"/>
          <w:sz w:val="24"/>
          <w:szCs w:val="24"/>
          <w:lang w:eastAsia="es-ES"/>
        </w:rPr>
        <w:t xml:space="preserve"> que incluyen los dos acuerdos más grandes que alguna vez se hayan negociado -el Acuerdo de Asociación Transpacífico (TPP por su sigla en inglés) y el Acuerdo Transatlántico para el Comercio y la Inversión (TTIP por su sigla en inglés).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D2480">
        <w:rPr>
          <w:rFonts w:ascii="Times New Roman" w:eastAsia="Times New Roman" w:hAnsi="Times New Roman" w:cs="Times New Roman"/>
          <w:color w:val="FF0000"/>
          <w:sz w:val="24"/>
          <w:szCs w:val="24"/>
          <w:u w:val="single"/>
          <w:lang w:eastAsia="es-ES"/>
        </w:rPr>
        <w:t xml:space="preserve">Las reglas y normas que surgen del Acuerdo General sobre Aranceles Aduaneros y Comercio (GATT) y su sucesor, la Organización Mundial de Comercio (OMC), han apuntalado el modelo de crecimiento liderado por las exportaciones que permitió que los países en desarrollo saquen a millones de personas de la pobreza. La ironía es que el hecho de que las grandes economías en desarrollo hayan alcanzado una relevancia sistémica es un elemento central del impasse en las negociaciones comerciales multilaterales.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D2480">
        <w:rPr>
          <w:rFonts w:ascii="Times New Roman" w:eastAsia="Times New Roman" w:hAnsi="Times New Roman" w:cs="Times New Roman"/>
          <w:color w:val="FF0000"/>
          <w:sz w:val="24"/>
          <w:szCs w:val="24"/>
          <w:u w:val="single"/>
          <w:lang w:eastAsia="es-ES"/>
        </w:rPr>
        <w:lastRenderedPageBreak/>
        <w:t xml:space="preserve">Los países avanzados sostienen que las economías emergentes deberían adoptar la reciprocidad y establecer regímenes comerciales similares a los suyos. Las economías emergentes responden que sus ingresos per cápita siguen siendo mucho más bajos que los de sus pares desarrollados, e insisten en que hacer frente a sus enormes desafíos en materia de desarrollo exige flexibilidad en términos de sus obligaciones comerciales. El impasse resultante ha impedido que se lleve a cabo una discusión significativa sobre las cuestiones principales -entre ellas medidas no arancelarias, restricciones a las exportaciones, comercio electrónico, tipos de cambio y las implicancias para el comercio de las políticas vinculadas al cambio climático- que plantea una economía global abierta.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D2480">
        <w:rPr>
          <w:rFonts w:ascii="Times New Roman" w:eastAsia="Times New Roman" w:hAnsi="Times New Roman" w:cs="Times New Roman"/>
          <w:color w:val="FF0000"/>
          <w:sz w:val="24"/>
          <w:szCs w:val="24"/>
          <w:u w:val="single"/>
          <w:lang w:eastAsia="es-ES"/>
        </w:rPr>
        <w:t>En este contexto, los mega-acuerdos ACP parecen estar a punto de reformular el comercio mundial. Las negociaciones del TPP involucran a una docena de países asiáticos, latinoamericanos y norteamericanos, entre ellos Japón, México y Estados Unidos; el TTIP abarcaría a las dos mayores economías del mundo, la Unión Europea y Estados Unidos; y la Asociación Regional Económica Integral (RCEP por su sigla en inglés) incluye a 16 países de la región Asia Pacífico. Japón también está desarrollando un acuerdo con China y Corea del Sur, así como otro con la UE.</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D2480">
        <w:rPr>
          <w:rFonts w:ascii="Times New Roman" w:eastAsia="Times New Roman" w:hAnsi="Times New Roman" w:cs="Times New Roman"/>
          <w:color w:val="FF0000"/>
          <w:sz w:val="24"/>
          <w:szCs w:val="24"/>
          <w:u w:val="single"/>
          <w:lang w:eastAsia="es-ES"/>
        </w:rPr>
        <w:t xml:space="preserve">Se dice que estos ACP tienen el potencial de mejorar las condiciones mucho más allá de las fronteras de los países involucrados. Si el TPP o el TTIP producen reformas significativas para los subsidios agrícolas que distorsionan el comercio -convirtiéndose en el primer acuerdo no multilateral en lograrlo-, los beneficios serán verdaderamente internacionales. Pero los ACP que existen hoy o que están siendo negociados se centran más en cuestiones regulatorias que en los aranceles y, por lo tanto, exigirían que los participantes alcanzaran un acuerdo sobre una amplia gama de reglas que cubren, por ejemplo, la inversión, la competencia justa, los estándares de salud y seguridad y las regulaciones técnicas.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D2480">
        <w:rPr>
          <w:rFonts w:ascii="Times New Roman" w:eastAsia="Times New Roman" w:hAnsi="Times New Roman" w:cs="Times New Roman"/>
          <w:color w:val="FF0000"/>
          <w:sz w:val="24"/>
          <w:szCs w:val="24"/>
          <w:u w:val="single"/>
          <w:lang w:eastAsia="es-ES"/>
        </w:rPr>
        <w:t xml:space="preserve">Esto presenta no pocos obstáculos. Si bien algunas medidas no arancelarias podrían ser fáciles de descartar por proteccionistas, muchas otras cumplen objetivos legítimos de políticas públicas, como la seguridad de los consumidores o la protección ambiental, lo que hace difícil asegurar que no choquen con los principios básicos de justicia y apertura. </w:t>
      </w:r>
    </w:p>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37B07">
        <w:rPr>
          <w:rFonts w:ascii="Times New Roman" w:eastAsia="Times New Roman" w:hAnsi="Times New Roman" w:cs="Times New Roman"/>
          <w:sz w:val="24"/>
          <w:szCs w:val="24"/>
          <w:lang w:eastAsia="es-ES"/>
        </w:rPr>
        <w:t xml:space="preserve">Es más, estos acuerdos pueden bloquear a varios grupos en estrategias regulatorias diferentes, lo que plantearía costos transaccionales para los operadores domésticos y dificultaría que los bienes y servicios externos pudieran ingresar al bloque. Esta segmentación del mercado podría alterar las cadenas de suministro y generar una desviación comercial que afectaría la eficiencia. </w:t>
      </w:r>
    </w:p>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37B07">
        <w:rPr>
          <w:rFonts w:ascii="Times New Roman" w:eastAsia="Times New Roman" w:hAnsi="Times New Roman" w:cs="Times New Roman"/>
          <w:sz w:val="24"/>
          <w:szCs w:val="24"/>
          <w:lang w:eastAsia="es-ES"/>
        </w:rPr>
        <w:t xml:space="preserve">Finalmente, la capacidad de los mega-acuerdos ACP para fijar normas que beneficien a los no participantes podría resultar más limitada de lo que muchos creen. Las reglas comerciales transatlánticas sobre la valuación de la moneda, por ejemplo, podrían resultarle indiferentes a Japón. Mientras que determinadas reglas para proteger la propiedad intelectual sólo lograrían impedir la participación de Brasil y la India.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437B07">
        <w:rPr>
          <w:rFonts w:ascii="Times New Roman" w:eastAsia="Times New Roman" w:hAnsi="Times New Roman" w:cs="Times New Roman"/>
          <w:sz w:val="24"/>
          <w:szCs w:val="24"/>
          <w:lang w:eastAsia="es-ES"/>
        </w:rPr>
        <w:t xml:space="preserve">Superar estos obstáculos exigirá, primero y ante todo, cierto nivel de coherencia entre los ACP, como que los diferentes acuerdos se rigieran por principios más o menos similares en materia de cuestiones regulatorias. Es más, </w:t>
      </w:r>
      <w:r w:rsidRPr="004D2480">
        <w:rPr>
          <w:rFonts w:ascii="Times New Roman" w:eastAsia="Times New Roman" w:hAnsi="Times New Roman" w:cs="Times New Roman"/>
          <w:color w:val="FF0000"/>
          <w:sz w:val="24"/>
          <w:szCs w:val="24"/>
          <w:u w:val="single"/>
          <w:lang w:eastAsia="es-ES"/>
        </w:rPr>
        <w:t xml:space="preserve">si se llega a percibir al regionalismo como coercitivo y hostil, los países podrían formar bloques comerciales defensivos, lo que </w:t>
      </w:r>
      <w:r w:rsidRPr="004D2480">
        <w:rPr>
          <w:rFonts w:ascii="Times New Roman" w:eastAsia="Times New Roman" w:hAnsi="Times New Roman" w:cs="Times New Roman"/>
          <w:color w:val="FF0000"/>
          <w:sz w:val="24"/>
          <w:szCs w:val="24"/>
          <w:u w:val="single"/>
          <w:lang w:eastAsia="es-ES"/>
        </w:rPr>
        <w:lastRenderedPageBreak/>
        <w:t xml:space="preserve">generaría una fragmentación económica y agravaría la tensión en torno de la seguridad. Para impedir que esto suceda, los acuerdos deberían ser relativamente abiertos a los nuevos participantes y flexibles ante la posibilidad de una “multilateralización”.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37B07">
        <w:rPr>
          <w:rFonts w:ascii="Times New Roman" w:eastAsia="Times New Roman" w:hAnsi="Times New Roman" w:cs="Times New Roman"/>
          <w:sz w:val="24"/>
          <w:szCs w:val="24"/>
          <w:lang w:eastAsia="es-ES"/>
        </w:rPr>
        <w:t xml:space="preserve">Sin embargo, la necesidad de una coherencia en cuanto a las políticas se extiende más allá de los mega-acuerdos ACP. </w:t>
      </w:r>
      <w:r w:rsidRPr="004D2480">
        <w:rPr>
          <w:rFonts w:ascii="Times New Roman" w:eastAsia="Times New Roman" w:hAnsi="Times New Roman" w:cs="Times New Roman"/>
          <w:sz w:val="24"/>
          <w:szCs w:val="24"/>
          <w:u w:val="single"/>
          <w:lang w:eastAsia="es-ES"/>
        </w:rPr>
        <w:t xml:space="preserve">Para obtener resultados óptimos en el comercio internacional hace falta prestarle atención en todo los niveles a la interface entre el comercio y un montón de otras áreas de políticas. </w:t>
      </w:r>
    </w:p>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D2480">
        <w:rPr>
          <w:rFonts w:ascii="Times New Roman" w:eastAsia="Times New Roman" w:hAnsi="Times New Roman" w:cs="Times New Roman"/>
          <w:sz w:val="24"/>
          <w:szCs w:val="24"/>
          <w:u w:val="single"/>
          <w:lang w:eastAsia="es-ES"/>
        </w:rPr>
        <w:t>Consideremos la seguridad de los alimentos</w:t>
      </w:r>
      <w:r w:rsidRPr="00437B07">
        <w:rPr>
          <w:rFonts w:ascii="Times New Roman" w:eastAsia="Times New Roman" w:hAnsi="Times New Roman" w:cs="Times New Roman"/>
          <w:sz w:val="24"/>
          <w:szCs w:val="24"/>
          <w:lang w:eastAsia="es-ES"/>
        </w:rPr>
        <w:t xml:space="preserve">. Las políticas nacionales efectivas concernientes a la tierra, al agua y a la gestión de los recursos naturales, la infraestructura y las redes de transporte, los servicios de extensión agrícola, los derechos de propiedad de la tierra, la energía, el almacenamiento, el crédito y la investigación son tan importantes como los acuerdos comerciales a la hora de transferir alimentos de los países con excedentes a aquellos que los necesitan. </w:t>
      </w:r>
    </w:p>
    <w:p w:rsidR="000369FD" w:rsidRPr="004D2480"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u w:val="single"/>
          <w:lang w:eastAsia="es-ES"/>
        </w:rPr>
      </w:pPr>
      <w:r w:rsidRPr="004D2480">
        <w:rPr>
          <w:rFonts w:ascii="Times New Roman" w:eastAsia="Times New Roman" w:hAnsi="Times New Roman" w:cs="Times New Roman"/>
          <w:sz w:val="24"/>
          <w:szCs w:val="24"/>
          <w:u w:val="single"/>
          <w:lang w:eastAsia="es-ES"/>
        </w:rPr>
        <w:t>De la misma manera, la cooperación regional en materia de agua e infraestructura es esencial para mejorar las relaciones diplomáticas y establecer mercados que funcionen bien</w:t>
      </w:r>
      <w:r w:rsidRPr="00437B07">
        <w:rPr>
          <w:rFonts w:ascii="Times New Roman" w:eastAsia="Times New Roman" w:hAnsi="Times New Roman" w:cs="Times New Roman"/>
          <w:sz w:val="24"/>
          <w:szCs w:val="24"/>
          <w:lang w:eastAsia="es-ES"/>
        </w:rPr>
        <w:t xml:space="preserve">. </w:t>
      </w:r>
      <w:r w:rsidRPr="004D2480">
        <w:rPr>
          <w:rFonts w:ascii="Times New Roman" w:eastAsia="Times New Roman" w:hAnsi="Times New Roman" w:cs="Times New Roman"/>
          <w:sz w:val="24"/>
          <w:szCs w:val="24"/>
          <w:u w:val="single"/>
          <w:lang w:eastAsia="es-ES"/>
        </w:rPr>
        <w:t>Y, a un nivel multilateral, la producción agrícola y el comercio están influenciados por políticas sobre subsidios, aranceles y restricciones a las exportaciones (aunque las últimas actualmente no se rigen por las reglas estrictas de la OMC).</w:t>
      </w:r>
    </w:p>
    <w:p w:rsidR="000369FD" w:rsidRPr="00437B07"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4D2480">
        <w:rPr>
          <w:rFonts w:ascii="Times New Roman" w:eastAsia="Times New Roman" w:hAnsi="Times New Roman" w:cs="Times New Roman"/>
          <w:sz w:val="24"/>
          <w:szCs w:val="24"/>
          <w:u w:val="single"/>
          <w:lang w:eastAsia="es-ES"/>
        </w:rPr>
        <w:t>A pesar del gran valor de la cooperación regional y las políticas nacionales coherentes, un sistema comercial multilateral funcional sigue siendo vital</w:t>
      </w:r>
      <w:r w:rsidRPr="00437B07">
        <w:rPr>
          <w:rFonts w:ascii="Times New Roman" w:eastAsia="Times New Roman" w:hAnsi="Times New Roman" w:cs="Times New Roman"/>
          <w:sz w:val="24"/>
          <w:szCs w:val="24"/>
          <w:lang w:eastAsia="es-ES"/>
        </w:rPr>
        <w:t>. Para revitalizar la cooperación comercial multilateral, los gobiernos deben trabajar en conjunto para abordar las cuestiones no resueltas desde la agenda de Doha, como los subsidios agrícolas y la escalada arancelaria. Sin duda, el acuerdo alcanzado en la reciente conferencia ministerial de la OMC en Bali representa un beneficio para el comercio mundial y la cooperación multilateral.</w:t>
      </w:r>
    </w:p>
    <w:p w:rsidR="000369FD" w:rsidRPr="006709E3"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6709E3">
        <w:rPr>
          <w:rFonts w:ascii="Times New Roman" w:eastAsia="Times New Roman" w:hAnsi="Times New Roman" w:cs="Times New Roman"/>
          <w:sz w:val="24"/>
          <w:szCs w:val="24"/>
          <w:u w:val="single"/>
          <w:lang w:eastAsia="es-ES"/>
        </w:rPr>
        <w:t>Pero los gobiernos deben ampliar la agenda para que incluya lineamientos destinados a asegurar que los mega-acuerdos ACP no generen una fragmentación económica.</w:t>
      </w:r>
      <w:r w:rsidRPr="00437B07">
        <w:rPr>
          <w:rFonts w:ascii="Times New Roman" w:eastAsia="Times New Roman" w:hAnsi="Times New Roman" w:cs="Times New Roman"/>
          <w:sz w:val="24"/>
          <w:szCs w:val="24"/>
          <w:lang w:eastAsia="es-ES"/>
        </w:rPr>
        <w:t xml:space="preserve"> </w:t>
      </w:r>
      <w:r w:rsidRPr="006709E3">
        <w:rPr>
          <w:rFonts w:ascii="Times New Roman" w:eastAsia="Times New Roman" w:hAnsi="Times New Roman" w:cs="Times New Roman"/>
          <w:color w:val="FF0000"/>
          <w:sz w:val="24"/>
          <w:szCs w:val="24"/>
          <w:u w:val="single"/>
          <w:lang w:eastAsia="es-ES"/>
        </w:rPr>
        <w:t xml:space="preserve">Nuevas reglas de la OMC sobre las restricciones a las exportaciones podrían ayudar a estabilizar los mercados internacionales para las materias primas agrícolas. Se podría liberalizar aún más el comercio en servicios, mientras que la aplicación de subsidios industriales podría impedir que los objetivos de innovación verde de los países se pierdan en medio de la presión para fomentar el empleo fronteras adentro. </w:t>
      </w:r>
    </w:p>
    <w:p w:rsidR="000369FD" w:rsidRPr="006709E3"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6709E3">
        <w:rPr>
          <w:rFonts w:ascii="Times New Roman" w:eastAsia="Times New Roman" w:hAnsi="Times New Roman" w:cs="Times New Roman"/>
          <w:color w:val="FF0000"/>
          <w:sz w:val="24"/>
          <w:szCs w:val="24"/>
          <w:u w:val="single"/>
          <w:lang w:eastAsia="es-ES"/>
        </w:rPr>
        <w:t xml:space="preserve">Es más, reglas globales sobre inversión podrían mejorar la eficiencia de la asignación de recursos, mientras que lineamientos internacionales para políticas de competencia satisfarían los intereses de los consumidores y la mayoría de los productores de manera más eficiente que el sistema de parches existente. Una mayor cooperación con el Fondo Monetario Internacional sobre cuestiones vinculadas al tipo de cambio, y con la Organización Internacional del Trabajo sobre estándares laborales, podría reducir las tensiones comerciales y mejorar la incidencia del comercio en lo que concierne a mejorar la vida de la gente. </w:t>
      </w:r>
    </w:p>
    <w:p w:rsidR="000369FD" w:rsidRPr="006709E3" w:rsidRDefault="000369FD" w:rsidP="000369FD">
      <w:pPr>
        <w:shd w:val="clear" w:color="auto" w:fill="FFFFFF"/>
        <w:spacing w:before="100" w:beforeAutospacing="1" w:after="345" w:line="240" w:lineRule="auto"/>
        <w:jc w:val="both"/>
        <w:rPr>
          <w:rFonts w:ascii="Times New Roman" w:eastAsia="Times New Roman" w:hAnsi="Times New Roman" w:cs="Times New Roman"/>
          <w:color w:val="FF0000"/>
          <w:sz w:val="24"/>
          <w:szCs w:val="24"/>
          <w:u w:val="single"/>
          <w:lang w:eastAsia="es-ES"/>
        </w:rPr>
      </w:pPr>
      <w:r w:rsidRPr="006709E3">
        <w:rPr>
          <w:rFonts w:ascii="Times New Roman" w:eastAsia="Times New Roman" w:hAnsi="Times New Roman" w:cs="Times New Roman"/>
          <w:color w:val="FF0000"/>
          <w:sz w:val="24"/>
          <w:szCs w:val="24"/>
          <w:u w:val="single"/>
          <w:lang w:eastAsia="es-ES"/>
        </w:rPr>
        <w:lastRenderedPageBreak/>
        <w:t xml:space="preserve">Una estrategia compartida para abordar las medidas no arancelarias ayudaría a los países a evitar una fricción comercial innecesaria. Y nuevos progresos en la producción de energía podrían facilitar una cooperación internacional más significativa en materia de comercio e inversión en el sector energético. </w:t>
      </w:r>
    </w:p>
    <w:p w:rsidR="000369FD"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eastAsia="es-ES"/>
        </w:rPr>
      </w:pPr>
      <w:r w:rsidRPr="006709E3">
        <w:rPr>
          <w:rFonts w:ascii="Times New Roman" w:eastAsia="Times New Roman" w:hAnsi="Times New Roman" w:cs="Times New Roman"/>
          <w:color w:val="FF0000"/>
          <w:sz w:val="24"/>
          <w:szCs w:val="24"/>
          <w:u w:val="single"/>
          <w:lang w:eastAsia="es-ES"/>
        </w:rPr>
        <w:t xml:space="preserve">Todo esto exigiría que las economías emergentes aceptaran un eventual alineamiento de sus compromisos comerciales con los de las economías avanzadas, y que los países avanzados aceptaran que los países emergentes merecen períodos de transición </w:t>
      </w:r>
      <w:r w:rsidRPr="006709E3">
        <w:rPr>
          <w:rFonts w:ascii="Times New Roman" w:eastAsia="Times New Roman" w:hAnsi="Times New Roman" w:cs="Times New Roman"/>
          <w:color w:val="FF0000"/>
          <w:sz w:val="24"/>
          <w:szCs w:val="24"/>
          <w:lang w:eastAsia="es-ES"/>
        </w:rPr>
        <w:t xml:space="preserve">prolongados. En 2014 y después, todas las partes deben reconocer que, en un mundo multipolar, un sistema de comercio internacional basado en un conjunto actualizado de reglas es la manera menos riesgosa de perseguir sus objetivos de crecimiento. </w:t>
      </w:r>
      <w:r w:rsidRPr="00437B07">
        <w:rPr>
          <w:rFonts w:ascii="Times New Roman" w:eastAsia="Times New Roman" w:hAnsi="Times New Roman" w:cs="Times New Roman"/>
          <w:sz w:val="24"/>
          <w:szCs w:val="24"/>
          <w:lang w:eastAsia="es-ES"/>
        </w:rPr>
        <w:t>El reciente acuerdo de la OMC alcanzado en Bali sobre una reestructuración de los protocolos fronterizos, entre otras cuestiones, demuestra que efectivamente se pueden dar pasos importantes en esta dirección.</w:t>
      </w:r>
    </w:p>
    <w:p w:rsidR="000369FD" w:rsidRDefault="000369FD" w:rsidP="000369FD">
      <w:pPr>
        <w:shd w:val="clear" w:color="auto" w:fill="FFFFFF"/>
        <w:spacing w:before="100" w:beforeAutospacing="1" w:after="345"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w:t>
      </w:r>
      <w:r w:rsidRPr="00102F13">
        <w:rPr>
          <w:rFonts w:ascii="Times New Roman" w:eastAsia="Times New Roman" w:hAnsi="Times New Roman" w:cs="Times New Roman"/>
          <w:sz w:val="24"/>
          <w:szCs w:val="24"/>
          <w:lang w:val="en-US" w:eastAsia="es-ES"/>
        </w:rPr>
        <w:t>Pascal Lamy, former Director General of the World Trade Organization, is Chair of the Oxford Martin Co</w:t>
      </w:r>
      <w:r>
        <w:rPr>
          <w:rFonts w:ascii="Times New Roman" w:eastAsia="Times New Roman" w:hAnsi="Times New Roman" w:cs="Times New Roman"/>
          <w:sz w:val="24"/>
          <w:szCs w:val="24"/>
          <w:lang w:val="en-US" w:eastAsia="es-ES"/>
        </w:rPr>
        <w:t>mmission for Future Generations)</w:t>
      </w:r>
    </w:p>
    <w:p w:rsidR="000369FD" w:rsidRPr="00102F13" w:rsidRDefault="000369FD" w:rsidP="000369FD">
      <w:pPr>
        <w:pStyle w:val="notapie"/>
        <w:shd w:val="clear" w:color="auto" w:fill="FFFFFF"/>
        <w:jc w:val="both"/>
      </w:pPr>
      <w:r w:rsidRPr="00102F13">
        <w:t xml:space="preserve">- </w:t>
      </w:r>
      <w:r w:rsidRPr="00102F13">
        <w:rPr>
          <w:u w:val="single"/>
        </w:rPr>
        <w:t>Los escollos al libre comercio</w:t>
      </w:r>
      <w:r>
        <w:t xml:space="preserve"> (Project Syndicate - </w:t>
      </w:r>
      <w:r w:rsidRPr="00102F13">
        <w:rPr>
          <w:b/>
        </w:rPr>
        <w:t>24/6/14</w:t>
      </w:r>
      <w:r>
        <w:t>)</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color w:val="FF0000"/>
          <w:u w:val="single"/>
        </w:rPr>
      </w:pPr>
      <w:r>
        <w:t>Múnich.-</w:t>
      </w:r>
      <w:r w:rsidRPr="00102F13">
        <w:t xml:space="preserve"> </w:t>
      </w:r>
      <w:r w:rsidRPr="006709E3">
        <w:rPr>
          <w:color w:val="FF0000"/>
          <w:u w:val="single"/>
        </w:rPr>
        <w:t>El Acuerdo Transatlántico de Comercio e Inversión (ATCI), que al presente es  objeto de intensas negociaciones entre la Unión Europea y Estados Unidos, está causando una gran conmoción. De hecho, dada la magnitud de las dos economías, que en conjunto representan más del 50% del PIB mundial y un tercio de los flujos mundiales de comercio, lo que se encuentra en juego es mucho. Con el fin de garantizar que el ATCI beneficie a los consumidores de ambos lados del Atlántico, aquellos que negocian deben reconocer y evitar varias trampas clave - algunas más evidentes que otras.</w:t>
      </w:r>
    </w:p>
    <w:p w:rsidR="000369FD" w:rsidRPr="006709E3" w:rsidRDefault="000369FD" w:rsidP="000369FD">
      <w:pPr>
        <w:pStyle w:val="notapie"/>
        <w:shd w:val="clear" w:color="auto" w:fill="FFFFFF"/>
        <w:jc w:val="both"/>
        <w:rPr>
          <w:color w:val="FF0000"/>
          <w:u w:val="single"/>
        </w:rPr>
      </w:pPr>
    </w:p>
    <w:p w:rsidR="000369FD" w:rsidRPr="006709E3" w:rsidRDefault="000369FD" w:rsidP="000369FD">
      <w:pPr>
        <w:pStyle w:val="notapie"/>
        <w:shd w:val="clear" w:color="auto" w:fill="FFFFFF"/>
        <w:jc w:val="both"/>
        <w:rPr>
          <w:u w:val="single"/>
        </w:rPr>
      </w:pPr>
      <w:r w:rsidRPr="006709E3">
        <w:rPr>
          <w:u w:val="single"/>
        </w:rPr>
        <w:t>Los acuerdos comerciales bilaterales han ido ganando tracción últimamente. Por ejemplo, la UE y Canadá concluyeron recientemente un Acuerdo Económico y Comercial Global, que probablemente se convierta en la base para el ATCI.</w:t>
      </w:r>
    </w:p>
    <w:p w:rsidR="000369FD" w:rsidRPr="006709E3" w:rsidRDefault="000369FD" w:rsidP="000369FD">
      <w:pPr>
        <w:pStyle w:val="notapie"/>
        <w:shd w:val="clear" w:color="auto" w:fill="FFFFFF"/>
        <w:jc w:val="both"/>
        <w:rPr>
          <w:u w:val="single"/>
        </w:rPr>
      </w:pPr>
    </w:p>
    <w:p w:rsidR="000369FD" w:rsidRPr="00102F13" w:rsidRDefault="000369FD" w:rsidP="000369FD">
      <w:pPr>
        <w:pStyle w:val="notapie"/>
        <w:shd w:val="clear" w:color="auto" w:fill="FFFFFF"/>
        <w:jc w:val="both"/>
      </w:pPr>
      <w:r w:rsidRPr="006709E3">
        <w:rPr>
          <w:u w:val="single"/>
        </w:rPr>
        <w:t>Esto no es sorprendente, dado el reiterado fracaso de los intentos de llegar a un acuerdo global a través de la Organización Mundial del Comercio (OMC).</w:t>
      </w:r>
      <w:r w:rsidRPr="00102F13">
        <w:t xml:space="preserve"> Las negociaciones de la Ronda de Doha de la OMC fueron un fracaso, y el acuerdo alcanzado en Bali el año pasado, a pesar de anunciarse como un éxito, hace muy poco que acelerar la recaudación de aranceles aduaneros.</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u w:val="single"/>
        </w:rPr>
      </w:pPr>
      <w:r w:rsidRPr="006709E3">
        <w:rPr>
          <w:color w:val="FF0000"/>
          <w:u w:val="single"/>
        </w:rPr>
        <w:t>En la situación actual, el miedo ante una insuficiente protección del consumidor, distorsionada por los intereses creados, está dominando el debate respecto al ATCI.</w:t>
      </w:r>
      <w:r w:rsidRPr="006709E3">
        <w:rPr>
          <w:color w:val="FF0000"/>
        </w:rPr>
        <w:t xml:space="preserve"> </w:t>
      </w:r>
      <w:r w:rsidRPr="006709E3">
        <w:rPr>
          <w:u w:val="single"/>
        </w:rPr>
        <w:t>Considere el desacuerdo sobre el tratamiento diferenciado que se dispensa al pollo. En EEUU, la carne de pollo se lava en agua tratada con cloro; en Europa, los pollos se rellenan con antibióticos mientras se encuentran vivos. En un esfuerzo que se puede describir solamente como absurdo, los productores europeos están tratando de convencer a sus clientes que el primer método es menos conveniente para los consumidores.</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color w:val="FF0000"/>
          <w:u w:val="single"/>
        </w:rPr>
      </w:pPr>
      <w:r w:rsidRPr="006709E3">
        <w:rPr>
          <w:color w:val="FF0000"/>
          <w:u w:val="single"/>
        </w:rPr>
        <w:t xml:space="preserve">En realidad, la protección del consumidor en EEUU es considerablemente mejor y más estricta en comparación a la que se tiene en la UE, donde, a raíz de la decisión del Tribunal de Justicia de la Unión Europea en el asunto Cassis de Dijon, el estándar mínimo aplicable </w:t>
      </w:r>
      <w:r w:rsidRPr="006709E3">
        <w:rPr>
          <w:color w:val="FF0000"/>
          <w:u w:val="single"/>
        </w:rPr>
        <w:lastRenderedPageBreak/>
        <w:t>a todos los países se establece a través del país con el nivel más bajo en cada caso. Por el contrario, la Administración de Alimentos y Medicamentos (FDA) de EEUU hace cumplir los más altos estándares para los productos, lo que significa que, en el marco del ATCI, los consumidores europeos tendrían acceso a productos de mayor calidad a precios más bajos.</w:t>
      </w:r>
    </w:p>
    <w:p w:rsidR="000369FD" w:rsidRPr="006709E3" w:rsidRDefault="000369FD" w:rsidP="000369FD">
      <w:pPr>
        <w:pStyle w:val="notapie"/>
        <w:shd w:val="clear" w:color="auto" w:fill="FFFFFF"/>
        <w:jc w:val="both"/>
        <w:rPr>
          <w:color w:val="FF0000"/>
          <w:u w:val="single"/>
        </w:rPr>
      </w:pPr>
    </w:p>
    <w:p w:rsidR="000369FD" w:rsidRPr="006709E3" w:rsidRDefault="000369FD" w:rsidP="000369FD">
      <w:pPr>
        <w:pStyle w:val="notapie"/>
        <w:shd w:val="clear" w:color="auto" w:fill="FFFFFF"/>
        <w:jc w:val="both"/>
        <w:rPr>
          <w:color w:val="FF0000"/>
          <w:u w:val="single"/>
        </w:rPr>
      </w:pPr>
      <w:r w:rsidRPr="006709E3">
        <w:rPr>
          <w:color w:val="FF0000"/>
          <w:u w:val="single"/>
        </w:rPr>
        <w:t>El principal beneficio de la facilitación del comercio es que permite que los países se especialicen en las áreas en las cuales tienen mayores capacidades</w:t>
      </w:r>
      <w:r w:rsidRPr="00102F13">
        <w:t>. Como Ralph Ossa mostró en un documento de trabajo preparado para la Oficina Nacional d</w:t>
      </w:r>
      <w:r>
        <w:t>e Investigación Económica de EEUU</w:t>
      </w:r>
      <w:r w:rsidRPr="00102F13">
        <w:t xml:space="preserve">, </w:t>
      </w:r>
      <w:r w:rsidRPr="006709E3">
        <w:rPr>
          <w:color w:val="FF0000"/>
          <w:u w:val="single"/>
        </w:rPr>
        <w:t>si Alemania no tuviese acceso a los mercados internacionales, el nivel de vida que tuviese sería la mitad del que ahora tiene. El ATCI, según información proporcionada por Gabriel Felbermayr del Instituto IFO de investigación económica, podría mejorar el nivel de vida de Alemania en un 3 a un 5%.</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u w:val="single"/>
        </w:rPr>
      </w:pPr>
      <w:r w:rsidRPr="00102F13">
        <w:t xml:space="preserve">Sin embargo, estos beneficios están lejos de estar garantizados. Uno de los riesgos principales de la facilitación del comercio </w:t>
      </w:r>
      <w:r>
        <w:t>es una desviación del comercio -</w:t>
      </w:r>
      <w:r w:rsidRPr="00102F13">
        <w:t xml:space="preserve"> es decir, una reducción de los aranceles aduaneros entre dos países lleva a que los consumidores eviten los productos más baratos procedentes de terceros países. </w:t>
      </w:r>
      <w:r w:rsidRPr="006709E3">
        <w:rPr>
          <w:u w:val="single"/>
        </w:rPr>
        <w:t>Si el ahorro del consumidor no compensa la disminución en los ingresos aduaneros de los países, el resultado final sería una reducción en el bienestar.</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color w:val="FF0000"/>
          <w:u w:val="single"/>
        </w:rPr>
      </w:pPr>
      <w:r w:rsidRPr="006709E3">
        <w:rPr>
          <w:color w:val="FF0000"/>
          <w:u w:val="single"/>
        </w:rPr>
        <w:t>Para evitar tal resultado se requiere de disposiciones que permitan la participación de un conjunto más amplio de países, que incluya especialmente a China y Rusia, en el proceso de facilitación del comercio en igualdad de condiciones. De hecho, la construcción de una especie de “OTAN económica” que excluya a potencias como Rusia y China no sería aconsejable, tanto económica como políticamente. En lugar de ello, estos países deberían ser incluidos en el proceso de negociación.</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u w:val="single"/>
        </w:rPr>
      </w:pPr>
      <w:r w:rsidRPr="006709E3">
        <w:rPr>
          <w:color w:val="FF0000"/>
          <w:u w:val="single"/>
        </w:rPr>
        <w:t>Otro posible riesgo es el concerniente a la protección de las inversiones. En la situación actual, es aceptable que la UE asuma responsabilidad cuando sus propias medidas de salud y de protección del medio ambiente funcionan, en los hechos, como  barreras comerciales</w:t>
      </w:r>
      <w:r w:rsidRPr="006709E3">
        <w:rPr>
          <w:u w:val="single"/>
        </w:rPr>
        <w:t>. Las Directivas de la UE que instituyen límites máximos para las emisiones de CO2, por ejemplo, son en realidad un tipo de política industrial destinada a proteger a los automóviles pequeños franceses e italianos. La protección de las inversiones limitaría este tipo de abusos.</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color w:val="FF0000"/>
          <w:u w:val="single"/>
        </w:rPr>
      </w:pPr>
      <w:r w:rsidRPr="006709E3">
        <w:rPr>
          <w:color w:val="FF0000"/>
          <w:u w:val="single"/>
        </w:rPr>
        <w:t>Sin embargo, no es aceptable que la UE ofrezca protección a los inversores extranjeros con relación a la incapacidad que tiene un país europeo en cuento a cumplir con sus obligaciones, en especial en lo que se refiere al servicio de su deuda. Tal medida, como Norbert Häring de Handelsblattrecientemente señaló, transformaría al ATCI en un mecanismo de mutualización de la responsabilidad dentro de la UE.</w:t>
      </w:r>
    </w:p>
    <w:p w:rsidR="000369FD" w:rsidRPr="00102F13" w:rsidRDefault="000369FD" w:rsidP="000369FD">
      <w:pPr>
        <w:pStyle w:val="notapie"/>
        <w:shd w:val="clear" w:color="auto" w:fill="FFFFFF"/>
        <w:jc w:val="both"/>
      </w:pPr>
    </w:p>
    <w:p w:rsidR="000369FD" w:rsidRPr="006709E3" w:rsidRDefault="000369FD" w:rsidP="000369FD">
      <w:pPr>
        <w:pStyle w:val="notapie"/>
        <w:shd w:val="clear" w:color="auto" w:fill="FFFFFF"/>
        <w:jc w:val="both"/>
        <w:rPr>
          <w:color w:val="FF0000"/>
          <w:u w:val="single"/>
        </w:rPr>
      </w:pPr>
      <w:r w:rsidRPr="006709E3">
        <w:rPr>
          <w:color w:val="FF0000"/>
          <w:u w:val="single"/>
        </w:rPr>
        <w:t>Las garantías a las inversiones que tengan un alcance en toda la UE reducirían artificialmente la tasa de interés a la cual un país de la UE, de manera individual, podría pedir prestado y por lo tanto, alentaría a que estos países asuman más deuda, suspendiendo, en los hechos, el mecanismo de auto corrección de los mercados de capitales. Esto llevaría a la siguiente escena del desastre de la deuda europea, con consecuencias que serían muy superiores a los beneficios que ofrece el ATCI.</w:t>
      </w:r>
    </w:p>
    <w:p w:rsidR="000369FD" w:rsidRPr="006709E3" w:rsidRDefault="000369FD" w:rsidP="000369FD">
      <w:pPr>
        <w:pStyle w:val="notapie"/>
        <w:shd w:val="clear" w:color="auto" w:fill="FFFFFF"/>
        <w:jc w:val="both"/>
        <w:rPr>
          <w:color w:val="FF0000"/>
          <w:u w:val="single"/>
        </w:rPr>
      </w:pPr>
    </w:p>
    <w:p w:rsidR="000369FD" w:rsidRPr="0040470F" w:rsidRDefault="000369FD" w:rsidP="000369FD">
      <w:pPr>
        <w:pStyle w:val="notapie"/>
        <w:shd w:val="clear" w:color="auto" w:fill="FFFFFF"/>
        <w:jc w:val="both"/>
        <w:rPr>
          <w:color w:val="FF0000"/>
          <w:u w:val="single"/>
        </w:rPr>
      </w:pPr>
      <w:r w:rsidRPr="0040470F">
        <w:rPr>
          <w:color w:val="FF0000"/>
          <w:u w:val="single"/>
        </w:rPr>
        <w:lastRenderedPageBreak/>
        <w:t>El ATCI, sin duda, tiene un gran potencial para impulsar el desempeño económico a ambos lados del Atlántico. Pero, ello no significará nada si se permite que el acuerdo sirva como puerta trasera para la mutualización de la deuda europea a través de lo que se aproximaría, en los hechos, a lo que son los Eurobonos.</w:t>
      </w:r>
    </w:p>
    <w:p w:rsidR="000369FD" w:rsidRPr="0040470F" w:rsidRDefault="000369FD" w:rsidP="000369FD">
      <w:pPr>
        <w:pStyle w:val="notapie"/>
        <w:shd w:val="clear" w:color="auto" w:fill="FFFFFF"/>
        <w:jc w:val="both"/>
        <w:rPr>
          <w:color w:val="FF0000"/>
          <w:u w:val="single"/>
        </w:rPr>
      </w:pPr>
    </w:p>
    <w:p w:rsidR="000369FD" w:rsidRDefault="000369FD" w:rsidP="000369FD">
      <w:pPr>
        <w:pStyle w:val="notapie"/>
        <w:shd w:val="clear" w:color="auto" w:fill="FFFFFF"/>
        <w:jc w:val="both"/>
        <w:rPr>
          <w:lang w:val="en-US"/>
        </w:rPr>
      </w:pPr>
      <w:r>
        <w:rPr>
          <w:lang w:val="en-US"/>
        </w:rPr>
        <w:t>(</w:t>
      </w:r>
      <w:r w:rsidRPr="00102F13">
        <w:rPr>
          <w:lang w:val="en-US"/>
        </w:rPr>
        <w:t>Hans-Werner Sinn, Professor of Economics and Public Finance at the University of Munich, is President of the Ifo Institute for Economic Research and serves on the German economy ministry’s Advisory Council. He is the author, most recently, of The Euro Tra</w:t>
      </w:r>
      <w:r>
        <w:rPr>
          <w:lang w:val="en-US"/>
        </w:rPr>
        <w:t>p: On Bursting Bubbles, Budgets</w:t>
      </w:r>
      <w:r w:rsidRPr="00102F13">
        <w:rPr>
          <w:lang w:val="en-US"/>
        </w:rPr>
        <w:t>…</w:t>
      </w:r>
      <w:r>
        <w:rPr>
          <w:lang w:val="en-US"/>
        </w:rPr>
        <w:t>)</w:t>
      </w:r>
    </w:p>
    <w:p w:rsidR="000369FD" w:rsidRPr="00102F13" w:rsidRDefault="000369FD" w:rsidP="000369FD">
      <w:pPr>
        <w:pStyle w:val="notapie"/>
        <w:shd w:val="clear" w:color="auto" w:fill="FFFFFF"/>
        <w:jc w:val="both"/>
        <w:rPr>
          <w:lang w:val="en-US"/>
        </w:rPr>
      </w:pPr>
      <w:r w:rsidRPr="00102F13">
        <w:rPr>
          <w:lang w:val="en-US"/>
        </w:rPr>
        <w:t xml:space="preserve"> </w:t>
      </w:r>
    </w:p>
    <w:p w:rsidR="000369FD" w:rsidRPr="00102F13" w:rsidRDefault="000369FD" w:rsidP="000369FD">
      <w:pPr>
        <w:pStyle w:val="notapie"/>
        <w:shd w:val="clear" w:color="auto" w:fill="FFFFFF"/>
        <w:jc w:val="both"/>
      </w:pPr>
      <w:r w:rsidRPr="00102F13">
        <w:t xml:space="preserve">- </w:t>
      </w:r>
      <w:r w:rsidRPr="00102F13">
        <w:rPr>
          <w:u w:val="single"/>
        </w:rPr>
        <w:t>La idea ilusa sobre el comercio</w:t>
      </w:r>
      <w:r>
        <w:t xml:space="preserve"> (Project Syndicate - </w:t>
      </w:r>
      <w:r w:rsidRPr="004B2C71">
        <w:rPr>
          <w:b/>
        </w:rPr>
        <w:t>18/7/14</w:t>
      </w:r>
      <w:r>
        <w:t>)</w:t>
      </w:r>
    </w:p>
    <w:p w:rsidR="000369FD" w:rsidRPr="00102F13" w:rsidRDefault="000369FD" w:rsidP="000369FD">
      <w:pPr>
        <w:pStyle w:val="notapie"/>
        <w:shd w:val="clear" w:color="auto" w:fill="FFFFFF"/>
        <w:jc w:val="both"/>
      </w:pPr>
    </w:p>
    <w:p w:rsidR="000369FD" w:rsidRPr="0040470F" w:rsidRDefault="000369FD" w:rsidP="000369FD">
      <w:pPr>
        <w:pStyle w:val="notapie"/>
        <w:shd w:val="clear" w:color="auto" w:fill="FFFFFF"/>
        <w:jc w:val="both"/>
        <w:rPr>
          <w:color w:val="FF0000"/>
          <w:u w:val="single"/>
        </w:rPr>
      </w:pPr>
      <w:r>
        <w:t>Londres.-</w:t>
      </w:r>
      <w:r w:rsidRPr="00102F13">
        <w:t xml:space="preserve"> </w:t>
      </w:r>
      <w:r w:rsidRPr="0040470F">
        <w:rPr>
          <w:u w:val="single"/>
        </w:rPr>
        <w:t>Desde el año 2008, el comercio mundial ha crecido un poco más lentamente que el PIB mundial. La Ronda de Negociaciones de Doha  de la Organización Mundial del Comercio terminó siendo un fracaso.</w:t>
      </w:r>
      <w:r w:rsidRPr="00102F13">
        <w:t xml:space="preserve"> Las negociaciones comerciales trasatlánticas y transpacíficas están progresando lentamente, frenadas por la resistencia que ejercen los intereses especiales. </w:t>
      </w:r>
      <w:r w:rsidRPr="0040470F">
        <w:rPr>
          <w:color w:val="FF0000"/>
          <w:u w:val="single"/>
        </w:rPr>
        <w:t xml:space="preserve">Sin embargo, a pesar de que muchos expertos temen que el proteccionismo menoscabe la globalización, y amenace con obstaculizar el crecimiento económico mundial, puede que la desaceleración del crecimiento del comercio mundial sea un hecho inevitable, y que la liberalización del comercio sea cada vez menos importante. </w:t>
      </w:r>
    </w:p>
    <w:p w:rsidR="000369FD" w:rsidRPr="0040470F" w:rsidRDefault="000369FD" w:rsidP="000369FD">
      <w:pPr>
        <w:pStyle w:val="notapie"/>
        <w:shd w:val="clear" w:color="auto" w:fill="FFFFFF"/>
        <w:jc w:val="both"/>
        <w:rPr>
          <w:color w:val="FF0000"/>
          <w:u w:val="single"/>
        </w:rPr>
      </w:pPr>
    </w:p>
    <w:p w:rsidR="000369FD" w:rsidRPr="0040470F" w:rsidRDefault="000369FD" w:rsidP="000369FD">
      <w:pPr>
        <w:pStyle w:val="notapie"/>
        <w:shd w:val="clear" w:color="auto" w:fill="FFFFFF"/>
        <w:jc w:val="both"/>
        <w:rPr>
          <w:u w:val="single"/>
        </w:rPr>
      </w:pPr>
      <w:r w:rsidRPr="0040470F">
        <w:rPr>
          <w:u w:val="single"/>
        </w:rPr>
        <w:t>Sin duda, por un período de 65 años, el rápido crecimiento del comercio ha jugado un papel vital en el desarrollo económico, con el pronunciado descenso de los aranceles industriales promedio en las economías avanzadas desde un nivel superior al 30% a uno por debajo del 5%.</w:t>
      </w:r>
    </w:p>
    <w:p w:rsidR="000369FD" w:rsidRPr="00102F13" w:rsidRDefault="000369FD" w:rsidP="000369FD">
      <w:pPr>
        <w:pStyle w:val="notapie"/>
        <w:shd w:val="clear" w:color="auto" w:fill="FFFFFF"/>
        <w:jc w:val="both"/>
      </w:pPr>
    </w:p>
    <w:p w:rsidR="000369FD" w:rsidRPr="0040470F" w:rsidRDefault="000369FD" w:rsidP="000369FD">
      <w:pPr>
        <w:pStyle w:val="notapie"/>
        <w:shd w:val="clear" w:color="auto" w:fill="FFFFFF"/>
        <w:jc w:val="both"/>
        <w:rPr>
          <w:u w:val="single"/>
        </w:rPr>
      </w:pPr>
      <w:r w:rsidRPr="0040470F">
        <w:rPr>
          <w:u w:val="single"/>
        </w:rPr>
        <w:t xml:space="preserve">La creación del mercado único europeo facilitó el aumento del comercio intra-europeo. Japón, Corea del Sur y Taiwán alcanzaron una rápida convergencia económica sobre la base de un crecimiento impulsado por las exportaciones. China ha seguido el mismo camino durante los últimos 30 años. En el período comprendido entre los años 1990 al 2008, el comercio creció dos veces más rápido que la producción mundial. </w:t>
      </w:r>
    </w:p>
    <w:p w:rsidR="000369FD" w:rsidRPr="00102F13" w:rsidRDefault="000369FD" w:rsidP="000369FD">
      <w:pPr>
        <w:pStyle w:val="notapie"/>
        <w:shd w:val="clear" w:color="auto" w:fill="FFFFFF"/>
        <w:jc w:val="both"/>
      </w:pPr>
    </w:p>
    <w:p w:rsidR="000369FD" w:rsidRPr="00102F13" w:rsidRDefault="000369FD" w:rsidP="000369FD">
      <w:pPr>
        <w:pStyle w:val="notapie"/>
        <w:shd w:val="clear" w:color="auto" w:fill="FFFFFF"/>
        <w:jc w:val="both"/>
      </w:pPr>
      <w:r w:rsidRPr="0040470F">
        <w:rPr>
          <w:color w:val="FF0000"/>
          <w:u w:val="single"/>
        </w:rPr>
        <w:t>No obstante, no existe ninguna razón por la cual el comercio debería crecer más rápido que el PIB de manera eterna. De hecho, incluso si no existiera ninguna barrera comercial en lo absoluto, pudiese ocurrir que el comercio crezca mucho más lentamente que el PIB durante algunos períodos</w:t>
      </w:r>
      <w:r w:rsidRPr="00102F13">
        <w:t xml:space="preserve">. Hay </w:t>
      </w:r>
      <w:r w:rsidRPr="0040470F">
        <w:rPr>
          <w:u w:val="single"/>
        </w:rPr>
        <w:t>varios factores</w:t>
      </w:r>
      <w:r w:rsidRPr="00102F13">
        <w:t xml:space="preserve"> que hacen posible que entremos a un período de este tipo. </w:t>
      </w:r>
    </w:p>
    <w:p w:rsidR="000369FD" w:rsidRPr="00102F13" w:rsidRDefault="000369FD" w:rsidP="000369FD">
      <w:pPr>
        <w:pStyle w:val="notapie"/>
        <w:shd w:val="clear" w:color="auto" w:fill="FFFFFF"/>
        <w:jc w:val="both"/>
      </w:pPr>
    </w:p>
    <w:p w:rsidR="000369FD" w:rsidRPr="0040470F" w:rsidRDefault="000369FD" w:rsidP="000369FD">
      <w:pPr>
        <w:pStyle w:val="notapie"/>
        <w:shd w:val="clear" w:color="auto" w:fill="FFFFFF"/>
        <w:jc w:val="both"/>
        <w:rPr>
          <w:u w:val="single"/>
        </w:rPr>
      </w:pPr>
      <w:r w:rsidRPr="0040470F">
        <w:rPr>
          <w:u w:val="single"/>
        </w:rPr>
        <w:t>Para empezar, hay un cambio de patrón de consumo en las economías avanzadas</w:t>
      </w:r>
      <w:r w:rsidRPr="00102F13">
        <w:t xml:space="preserve">. Las personas más ricas gastan una mayor proporción de sus ingresos en servicios, que por su naturaleza, es imposible que sean parte de transacciones de comercio (por ejemplo, comidas en restaurantes) o bien es muy difícil que lo sean (como en el caso de los servicios de salud). </w:t>
      </w:r>
      <w:r w:rsidRPr="0040470F">
        <w:rPr>
          <w:u w:val="single"/>
        </w:rPr>
        <w:t xml:space="preserve">Los sectores que no son parte de las transacciones de comercio tienden a representar un porcentaje creciente del empleo y la actividad económica. </w:t>
      </w:r>
    </w:p>
    <w:p w:rsidR="000369FD" w:rsidRPr="0040470F" w:rsidRDefault="000369FD" w:rsidP="000369FD">
      <w:pPr>
        <w:pStyle w:val="notapie"/>
        <w:shd w:val="clear" w:color="auto" w:fill="FFFFFF"/>
        <w:jc w:val="both"/>
        <w:rPr>
          <w:u w:val="single"/>
        </w:rPr>
      </w:pPr>
    </w:p>
    <w:p w:rsidR="000369FD" w:rsidRPr="0040470F" w:rsidRDefault="000369FD" w:rsidP="000369FD">
      <w:pPr>
        <w:pStyle w:val="notapie"/>
        <w:shd w:val="clear" w:color="auto" w:fill="FFFFFF"/>
        <w:jc w:val="both"/>
        <w:rPr>
          <w:u w:val="single"/>
        </w:rPr>
      </w:pPr>
      <w:r w:rsidRPr="0040470F">
        <w:rPr>
          <w:u w:val="single"/>
        </w:rPr>
        <w:t>Durante varias décadas, esa tendencia se ha visto compensada por el permanente y cada vez más intenso comercio de bienes transables, que a menudo cruza muchos países en cadenas de suministro complejas. En el futuro, no obstante, el cambio hacia el consumo de bienes no transables podría dominar.</w:t>
      </w:r>
    </w:p>
    <w:p w:rsidR="000369FD" w:rsidRPr="0040470F" w:rsidRDefault="000369FD" w:rsidP="000369FD">
      <w:pPr>
        <w:pStyle w:val="notapie"/>
        <w:shd w:val="clear" w:color="auto" w:fill="FFFFFF"/>
        <w:jc w:val="both"/>
        <w:rPr>
          <w:u w:val="single"/>
        </w:rPr>
      </w:pPr>
    </w:p>
    <w:p w:rsidR="000369FD" w:rsidRPr="0040470F" w:rsidRDefault="000369FD" w:rsidP="000369FD">
      <w:pPr>
        <w:pStyle w:val="notapie"/>
        <w:shd w:val="clear" w:color="auto" w:fill="FFFFFF"/>
        <w:jc w:val="both"/>
        <w:rPr>
          <w:u w:val="single"/>
        </w:rPr>
      </w:pPr>
      <w:r w:rsidRPr="0040470F">
        <w:rPr>
          <w:u w:val="single"/>
        </w:rPr>
        <w:t>De hecho, la intensidad del comercio podría disminuir incluso para los productos manufacturados. El comercio se ve impulsado, en parte, por las diferencias en los costos laborales. Hasta hoy en día, el dramático crecimiento del sector manufacturero de China refleja los bajos salarios. Sin embargo, a medida que los salarios reales en China y otras economías emergentes aumenten, los incentivos para el comercio disminuirán. Cuanto más converjan los ingresos a nivel mundial, puede que haya una cantidad menor de comercio.</w:t>
      </w:r>
    </w:p>
    <w:p w:rsidR="000369FD" w:rsidRPr="0040470F" w:rsidRDefault="000369FD" w:rsidP="000369FD">
      <w:pPr>
        <w:pStyle w:val="notapie"/>
        <w:shd w:val="clear" w:color="auto" w:fill="FFFFFF"/>
        <w:jc w:val="both"/>
        <w:rPr>
          <w:u w:val="single"/>
        </w:rPr>
      </w:pPr>
    </w:p>
    <w:p w:rsidR="000369FD" w:rsidRPr="0040470F" w:rsidRDefault="000369FD" w:rsidP="000369FD">
      <w:pPr>
        <w:pStyle w:val="notapie"/>
        <w:shd w:val="clear" w:color="auto" w:fill="FFFFFF"/>
        <w:jc w:val="both"/>
        <w:rPr>
          <w:u w:val="single"/>
        </w:rPr>
      </w:pPr>
      <w:r w:rsidRPr="00102F13">
        <w:t xml:space="preserve">Además, tal como los economistas Erik Brynjolfsson y Andrew McAfee del MIT han argumentado en su libro The Second Machine Age, </w:t>
      </w:r>
      <w:r w:rsidRPr="0040470F">
        <w:rPr>
          <w:u w:val="single"/>
        </w:rPr>
        <w:t xml:space="preserve">los rápidos avances en la tecnología de la información podrían permitir que ocurra una automatización cada vez más extendida. Podrían retornar a los países desarrollados algunas actividades de fabricación,  y unos pocos puestos de trabajo, a medida que las ventajas de la proximidad al lugar de ubicación de los clientes y los costos de transporte menores pesen más que las diferencias, cada vez menos importantes, en costos laborales. </w:t>
      </w:r>
    </w:p>
    <w:p w:rsidR="000369FD" w:rsidRPr="0040470F" w:rsidRDefault="000369FD" w:rsidP="000369FD">
      <w:pPr>
        <w:pStyle w:val="notapie"/>
        <w:shd w:val="clear" w:color="auto" w:fill="FFFFFF"/>
        <w:jc w:val="both"/>
        <w:rPr>
          <w:u w:val="single"/>
        </w:rPr>
      </w:pPr>
    </w:p>
    <w:p w:rsidR="000369FD" w:rsidRPr="0040470F" w:rsidRDefault="000369FD" w:rsidP="000369FD">
      <w:pPr>
        <w:pStyle w:val="notapie"/>
        <w:shd w:val="clear" w:color="auto" w:fill="FFFFFF"/>
        <w:jc w:val="both"/>
        <w:rPr>
          <w:color w:val="FF0000"/>
          <w:u w:val="single"/>
        </w:rPr>
      </w:pPr>
      <w:r w:rsidRPr="0040470F">
        <w:rPr>
          <w:color w:val="FF0000"/>
          <w:u w:val="single"/>
        </w:rPr>
        <w:t xml:space="preserve">El comercio mundial como porcentaje del PIB puede, por lo tanto, bajar, pero sin consecuencias adversas para el crecimiento económico mundial. El aumento de la productividad no requiere, inexorablemente, de una creciente intensidad del comercio. </w:t>
      </w:r>
    </w:p>
    <w:p w:rsidR="000369FD" w:rsidRPr="0040470F" w:rsidRDefault="000369FD" w:rsidP="000369FD">
      <w:pPr>
        <w:pStyle w:val="notapie"/>
        <w:shd w:val="clear" w:color="auto" w:fill="FFFFFF"/>
        <w:jc w:val="both"/>
        <w:rPr>
          <w:color w:val="FF0000"/>
          <w:u w:val="single"/>
        </w:rPr>
      </w:pPr>
    </w:p>
    <w:p w:rsidR="000369FD" w:rsidRPr="0040470F" w:rsidRDefault="000369FD" w:rsidP="000369FD">
      <w:pPr>
        <w:pStyle w:val="notapie"/>
        <w:shd w:val="clear" w:color="auto" w:fill="FFFFFF"/>
        <w:jc w:val="both"/>
        <w:rPr>
          <w:color w:val="FF0000"/>
          <w:u w:val="single"/>
        </w:rPr>
      </w:pPr>
      <w:r w:rsidRPr="0040470F">
        <w:rPr>
          <w:color w:val="FF0000"/>
          <w:u w:val="single"/>
        </w:rPr>
        <w:t xml:space="preserve">El planeta Tierra, al fin y al cabo, no comercia con otros planetas, pero aun así su economía sigue creciendo. La intensidad comercial óptima </w:t>
      </w:r>
      <w:r w:rsidR="00F012CB">
        <w:rPr>
          <w:color w:val="FF0000"/>
          <w:u w:val="single"/>
        </w:rPr>
        <w:t>depende de muchos factores -</w:t>
      </w:r>
      <w:r w:rsidRPr="0040470F">
        <w:rPr>
          <w:color w:val="FF0000"/>
          <w:u w:val="single"/>
        </w:rPr>
        <w:t xml:space="preserve"> tales como los costos relativos de mano de obra, los costos de transporte, los niveles de productividad, y los efectos de economía de escala. Las tendencias en estos factores podrían hacer que la reducida intensidad del comercio no sólo sea inevitable sino que también sea deseable. </w:t>
      </w:r>
    </w:p>
    <w:p w:rsidR="000369FD" w:rsidRPr="00102F13" w:rsidRDefault="000369FD" w:rsidP="000369FD">
      <w:pPr>
        <w:pStyle w:val="notapie"/>
        <w:shd w:val="clear" w:color="auto" w:fill="FFFFFF"/>
        <w:jc w:val="both"/>
      </w:pPr>
    </w:p>
    <w:p w:rsidR="000369FD" w:rsidRPr="0040470F" w:rsidRDefault="000369FD" w:rsidP="000369FD">
      <w:pPr>
        <w:pStyle w:val="notapie"/>
        <w:shd w:val="clear" w:color="auto" w:fill="FFFFFF"/>
        <w:jc w:val="both"/>
        <w:rPr>
          <w:u w:val="single"/>
        </w:rPr>
      </w:pPr>
      <w:r w:rsidRPr="0040470F">
        <w:rPr>
          <w:u w:val="single"/>
        </w:rPr>
        <w:t xml:space="preserve">Incluso si eso es cierto, el comercio internacional seguirá desempeñando un papel vital, y es esencial evitar cualquier reversión de las liberaciones comerciales que se llevaron a cabo en el pasado. Sin embargo, las futuras liberalizaciones comerciales están destinadas a tener una importancia cada vez menor con relación al crecimiento económico. </w:t>
      </w:r>
    </w:p>
    <w:p w:rsidR="000369FD" w:rsidRPr="00102F13" w:rsidRDefault="000369FD" w:rsidP="000369FD">
      <w:pPr>
        <w:pStyle w:val="notapie"/>
        <w:shd w:val="clear" w:color="auto" w:fill="FFFFFF"/>
        <w:jc w:val="both"/>
      </w:pPr>
    </w:p>
    <w:p w:rsidR="000369FD" w:rsidRPr="0040470F" w:rsidRDefault="000369FD" w:rsidP="000369FD">
      <w:pPr>
        <w:pStyle w:val="notapie"/>
        <w:shd w:val="clear" w:color="auto" w:fill="FFFFFF"/>
        <w:jc w:val="both"/>
        <w:rPr>
          <w:color w:val="FF0000"/>
          <w:u w:val="single"/>
        </w:rPr>
      </w:pPr>
      <w:r w:rsidRPr="0040470F">
        <w:rPr>
          <w:color w:val="FF0000"/>
          <w:u w:val="single"/>
        </w:rPr>
        <w:t xml:space="preserve">Debido a que los aranceles industriales se redujeron de manera dramática, ya se captaron la mayoría de los beneficios potenciales de las liberaciones comerciales. Las estimaciones de los beneficios potenciales adicionales que traerían consigo mayores liberalizaciones comerciales son a menudo sorprendentemente bajas - no más de unos pocos puntos porcentuales del PIB mundial. </w:t>
      </w:r>
    </w:p>
    <w:p w:rsidR="000369FD" w:rsidRPr="0040470F" w:rsidRDefault="000369FD" w:rsidP="000369FD">
      <w:pPr>
        <w:pStyle w:val="notapie"/>
        <w:shd w:val="clear" w:color="auto" w:fill="FFFFFF"/>
        <w:jc w:val="both"/>
        <w:rPr>
          <w:color w:val="FF0000"/>
          <w:u w:val="single"/>
        </w:rPr>
      </w:pPr>
    </w:p>
    <w:p w:rsidR="000369FD" w:rsidRPr="0040470F" w:rsidRDefault="000369FD" w:rsidP="000369FD">
      <w:pPr>
        <w:pStyle w:val="notapie"/>
        <w:shd w:val="clear" w:color="auto" w:fill="FFFFFF"/>
        <w:jc w:val="both"/>
        <w:rPr>
          <w:color w:val="FF0000"/>
          <w:u w:val="single"/>
        </w:rPr>
      </w:pPr>
      <w:r w:rsidRPr="0040470F">
        <w:rPr>
          <w:color w:val="FF0000"/>
          <w:u w:val="single"/>
        </w:rPr>
        <w:t xml:space="preserve">Ese beneficio es pequeño en comparación con el costo de la crisis financiera del año 2008, que ha dejado a la producción en varias economías avanzadas un 10 a 15% por debajo de los niveles de tendencia pre-crisis. Es pequeño, también, en comparación con la diferencia en el desempeño económico entre los países exitosos que están tras alcanzar a los otros -como por ejemplo China- y otros países que han gozado del mismo acceso a los mercados mundiales, pero que han tenido un desempeño menor por otras razones. </w:t>
      </w:r>
    </w:p>
    <w:p w:rsidR="000369FD" w:rsidRPr="00102F13" w:rsidRDefault="000369FD" w:rsidP="000369FD">
      <w:pPr>
        <w:pStyle w:val="notapie"/>
        <w:shd w:val="clear" w:color="auto" w:fill="FFFFFF"/>
        <w:jc w:val="both"/>
      </w:pPr>
    </w:p>
    <w:p w:rsidR="000369FD" w:rsidRPr="00102F13" w:rsidRDefault="000369FD" w:rsidP="000369FD">
      <w:pPr>
        <w:pStyle w:val="notapie"/>
        <w:shd w:val="clear" w:color="auto" w:fill="FFFFFF"/>
        <w:jc w:val="both"/>
      </w:pPr>
      <w:r w:rsidRPr="0040470F">
        <w:rPr>
          <w:color w:val="FF0000"/>
          <w:u w:val="single"/>
        </w:rPr>
        <w:t>La principal razón para el lento progreso en las negociaciones de comercio no es el proteccionismo que va en aumento; es el hecho de que una mayor liberalización implica complejas compensaciones que ya no se ven compensadas por enormes beneficios potenciales</w:t>
      </w:r>
      <w:r w:rsidRPr="00102F13">
        <w:t xml:space="preserve">. El fracaso de la Ronda de Doha ha sido condenado públicamente como un </w:t>
      </w:r>
      <w:r w:rsidRPr="00102F13">
        <w:lastRenderedPageBreak/>
        <w:t>revés para los países en desarrollo</w:t>
      </w:r>
      <w:r>
        <w:t>. Y cierta liberalización -</w:t>
      </w:r>
      <w:r w:rsidRPr="00102F13">
        <w:t>digamos, de las importaciones de algo</w:t>
      </w:r>
      <w:r>
        <w:t>dón de las economías avanzadas-</w:t>
      </w:r>
      <w:r w:rsidRPr="00102F13">
        <w:t xml:space="preserve"> sin duda beneficiaría a algunas economías de bajos ingresos. Pero la liberalización completa del comercio tendría un impacto complejo en las economías menos desarrolladas, algunas de las cuales se beneficiarían solamente si se las compensa por la pérdida del acceso preferencial a los mercados de las economías avanzadas que disfrutan hoy en día. </w:t>
      </w:r>
    </w:p>
    <w:p w:rsidR="000369FD" w:rsidRPr="00102F13" w:rsidRDefault="000369FD" w:rsidP="000369FD">
      <w:pPr>
        <w:pStyle w:val="notapie"/>
        <w:shd w:val="clear" w:color="auto" w:fill="FFFFFF"/>
        <w:jc w:val="both"/>
      </w:pPr>
    </w:p>
    <w:p w:rsidR="000369FD" w:rsidRDefault="000369FD" w:rsidP="000369FD">
      <w:pPr>
        <w:pStyle w:val="notapie"/>
        <w:shd w:val="clear" w:color="auto" w:fill="FFFFFF"/>
        <w:jc w:val="both"/>
        <w:rPr>
          <w:color w:val="FF0000"/>
          <w:u w:val="single"/>
        </w:rPr>
      </w:pPr>
      <w:r w:rsidRPr="003A2801">
        <w:rPr>
          <w:color w:val="FF0000"/>
          <w:u w:val="single"/>
        </w:rPr>
        <w:t xml:space="preserve">Esto implica que los futuros avances en la liberalización del comercio serán lentos. Sin embargo, para las perspectivas de crecimiento, dicho avance lento es un reto mucho menos importante en comparación al reto que representa la carga de la deuda en las economías desarrolladas, o las deficiencias educativas y de infraestructura en muchas economías en desarrollo. Esta realidad a menudo no se reconoce. La importancia que revestían las liberalizaciones comerciales del pasado ha dejado a los líderes encargados de las políticas mundiales con un sesgo que los lleva a suponer que una mayor liberalización traería beneficios similares. </w:t>
      </w:r>
    </w:p>
    <w:p w:rsidR="008742C5" w:rsidRPr="003A2801" w:rsidRDefault="008742C5" w:rsidP="000369FD">
      <w:pPr>
        <w:pStyle w:val="notapie"/>
        <w:shd w:val="clear" w:color="auto" w:fill="FFFFFF"/>
        <w:jc w:val="both"/>
        <w:rPr>
          <w:color w:val="FF0000"/>
          <w:u w:val="single"/>
        </w:rPr>
      </w:pPr>
    </w:p>
    <w:p w:rsidR="000369FD" w:rsidRPr="00102F13" w:rsidRDefault="000369FD" w:rsidP="000369FD">
      <w:pPr>
        <w:pStyle w:val="notapie"/>
        <w:shd w:val="clear" w:color="auto" w:fill="FFFFFF"/>
        <w:jc w:val="both"/>
      </w:pPr>
      <w:r w:rsidRPr="003A2801">
        <w:rPr>
          <w:color w:val="FF0000"/>
          <w:u w:val="single"/>
        </w:rPr>
        <w:t>Sin embargo, si bien los beneficios mundiales potenciales de la liberalización del comercio han disminuido, la reducida intensidad del comercio aún podría impedir el desarrollo económico de algunos países</w:t>
      </w:r>
      <w:r w:rsidRPr="00102F13">
        <w:t xml:space="preserve">. Sólo un puñado de economías en los últimos 60 años han alcanzado  los estándares de vida de las economías avanzadas de manera plena, y todo esto fue logrado sobre la base de un crecimiento impulsado por las exportaciones, cuyo fin a su vez es impulsar la productividad y la creación de empleos en la industria manufacturera. Confiar únicamente en dicho modelo se tornará más difícil en el futuro. China es tan grande que debe desarrollar impulsores internos para el crecimiento en una etapa más temprana de su desarrollo en comparación con lo que ocurrió en los casos de Japón, Taiwán o Corea del Sur; como consecuencia de ello, sus exportaciones disminuirán inevitablemente (en relación con el PIB). </w:t>
      </w:r>
    </w:p>
    <w:p w:rsidR="000369FD" w:rsidRPr="00102F13" w:rsidRDefault="000369FD" w:rsidP="000369FD">
      <w:pPr>
        <w:pStyle w:val="notapie"/>
        <w:shd w:val="clear" w:color="auto" w:fill="FFFFFF"/>
        <w:jc w:val="both"/>
      </w:pPr>
    </w:p>
    <w:p w:rsidR="000369FD" w:rsidRPr="003A2801" w:rsidRDefault="000369FD" w:rsidP="000369FD">
      <w:pPr>
        <w:pStyle w:val="notapie"/>
        <w:shd w:val="clear" w:color="auto" w:fill="FFFFFF"/>
        <w:jc w:val="both"/>
        <w:rPr>
          <w:color w:val="FF0000"/>
          <w:u w:val="single"/>
        </w:rPr>
      </w:pPr>
      <w:r w:rsidRPr="00102F13">
        <w:t xml:space="preserve">Mientras tanto, para algunos países de bajos ingresos, </w:t>
      </w:r>
      <w:r w:rsidRPr="003A2801">
        <w:rPr>
          <w:u w:val="single"/>
        </w:rPr>
        <w:t>el aumento de la automatización del tipo descrito por  Brynjolfsson y McAfee que ocurre en los sectores de manufactura y servicios, ya sea dentro de las economías avanzadas, o dentro de agrupaciones industriales establecidas en China, hará que la ruta para acceder a una situación de ingresos medios y altos sea más difícil de alcanzar</w:t>
      </w:r>
      <w:r w:rsidRPr="00102F13">
        <w:t xml:space="preserve">. </w:t>
      </w:r>
      <w:r w:rsidRPr="003A2801">
        <w:rPr>
          <w:color w:val="FF0000"/>
          <w:u w:val="single"/>
        </w:rPr>
        <w:t>Esto plantea importantes retos para las políticas de desarrollo, retos que una mayor liberalización comercial podría aliviar sólo marginalmente.</w:t>
      </w:r>
    </w:p>
    <w:p w:rsidR="000369FD" w:rsidRDefault="000369FD" w:rsidP="000369FD">
      <w:pPr>
        <w:pStyle w:val="notapie"/>
        <w:shd w:val="clear" w:color="auto" w:fill="FFFFFF"/>
        <w:jc w:val="both"/>
      </w:pPr>
    </w:p>
    <w:p w:rsidR="000369FD" w:rsidRDefault="000369FD" w:rsidP="000369FD">
      <w:pPr>
        <w:pStyle w:val="notapie"/>
        <w:shd w:val="clear" w:color="auto" w:fill="FFFFFF"/>
        <w:jc w:val="both"/>
        <w:rPr>
          <w:lang w:val="en-US"/>
        </w:rPr>
      </w:pPr>
      <w:r>
        <w:rPr>
          <w:lang w:val="en-US"/>
        </w:rPr>
        <w:t>(</w:t>
      </w:r>
      <w:r w:rsidRPr="004B2C71">
        <w:rPr>
          <w:lang w:val="en-US"/>
        </w:rPr>
        <w:t xml:space="preserve">Adair Turner, a former chairman of the United Kingdom's Financial Services Authority and former member of the UK's Financial Policy Committee, is a senior fellow at the Institute for New Economic Thinking and at the Center for </w:t>
      </w:r>
      <w:r>
        <w:rPr>
          <w:lang w:val="en-US"/>
        </w:rPr>
        <w:t>Financial Studies in Frankfurt)</w:t>
      </w:r>
    </w:p>
    <w:p w:rsidR="000369FD" w:rsidRPr="000B3C3D" w:rsidRDefault="000369FD" w:rsidP="000369FD">
      <w:pPr>
        <w:pStyle w:val="Ttulo2"/>
        <w:spacing w:line="240" w:lineRule="auto"/>
        <w:jc w:val="both"/>
        <w:rPr>
          <w:rFonts w:ascii="Times New Roman" w:hAnsi="Times New Roman" w:cs="Times New Roman"/>
          <w:b w:val="0"/>
          <w:color w:val="auto"/>
          <w:sz w:val="24"/>
          <w:szCs w:val="24"/>
          <w:lang w:val="en-US"/>
        </w:rPr>
      </w:pPr>
      <w:r>
        <w:rPr>
          <w:rFonts w:ascii="Times New Roman" w:hAnsi="Times New Roman" w:cs="Times New Roman"/>
          <w:b w:val="0"/>
          <w:color w:val="auto"/>
          <w:sz w:val="24"/>
          <w:szCs w:val="24"/>
          <w:lang w:val="en-US"/>
        </w:rPr>
        <w:t xml:space="preserve">- </w:t>
      </w:r>
      <w:r w:rsidRPr="000B3C3D">
        <w:rPr>
          <w:rFonts w:ascii="Times New Roman" w:hAnsi="Times New Roman" w:cs="Times New Roman"/>
          <w:b w:val="0"/>
          <w:color w:val="auto"/>
          <w:sz w:val="24"/>
          <w:szCs w:val="24"/>
          <w:u w:val="single"/>
          <w:lang w:val="en-US"/>
        </w:rPr>
        <w:t>The Transatlantic Trade and Investment Partnership (TTIP): Economic Benefits and Potential Risks</w:t>
      </w:r>
      <w:r>
        <w:rPr>
          <w:rFonts w:ascii="Times New Roman" w:hAnsi="Times New Roman" w:cs="Times New Roman"/>
          <w:b w:val="0"/>
          <w:color w:val="auto"/>
          <w:sz w:val="24"/>
          <w:szCs w:val="24"/>
          <w:lang w:val="en-US"/>
        </w:rPr>
        <w:t xml:space="preserve"> (The Heritage Foundation - </w:t>
      </w:r>
      <w:r w:rsidRPr="000B3C3D">
        <w:rPr>
          <w:rFonts w:ascii="Times New Roman" w:hAnsi="Times New Roman" w:cs="Times New Roman"/>
          <w:color w:val="auto"/>
          <w:sz w:val="24"/>
          <w:szCs w:val="24"/>
          <w:lang w:val="en-US"/>
        </w:rPr>
        <w:t>17/9/14</w:t>
      </w:r>
      <w:r>
        <w:rPr>
          <w:rFonts w:ascii="Times New Roman" w:hAnsi="Times New Roman" w:cs="Times New Roman"/>
          <w:b w:val="0"/>
          <w:color w:val="auto"/>
          <w:sz w:val="24"/>
          <w:szCs w:val="24"/>
          <w:lang w:val="en-US"/>
        </w:rPr>
        <w:t>)</w:t>
      </w:r>
    </w:p>
    <w:p w:rsidR="000369FD" w:rsidRPr="000B3C3D" w:rsidRDefault="000369FD" w:rsidP="000369FD">
      <w:pPr>
        <w:pStyle w:val="byauth"/>
        <w:jc w:val="both"/>
        <w:rPr>
          <w:lang w:val="en-US"/>
        </w:rPr>
      </w:pPr>
      <w:r>
        <w:rPr>
          <w:lang w:val="en-US"/>
        </w:rPr>
        <w:t>(</w:t>
      </w:r>
      <w:r w:rsidRPr="000B3C3D">
        <w:rPr>
          <w:lang w:val="en-US"/>
        </w:rPr>
        <w:t xml:space="preserve">By </w:t>
      </w:r>
      <w:hyperlink r:id="rId92" w:tooltip="Theodore R. Bromund, Ph.D." w:history="1">
        <w:r w:rsidRPr="000B3C3D">
          <w:rPr>
            <w:rStyle w:val="Hipervnculo"/>
            <w:rFonts w:eastAsiaTheme="majorEastAsia"/>
            <w:color w:val="auto"/>
            <w:lang w:val="en-US"/>
          </w:rPr>
          <w:t>Theodore R. Bromund, Ph.D.</w:t>
        </w:r>
      </w:hyperlink>
      <w:r w:rsidRPr="000B3C3D">
        <w:rPr>
          <w:rStyle w:val="nfasis"/>
          <w:lang w:val="en-US"/>
        </w:rPr>
        <w:t>,</w:t>
      </w:r>
      <w:r w:rsidRPr="000B3C3D">
        <w:rPr>
          <w:lang w:val="en-US"/>
        </w:rPr>
        <w:t xml:space="preserve"> </w:t>
      </w:r>
      <w:hyperlink r:id="rId93" w:tooltip="Luke Coffey" w:history="1">
        <w:r w:rsidRPr="000B3C3D">
          <w:rPr>
            <w:rStyle w:val="Hipervnculo"/>
            <w:rFonts w:eastAsiaTheme="majorEastAsia"/>
            <w:color w:val="auto"/>
            <w:lang w:val="en-US"/>
          </w:rPr>
          <w:t>Luke Coffey</w:t>
        </w:r>
      </w:hyperlink>
      <w:r w:rsidRPr="000B3C3D">
        <w:rPr>
          <w:lang w:val="en-US"/>
        </w:rPr>
        <w:t xml:space="preserve"> and </w:t>
      </w:r>
      <w:hyperlink r:id="rId94" w:tooltip="Bryan Riley" w:history="1">
        <w:r w:rsidRPr="000B3C3D">
          <w:rPr>
            <w:rStyle w:val="Hipervnculo"/>
            <w:rFonts w:eastAsiaTheme="majorEastAsia"/>
            <w:color w:val="auto"/>
            <w:lang w:val="en-US"/>
          </w:rPr>
          <w:t>Bryan Riley</w:t>
        </w:r>
      </w:hyperlink>
      <w:r w:rsidRPr="000B3C3D">
        <w:rPr>
          <w:lang w:val="en-US"/>
        </w:rPr>
        <w:t>)</w:t>
      </w:r>
    </w:p>
    <w:p w:rsidR="000369FD" w:rsidRPr="000B3C3D" w:rsidRDefault="000369FD" w:rsidP="000369FD">
      <w:pPr>
        <w:spacing w:line="240" w:lineRule="auto"/>
        <w:jc w:val="both"/>
        <w:rPr>
          <w:rFonts w:ascii="Times New Roman" w:hAnsi="Times New Roman" w:cs="Times New Roman"/>
          <w:sz w:val="24"/>
          <w:szCs w:val="24"/>
          <w:lang w:val="en-US"/>
        </w:rPr>
      </w:pPr>
      <w:r w:rsidRPr="000B3C3D">
        <w:rPr>
          <w:rStyle w:val="nfasis"/>
          <w:rFonts w:ascii="Times New Roman" w:hAnsi="Times New Roman" w:cs="Times New Roman"/>
          <w:sz w:val="24"/>
          <w:szCs w:val="24"/>
          <w:lang w:val="en-US"/>
        </w:rPr>
        <w:t>The United States and the European Union are negotiating a trade agreeme</w:t>
      </w:r>
      <w:r>
        <w:rPr>
          <w:rStyle w:val="nfasis"/>
          <w:rFonts w:ascii="Times New Roman" w:hAnsi="Times New Roman" w:cs="Times New Roman"/>
          <w:sz w:val="24"/>
          <w:szCs w:val="24"/>
          <w:lang w:val="en-US"/>
        </w:rPr>
        <w:t>nt -</w:t>
      </w:r>
      <w:r w:rsidRPr="000B3C3D">
        <w:rPr>
          <w:rStyle w:val="nfasis"/>
          <w:rFonts w:ascii="Times New Roman" w:hAnsi="Times New Roman" w:cs="Times New Roman"/>
          <w:sz w:val="24"/>
          <w:szCs w:val="24"/>
          <w:lang w:val="en-US"/>
        </w:rPr>
        <w:t>the Transatlantic Trade an</w:t>
      </w:r>
      <w:r>
        <w:rPr>
          <w:rStyle w:val="nfasis"/>
          <w:rFonts w:ascii="Times New Roman" w:hAnsi="Times New Roman" w:cs="Times New Roman"/>
          <w:sz w:val="24"/>
          <w:szCs w:val="24"/>
          <w:lang w:val="en-US"/>
        </w:rPr>
        <w:t xml:space="preserve">d Investment Partnership (TTIP)- </w:t>
      </w:r>
      <w:r w:rsidRPr="000B3C3D">
        <w:rPr>
          <w:rStyle w:val="nfasis"/>
          <w:rFonts w:ascii="Times New Roman" w:hAnsi="Times New Roman" w:cs="Times New Roman"/>
          <w:sz w:val="24"/>
          <w:szCs w:val="24"/>
          <w:lang w:val="en-US"/>
        </w:rPr>
        <w:t>that politicians and commentators on both sides of the Atlantic hail as the answer to the woes of the transatlantic relationship, as a solution to the EU’s economic difficulties, and as heralding the creation of a new institution that will reinvigorate th</w:t>
      </w:r>
      <w:r>
        <w:rPr>
          <w:rStyle w:val="nfasis"/>
          <w:rFonts w:ascii="Times New Roman" w:hAnsi="Times New Roman" w:cs="Times New Roman"/>
          <w:sz w:val="24"/>
          <w:szCs w:val="24"/>
          <w:lang w:val="en-US"/>
        </w:rPr>
        <w:t xml:space="preserve">e Western alliance. But </w:t>
      </w:r>
      <w:r>
        <w:rPr>
          <w:rStyle w:val="nfasis"/>
          <w:rFonts w:ascii="Times New Roman" w:hAnsi="Times New Roman" w:cs="Times New Roman"/>
          <w:sz w:val="24"/>
          <w:szCs w:val="24"/>
          <w:lang w:val="en-US"/>
        </w:rPr>
        <w:lastRenderedPageBreak/>
        <w:t>no U.S.-</w:t>
      </w:r>
      <w:r w:rsidRPr="000B3C3D">
        <w:rPr>
          <w:rStyle w:val="nfasis"/>
          <w:rFonts w:ascii="Times New Roman" w:hAnsi="Times New Roman" w:cs="Times New Roman"/>
          <w:sz w:val="24"/>
          <w:szCs w:val="24"/>
          <w:lang w:val="en-US"/>
        </w:rPr>
        <w:t xml:space="preserve">EU agreement can do all that has been claimed of the TTIP, and there are reasons to believe that its benefits have been oversold. The U.S. should support all measures that would promote growth and employment by increasing economic freedom, but it should not accept any agreement that could increase government regulation in the name of promoting free trade and create a transnational regulatory body that could infringe on U.S. sovereignty. </w:t>
      </w:r>
    </w:p>
    <w:p w:rsidR="000369FD" w:rsidRDefault="000369FD" w:rsidP="000369FD">
      <w:pPr>
        <w:pStyle w:val="NormalWeb"/>
        <w:jc w:val="both"/>
        <w:rPr>
          <w:lang w:val="en-US"/>
        </w:rPr>
      </w:pPr>
      <w:r w:rsidRPr="000B3C3D">
        <w:rPr>
          <w:lang w:val="en-US"/>
        </w:rPr>
        <w:t xml:space="preserve">In February 2013, President Barack Obama called for a free trade agreement between the United States and the European Union during his State of the Union address. This proposed agreement is now known as the Transatlantic Trade and Investment Partnership (TTIP). The President’s announcement has been taken by politicians and commentators on both sides of the Atlantic as an effort to reinvigorate U.S. trade diplomacy, as the answer to the woes of the transatlantic relationship, as a solution to the EU’s economic difficulties, and as heralding the creation of a new institution that will give renewed purpose to the Western alliance.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Reality is more complex. An agreement that reduces barriers to trade between the U.S. and the EU, thereby empowering individuals on both continent</w:t>
      </w:r>
      <w:r w:rsidR="008742C5">
        <w:rPr>
          <w:lang w:val="en-US"/>
        </w:rPr>
        <w:t>s, would be beneficial. No U.S.-</w:t>
      </w:r>
      <w:r w:rsidRPr="000B3C3D">
        <w:rPr>
          <w:lang w:val="en-US"/>
        </w:rPr>
        <w:t xml:space="preserve">EU agreement, however, can do all that has been claimed of the TTIP, and there are reasons to believe that the TTIP’s economic and broader geopolitical benefits have been oversold by some of its proponents.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This </w:t>
      </w:r>
      <w:r w:rsidRPr="000B3C3D">
        <w:rPr>
          <w:i/>
          <w:iCs/>
          <w:lang w:val="en-US"/>
        </w:rPr>
        <w:t>Backgrounder</w:t>
      </w:r>
      <w:r>
        <w:rPr>
          <w:i/>
          <w:iCs/>
          <w:lang w:val="en-US"/>
        </w:rPr>
        <w:t xml:space="preserve"> </w:t>
      </w:r>
      <w:r>
        <w:rPr>
          <w:lang w:val="en-US"/>
        </w:rPr>
        <w:t xml:space="preserve">-the first of two- </w:t>
      </w:r>
      <w:r w:rsidRPr="000B3C3D">
        <w:rPr>
          <w:lang w:val="en-US"/>
        </w:rPr>
        <w:t>will assess the substantial benef</w:t>
      </w:r>
      <w:r>
        <w:rPr>
          <w:lang w:val="en-US"/>
        </w:rPr>
        <w:t>its that would flow from a U.S.-</w:t>
      </w:r>
      <w:r w:rsidRPr="000B3C3D">
        <w:rPr>
          <w:lang w:val="en-US"/>
        </w:rPr>
        <w:t xml:space="preserve">EU agreement that genuinely advanced economic freedom while considering the risks that such an agreement would not achieve this objective. The second </w:t>
      </w:r>
      <w:r w:rsidRPr="000B3C3D">
        <w:rPr>
          <w:i/>
          <w:iCs/>
          <w:lang w:val="en-US"/>
        </w:rPr>
        <w:t>Backgrounder</w:t>
      </w:r>
      <w:r w:rsidRPr="000B3C3D">
        <w:rPr>
          <w:lang w:val="en-US"/>
        </w:rPr>
        <w:t xml:space="preserve"> will assess the broader geopolitical case for a TTIP.</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The United States should look favorably on all measures that would promote growth and employment by genuinely increasing economic freedom, but it should not accept any agreement that could mandate the international harmonization of rules and thereby increase government regulation in the name of promoting free trade. Nor should it accept any agreement that would create a transnational regulatory body that could infringe on U.S. sovereignty.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If the U.S. is to pursue a comprehensive TTIP, the Administration will have to show leadership that has been lacking to date. The history of such comprehensive efforts</w:t>
      </w:r>
      <w:r>
        <w:rPr>
          <w:lang w:val="en-US"/>
        </w:rPr>
        <w:t>, and even of more limited U.S.-</w:t>
      </w:r>
      <w:r w:rsidRPr="000B3C3D">
        <w:rPr>
          <w:lang w:val="en-US"/>
        </w:rPr>
        <w:t xml:space="preserve">EU agreements, suggests that it might be wiser to pursue a narrower negotiation that would focus on achievable goals and would not be based on the principle of harmonization. </w:t>
      </w:r>
    </w:p>
    <w:p w:rsidR="000369FD" w:rsidRPr="000B3C3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In any case, if it decides to give trade promotion authority (TPA) to the Administration, Congress will have to ensure that the Administration is clearly committed to the promotion of economic freedom and define the redlines for negotiation of a TTIP with care. Furthermore, the United States should not wait for the conclusion of TTIP negotiations to open negotiations for free trade agreements with European nations that are not burdened by the cumbersome EU bureaucracy, including Norway, Switzerland, Turkey, and Georgia, or any nation that might exit the EU in the coming years, such as the United Kingdom, which will hold a referendum on EU membership in 2017.</w:t>
      </w:r>
      <w:r w:rsidRPr="000B3C3D">
        <w:rPr>
          <w:b/>
          <w:bCs/>
          <w:lang w:val="en-US"/>
        </w:rPr>
        <w:t xml:space="preserve"> </w:t>
      </w:r>
      <w:r w:rsidRPr="000B3C3D">
        <w:rPr>
          <w:lang w:val="en-US"/>
        </w:rPr>
        <w:t xml:space="preserve">Finally, the U.S. should couple these negotiations with a broader emphasis on the promotion of economic freedom, both abroad and at home. </w:t>
      </w:r>
    </w:p>
    <w:p w:rsidR="000369FD" w:rsidRPr="000B3C3D" w:rsidRDefault="000369FD" w:rsidP="000369FD">
      <w:pPr>
        <w:pStyle w:val="Ttulo3"/>
        <w:spacing w:line="240" w:lineRule="auto"/>
        <w:jc w:val="both"/>
        <w:rPr>
          <w:rFonts w:ascii="Times New Roman" w:hAnsi="Times New Roman" w:cs="Times New Roman"/>
          <w:color w:val="auto"/>
          <w:sz w:val="24"/>
          <w:szCs w:val="24"/>
          <w:lang w:val="en-US"/>
        </w:rPr>
      </w:pPr>
      <w:r w:rsidRPr="000B3C3D">
        <w:rPr>
          <w:rFonts w:ascii="Times New Roman" w:hAnsi="Times New Roman" w:cs="Times New Roman"/>
          <w:color w:val="auto"/>
          <w:sz w:val="24"/>
          <w:szCs w:val="24"/>
          <w:lang w:val="en-US"/>
        </w:rPr>
        <w:lastRenderedPageBreak/>
        <w:t xml:space="preserve">The Case for Economic and Trade Freedom </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Default="000369FD" w:rsidP="000369FD">
      <w:pPr>
        <w:pStyle w:val="NormalWeb"/>
        <w:jc w:val="both"/>
        <w:rPr>
          <w:lang w:val="en-US"/>
        </w:rPr>
      </w:pPr>
      <w:r w:rsidRPr="000B3C3D">
        <w:rPr>
          <w:lang w:val="en-US"/>
        </w:rPr>
        <w:t xml:space="preserve">Economic freedom is the fundamental right of every person to control his or her own labor and property. As such, it is a natural right and is closely associated with other human rights, such as the existence of a free press, freedom of religion, and freedom from arbitrary power. It also has important practical consequences: Increasing levels of economic freedom correlate with greater prosperity and many other desirable social outcomes.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Economic freedom includes having the ability to trade freely, both internationally and domestically; the voluntary exchange of goods is central to the functioning of markets and to the increases in productivity that ultimately bring greater wealth. After World War</w:t>
      </w:r>
      <w:r>
        <w:rPr>
          <w:lang w:val="en-US"/>
        </w:rPr>
        <w:t xml:space="preserve"> II, the U.S. led the developed -</w:t>
      </w:r>
      <w:r w:rsidRPr="000B3C3D">
        <w:rPr>
          <w:lang w:val="en-US"/>
        </w:rPr>
        <w:t>an</w:t>
      </w:r>
      <w:r>
        <w:rPr>
          <w:lang w:val="en-US"/>
        </w:rPr>
        <w:t xml:space="preserve">d, increasingly, the developing- </w:t>
      </w:r>
      <w:r w:rsidRPr="000B3C3D">
        <w:rPr>
          <w:lang w:val="en-US"/>
        </w:rPr>
        <w:t xml:space="preserve">world to liberalize international trade, which contributed powerfully to making this era the most prosperous in the history of the world.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Trade becomes freer as it is subject to fewer government controls, restrictions, and barriers. The best-known barrier to freer trade is government imposition of tariffs on imported goods. Tariffs raise the cost of imports, making them more expensive to domestic consumers and manufacturers and thereby reducing American buying power. There also are many other barriers to trade, including government regulations on the goods that are allowed to enter the market, requirements to buy only domestically produced goods for some government-financed projects, and the existence of state-owned enterprises that receive government subsidies.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While these barriers work in many ways, they are like tariffs because they both make it harder for consumers to exercise their freedom to choose what to buy and, by reducing competition, make purchases more expensive. The case for freeing U.S. exports from foreign restrictions is widely appreciated, but the case for freeing imports from domestic American restr</w:t>
      </w:r>
      <w:r>
        <w:rPr>
          <w:lang w:val="en-US"/>
        </w:rPr>
        <w:t xml:space="preserve">ictions is less well understood - </w:t>
      </w:r>
      <w:r w:rsidRPr="000B3C3D">
        <w:rPr>
          <w:lang w:val="en-US"/>
        </w:rPr>
        <w:t xml:space="preserve">even though those American restrictions are paid for by American consumers and benefit special interests at the expense of the public at large.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To the extent that these barriers exist in the United States, they exist because of the actions of the federal, state, and local governments. Trade agreements can provide a mechanism that encourages the liberalization of U.S. markets by offering the promise of similar actions by U.S. trading partners, but the U.S. also could and should reduce burdensome regulations on its own, without any negotiations.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Nor does calling a trade agreement a contribution to free trade necessarily make it so. Because many barriers to freer trade originate in government regulations, it is possible that an agreement could align rules across international borders in a way that would make international trade easier while simultaneously reducing economic freedom. In other words, the rules under which businesses work could be made more coherent internationally but also more onerous, thus keeping competitors out of the market and increasing the damage that the rules do to the majority of the economy that does not directly engage in international trade.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The first and central test of the acceptability of any trade agreement must be whether it actually increases economic freedom for and in the United States. If it does not, it is </w:t>
      </w:r>
      <w:r w:rsidRPr="000B3C3D">
        <w:rPr>
          <w:lang w:val="en-US"/>
        </w:rPr>
        <w:lastRenderedPageBreak/>
        <w:t xml:space="preserve">unacceptable. In order for a trade agreement to meet this criterion, it must definitely reduce the significance of governmental regulation of and barriers to trade. A trade agreement that merely promises to reduce regulation by establishing international commissions to assess regulations in particular sectors does not meet this criterion, because such commissions will also have the power to promote increased regulation in practice.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Unless reduced regulation is assured, a trade agreement that seeks to harmonize domestic regulations across international boundaries is also unacceptable. Harmonization is likely to be driven in practice by international commissions and to harmonize up to higher levels of regulation, not down to lower ones. The</w:t>
      </w:r>
      <w:r>
        <w:rPr>
          <w:lang w:val="en-US"/>
        </w:rPr>
        <w:t xml:space="preserve"> approach of mutual recognition -</w:t>
      </w:r>
      <w:r w:rsidRPr="000B3C3D">
        <w:rPr>
          <w:lang w:val="en-US"/>
        </w:rPr>
        <w:t>whereby both parties to the agreement a</w:t>
      </w:r>
      <w:r>
        <w:rPr>
          <w:lang w:val="en-US"/>
        </w:rPr>
        <w:t xml:space="preserve">ccept each other’s standards- </w:t>
      </w:r>
      <w:r w:rsidRPr="000B3C3D">
        <w:rPr>
          <w:lang w:val="en-US"/>
        </w:rPr>
        <w:t xml:space="preserve">is superior because it allows continued competition between regulatory approaches and thus penalizes the less efficient and more burdensome approaches. </w:t>
      </w:r>
    </w:p>
    <w:p w:rsidR="000369FD" w:rsidRPr="000B3C3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 xml:space="preserve">In short, the goal of U.S. trade policy should be to increase economic freedom both worldwide and, in particular, in the United States. International agreements can make, as they have in the past, a valuable contribution to this goal, but there is no guarantee that an agreement that is billed as promoting freer trade will actually lead to increased economic freedom. </w:t>
      </w:r>
    </w:p>
    <w:p w:rsidR="000369FD" w:rsidRPr="000B3C3D" w:rsidRDefault="000369FD" w:rsidP="000369FD">
      <w:pPr>
        <w:pStyle w:val="Ttulo3"/>
        <w:spacing w:line="240" w:lineRule="auto"/>
        <w:jc w:val="both"/>
        <w:rPr>
          <w:rFonts w:ascii="Times New Roman" w:hAnsi="Times New Roman" w:cs="Times New Roman"/>
          <w:color w:val="auto"/>
          <w:sz w:val="24"/>
          <w:szCs w:val="24"/>
          <w:lang w:val="en-US"/>
        </w:rPr>
      </w:pPr>
      <w:r w:rsidRPr="000B3C3D">
        <w:rPr>
          <w:rFonts w:ascii="Times New Roman" w:hAnsi="Times New Roman" w:cs="Times New Roman"/>
          <w:color w:val="auto"/>
          <w:sz w:val="24"/>
          <w:szCs w:val="24"/>
          <w:lang w:val="en-US"/>
        </w:rPr>
        <w:t xml:space="preserve">The Economic Benefits of a TTIP </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Pr="003A2801" w:rsidRDefault="000369FD" w:rsidP="000369FD">
      <w:pPr>
        <w:pStyle w:val="NormalWeb"/>
        <w:jc w:val="both"/>
        <w:rPr>
          <w:color w:val="FF0000"/>
          <w:u w:val="single"/>
          <w:lang w:val="en-US"/>
        </w:rPr>
      </w:pPr>
      <w:r w:rsidRPr="003A2801">
        <w:rPr>
          <w:color w:val="FF0000"/>
          <w:u w:val="single"/>
          <w:lang w:val="en-US"/>
        </w:rPr>
        <w:t xml:space="preserve">A number of efforts have been made to model the economic benefits of a TTIP agreement. Such estimates are speculative and will remain so until -and, to an extent, even after- an agreement is negotiated and put into effect. Any model of the gains from a TTIP must necessarily make a substantial number of assumptions about the agreement, and while these assumptions can be defensible, they limit the degree of certainty associated with the estimate the model produces.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 xml:space="preserve">On one hand, if the TTIP genuinely increases economic freedom, it is likely that existing models are too pessimistic about the gains it will yield. Modern economies are extremely complex, and existing models do not fully capture the gains from freer trade. Over the long run, the most important result of reduced barriers to trade in the U.S. and the EU would be that both economies would have a higher growth potential, though the extent of the increase and the ways it might be realized are difficult to quantify. On the other hand, tariff barriers between the U.S. and the EU economies are already very low.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 xml:space="preserve">The gains from further trade liberalization between the U.S. and the EU, therefore, will be relatively less significant than the gains that have already been made. The U.S. and the EU have already done the most valuable work by reducing the tariff barriers between their economies through the creation of the General Agreement on Tariffs and Trade (GATT) in 1948 and its successor, the World Trade Organization (WTO), in 1995.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rPr>
      </w:pPr>
      <w:r w:rsidRPr="003A2801">
        <w:rPr>
          <w:color w:val="FF0000"/>
          <w:u w:val="single"/>
          <w:lang w:val="en-US"/>
        </w:rPr>
        <w:t xml:space="preserve">Nonetheless, it is worth examining the possible gains from a TTIP in order to assess the economic significance of an agreement. Assessments of the gains from a TTIP have tended to converge, indicating that a rough measure of consensus exists. </w:t>
      </w:r>
      <w:r w:rsidRPr="003A2801">
        <w:rPr>
          <w:color w:val="FF0000"/>
          <w:u w:val="single"/>
        </w:rPr>
        <w:t xml:space="preserve">For example: </w:t>
      </w:r>
    </w:p>
    <w:p w:rsidR="000369FD" w:rsidRPr="003A2801" w:rsidRDefault="000369FD" w:rsidP="000369FD">
      <w:pPr>
        <w:numPr>
          <w:ilvl w:val="0"/>
          <w:numId w:val="13"/>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3A2801">
        <w:rPr>
          <w:rFonts w:ascii="Times New Roman" w:hAnsi="Times New Roman" w:cs="Times New Roman"/>
          <w:color w:val="FF0000"/>
          <w:sz w:val="24"/>
          <w:szCs w:val="24"/>
          <w:u w:val="single"/>
          <w:lang w:val="en-US"/>
        </w:rPr>
        <w:t xml:space="preserve">A study by the Centre for Economic Policy Research (CEPR) for the European Commission in March 2013 concluded that by 2027, an ambitious TTIP would produce gains of approximately $164 billion for the EU and $131 billion for the </w:t>
      </w:r>
      <w:r w:rsidRPr="003A2801">
        <w:rPr>
          <w:rFonts w:ascii="Times New Roman" w:hAnsi="Times New Roman" w:cs="Times New Roman"/>
          <w:color w:val="FF0000"/>
          <w:sz w:val="24"/>
          <w:szCs w:val="24"/>
          <w:u w:val="single"/>
          <w:lang w:val="en-US"/>
        </w:rPr>
        <w:lastRenderedPageBreak/>
        <w:t xml:space="preserve">U.S., while a less ambitious agreement that eliminates most tariffs but leaves many non-tariff barriers in place would create EU gains of $94 billion and U.S. gains of $69 billion. The rest of the world would benefit from small but positive spillover effects. </w:t>
      </w:r>
    </w:p>
    <w:p w:rsidR="000369FD" w:rsidRPr="003A2801" w:rsidRDefault="000369FD" w:rsidP="000369FD">
      <w:pPr>
        <w:numPr>
          <w:ilvl w:val="0"/>
          <w:numId w:val="13"/>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3A2801">
        <w:rPr>
          <w:rFonts w:ascii="Times New Roman" w:hAnsi="Times New Roman" w:cs="Times New Roman"/>
          <w:color w:val="FF0000"/>
          <w:sz w:val="24"/>
          <w:szCs w:val="24"/>
          <w:u w:val="single"/>
          <w:lang w:val="en-US"/>
        </w:rPr>
        <w:t xml:space="preserve">Writing in the </w:t>
      </w:r>
      <w:r w:rsidRPr="003A2801">
        <w:rPr>
          <w:rFonts w:ascii="Times New Roman" w:hAnsi="Times New Roman" w:cs="Times New Roman"/>
          <w:i/>
          <w:iCs/>
          <w:color w:val="FF0000"/>
          <w:sz w:val="24"/>
          <w:szCs w:val="24"/>
          <w:u w:val="single"/>
          <w:lang w:val="en-US"/>
        </w:rPr>
        <w:t>Wall Street Journal</w:t>
      </w:r>
      <w:r w:rsidRPr="003A2801">
        <w:rPr>
          <w:rFonts w:ascii="Times New Roman" w:hAnsi="Times New Roman" w:cs="Times New Roman"/>
          <w:color w:val="FF0000"/>
          <w:sz w:val="24"/>
          <w:szCs w:val="24"/>
          <w:u w:val="single"/>
          <w:lang w:val="en-US"/>
        </w:rPr>
        <w:t xml:space="preserve"> ahead of his visit to the United States in May 2013, British Prime Minister David Cameron asserted that “This deal could add as much as £10 billion to the British economy and £63 billion ($97 billion) to U.S. gross domestic product (GDP). But the rest of the world would benefit too, with gains that could generate €100 billion ($132 billion) world-wide”.</w:t>
      </w:r>
    </w:p>
    <w:p w:rsidR="000369FD" w:rsidRPr="003A2801" w:rsidRDefault="000369FD" w:rsidP="000369FD">
      <w:pPr>
        <w:numPr>
          <w:ilvl w:val="0"/>
          <w:numId w:val="13"/>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3A2801">
        <w:rPr>
          <w:rFonts w:ascii="Times New Roman" w:hAnsi="Times New Roman" w:cs="Times New Roman"/>
          <w:color w:val="FF0000"/>
          <w:sz w:val="24"/>
          <w:szCs w:val="24"/>
          <w:u w:val="single"/>
          <w:lang w:val="en-US"/>
        </w:rPr>
        <w:t>A study by the Global Economic Dynamics project of the Bertelsmann Foundation in 2013 concluded that an ambitious TTIP that eliminated tariffs and reduced many regulatory barriers to</w:t>
      </w:r>
      <w:r w:rsidR="001C59BE">
        <w:rPr>
          <w:rFonts w:ascii="Times New Roman" w:hAnsi="Times New Roman" w:cs="Times New Roman"/>
          <w:color w:val="FF0000"/>
          <w:sz w:val="24"/>
          <w:szCs w:val="24"/>
          <w:u w:val="single"/>
          <w:lang w:val="en-US"/>
        </w:rPr>
        <w:t xml:space="preserve"> trade would create almost 1,1</w:t>
      </w:r>
      <w:r w:rsidRPr="003A2801">
        <w:rPr>
          <w:rFonts w:ascii="Times New Roman" w:hAnsi="Times New Roman" w:cs="Times New Roman"/>
          <w:color w:val="FF0000"/>
          <w:sz w:val="24"/>
          <w:szCs w:val="24"/>
          <w:u w:val="single"/>
          <w:lang w:val="en-US"/>
        </w:rPr>
        <w:t xml:space="preserve"> million jobs in the U.S., with most of the gains resulting from the reduction of non-tariff barriers and with the U.S. gaining more than the EU. Most of the rest of the world would suffer trade diversion and a resulting loss of jobs.</w:t>
      </w:r>
    </w:p>
    <w:p w:rsidR="000369FD" w:rsidRPr="003A2801" w:rsidRDefault="000369FD" w:rsidP="000369FD">
      <w:pPr>
        <w:numPr>
          <w:ilvl w:val="0"/>
          <w:numId w:val="13"/>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3A2801">
        <w:rPr>
          <w:rFonts w:ascii="Times New Roman" w:hAnsi="Times New Roman" w:cs="Times New Roman"/>
          <w:color w:val="FF0000"/>
          <w:sz w:val="24"/>
          <w:szCs w:val="24"/>
          <w:u w:val="single"/>
          <w:lang w:val="en-US"/>
        </w:rPr>
        <w:t>A study by the Atlantic Council, the Bertelsmann Foundation, and the British Embassy in Washington in September 2013 concluded that under a TTIP, the U.S. would see a ne</w:t>
      </w:r>
      <w:r>
        <w:rPr>
          <w:rFonts w:ascii="Times New Roman" w:hAnsi="Times New Roman" w:cs="Times New Roman"/>
          <w:color w:val="FF0000"/>
          <w:sz w:val="24"/>
          <w:szCs w:val="24"/>
          <w:u w:val="single"/>
          <w:lang w:val="en-US"/>
        </w:rPr>
        <w:t>t employment gain of almost 750.</w:t>
      </w:r>
      <w:r w:rsidRPr="003A2801">
        <w:rPr>
          <w:rFonts w:ascii="Times New Roman" w:hAnsi="Times New Roman" w:cs="Times New Roman"/>
          <w:color w:val="FF0000"/>
          <w:sz w:val="24"/>
          <w:szCs w:val="24"/>
          <w:u w:val="single"/>
          <w:lang w:val="en-US"/>
        </w:rPr>
        <w:t>000 jobs.</w:t>
      </w:r>
    </w:p>
    <w:p w:rsidR="000369FD" w:rsidRPr="003A2801" w:rsidRDefault="000369FD" w:rsidP="000369FD">
      <w:pPr>
        <w:pStyle w:val="NormalWeb"/>
        <w:jc w:val="both"/>
        <w:rPr>
          <w:color w:val="FF0000"/>
          <w:u w:val="single"/>
          <w:lang w:val="en-US"/>
        </w:rPr>
      </w:pPr>
      <w:r w:rsidRPr="003A2801">
        <w:rPr>
          <w:color w:val="FF0000"/>
          <w:u w:val="single"/>
          <w:lang w:val="en-US"/>
        </w:rPr>
        <w:t xml:space="preserve">The difficulties inherent in estimating the gains from a TTIP are obvious. While there is general agreement that a TTIP would result in additional employment and GDP growth for both the U.S. and the EU, the studies disagree on such matters as which trade partner would benefit more and whether a TTIP would divert trade from the rest of the world.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 xml:space="preserve">Regardless of these issues, however, the projected gains for the U.S. and the EU are both sizable and larger than projected gains from many previous U.S. free trade agreements with other partners. The projected gains from the TTIP are larger simply because both the U.S. and the EU economies are also large, so even the low tariff barriers between them impose costs that, taken together, are significant. If the projected gains from TTIP are real, they are worth having.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On the other hand, the significance of these gains should not be exaggerated. In context, these large numbers are less impressive. In 2013, a relatively weak</w:t>
      </w:r>
      <w:r>
        <w:rPr>
          <w:color w:val="FF0000"/>
          <w:u w:val="single"/>
          <w:lang w:val="en-US"/>
        </w:rPr>
        <w:t xml:space="preserve"> year, the U.S. economy added 2,</w:t>
      </w:r>
      <w:r w:rsidRPr="003A2801">
        <w:rPr>
          <w:color w:val="FF0000"/>
          <w:u w:val="single"/>
          <w:lang w:val="en-US"/>
        </w:rPr>
        <w:t>2 million j</w:t>
      </w:r>
      <w:r>
        <w:rPr>
          <w:color w:val="FF0000"/>
          <w:u w:val="single"/>
          <w:lang w:val="en-US"/>
        </w:rPr>
        <w:t>obs for an average of about 183.</w:t>
      </w:r>
      <w:r w:rsidRPr="003A2801">
        <w:rPr>
          <w:color w:val="FF0000"/>
          <w:u w:val="single"/>
          <w:lang w:val="en-US"/>
        </w:rPr>
        <w:t>000 jobs</w:t>
      </w:r>
      <w:r>
        <w:rPr>
          <w:color w:val="FF0000"/>
          <w:u w:val="single"/>
          <w:lang w:val="en-US"/>
        </w:rPr>
        <w:t xml:space="preserve"> a month. If the TTIP added 750.</w:t>
      </w:r>
      <w:r w:rsidRPr="003A2801">
        <w:rPr>
          <w:color w:val="FF0000"/>
          <w:u w:val="single"/>
          <w:lang w:val="en-US"/>
        </w:rPr>
        <w:t xml:space="preserve">000 jobs, this would be the equivalent of just over four months of employment growth in 2013. It would be as if the U.S. job market was as large at the start of September 2013 as it was by the end of December 2013. Similarly, in 2013, the U.S. economy grew by an estimated 1.9 percent of GDP, or about $300 billion. If the TTIP added $100 billion to the U.S. economy, it would be the equivalent, again, of about four months of GDP growth. In short, these studies conclude that the TTIP is worth between four to six months of growth in GDP and employment at the modest levels that the U.S. achieved in 2013.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 xml:space="preserve">To put it another way, if Prime Minister Cameron’s estimate is accurate, adding $97 billion to the U.S. economy is like adding another firm the size of Home Depot to the American economy. Adding £10 billion to the British economy is like giving Britain another BAE Systems, the aerospace giant. While this would be a good thing, it would not be revolutionary on either side of the Atlantic.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lastRenderedPageBreak/>
        <w:t xml:space="preserve">Moreover, trade agreements do not work like pay increases: The gains do not come all at once. They arrive slowly as the agreement is implemented and the market adapts to these changes. The gains from freer trade are real, but they are also difficult to discern; in practice, in the case of a TTIP, most Americans and Europeans would barely notice them. If, as the CEPR assumes, the gains from a TTIP would not fully materialize until 2027, the agreement would be like adding an extra 10 days of growth to every year from 2015 onward.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Caution is also warranted because of a TTIP’s potential effects on the portion of the U.S. economy that is not directly involved in trade with the EU. Trade agreements that genuinely increase economic freedom benefit some parts of the economy directly, while the rest of the economy benefits indirectly through imports of lower-cost goods, which allows consumers to invest the money they save or spend it on other goods. In the United States, the value of international trade -imports and exports- is about 30 percent of GDP, a relatively low share compared to the United Kingdom’s 65 percent and Germany’s 98 percent.</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This fact is important to consider, because in modeling the gains from a TTIP, some studies -such as that by the CEPR- assume that the reduction of barriers between the United States and the EU will result in lower costs throughout the entire economy. But this assumption, in turn, is predicated on the studies’ assumption that regulations in the U.S. and the EU seek “comparable objectives…thro</w:t>
      </w:r>
      <w:r w:rsidR="008742C5">
        <w:rPr>
          <w:color w:val="FF0000"/>
          <w:u w:val="single"/>
          <w:lang w:val="en-US"/>
        </w:rPr>
        <w:t>ugh different regulatory means”.</w:t>
      </w:r>
      <w:r w:rsidRPr="003A2801">
        <w:rPr>
          <w:color w:val="FF0000"/>
          <w:u w:val="single"/>
          <w:lang w:val="en-US"/>
        </w:rPr>
        <w:t xml:space="preserve"> If that assumption is incorrect - if EU regulation is more extensive and economically damaging than that of the U.S. -then it is possible that an agreement could actually raise costs for the majority of the U.S. economy, which is not directly concerned with international trade, and so produce no gains at all- or even losses. </w:t>
      </w:r>
    </w:p>
    <w:p w:rsidR="000369FD" w:rsidRPr="003A2801" w:rsidRDefault="000369FD" w:rsidP="000369FD">
      <w:pPr>
        <w:pStyle w:val="NormalWeb"/>
        <w:jc w:val="both"/>
        <w:rPr>
          <w:color w:val="FF0000"/>
          <w:u w:val="single"/>
          <w:lang w:val="en-US"/>
        </w:rPr>
      </w:pPr>
    </w:p>
    <w:p w:rsidR="000369FD" w:rsidRPr="003A2801" w:rsidRDefault="000369FD" w:rsidP="000369FD">
      <w:pPr>
        <w:pStyle w:val="NormalWeb"/>
        <w:jc w:val="both"/>
        <w:rPr>
          <w:color w:val="FF0000"/>
          <w:u w:val="single"/>
          <w:lang w:val="en-US"/>
        </w:rPr>
      </w:pPr>
      <w:r w:rsidRPr="003A2801">
        <w:rPr>
          <w:color w:val="FF0000"/>
          <w:u w:val="single"/>
          <w:lang w:val="en-US"/>
        </w:rPr>
        <w:t>There is a final consideration about the modest estimated gains from a TTIP. As the Global Economic Dynamics study correctly notes, reducing trade costs is “the ultimate concern</w:t>
      </w:r>
      <w:r w:rsidR="008742C5">
        <w:rPr>
          <w:color w:val="FF0000"/>
          <w:u w:val="single"/>
          <w:lang w:val="en-US"/>
        </w:rPr>
        <w:t xml:space="preserve"> of every free-trade agreement”.</w:t>
      </w:r>
      <w:r w:rsidRPr="003A2801">
        <w:rPr>
          <w:color w:val="FF0000"/>
          <w:u w:val="single"/>
          <w:lang w:val="en-US"/>
        </w:rPr>
        <w:t xml:space="preserve"> This study thus proceeds by assuming that a TTIP will have roughly the same effect on non-tariff barriers as previous free trade agreements between other trading partners have had. But if a TTIP merely harmonizes non-tariff barriers to trade between the U.S. and EU instead of eliminating them, it may not reduce those costs as much as previous agreements have done, and the comparison between it and other free trade agreements may therefore be invalid. All rules have costs, and while that is not an argument against having any rules at all, it does mean that it is not possible to assess the gains from a TTIP simply by assuming that it will reduce costs to the same extent as previous agreements. </w:t>
      </w:r>
    </w:p>
    <w:p w:rsidR="000369FD" w:rsidRDefault="000369FD" w:rsidP="000369FD">
      <w:pPr>
        <w:pStyle w:val="Ttulo3"/>
        <w:spacing w:line="240" w:lineRule="auto"/>
        <w:jc w:val="both"/>
        <w:rPr>
          <w:rFonts w:ascii="Times New Roman" w:hAnsi="Times New Roman" w:cs="Times New Roman"/>
          <w:color w:val="auto"/>
          <w:sz w:val="24"/>
          <w:szCs w:val="24"/>
          <w:lang w:val="en-US"/>
        </w:rPr>
      </w:pPr>
      <w:r w:rsidRPr="000B3C3D">
        <w:rPr>
          <w:rFonts w:ascii="Times New Roman" w:hAnsi="Times New Roman" w:cs="Times New Roman"/>
          <w:color w:val="auto"/>
          <w:sz w:val="24"/>
          <w:szCs w:val="24"/>
          <w:lang w:val="en-US"/>
        </w:rPr>
        <w:t>The Risks of a TTIP</w:t>
      </w:r>
    </w:p>
    <w:p w:rsidR="004265B7" w:rsidRDefault="004265B7" w:rsidP="000369FD">
      <w:pPr>
        <w:pStyle w:val="NormalWeb"/>
        <w:jc w:val="both"/>
        <w:rPr>
          <w:rFonts w:asciiTheme="minorHAnsi" w:eastAsiaTheme="minorHAnsi" w:hAnsiTheme="minorHAnsi" w:cstheme="minorBidi"/>
          <w:sz w:val="22"/>
          <w:szCs w:val="22"/>
          <w:lang w:val="en-US" w:eastAsia="en-US"/>
        </w:rPr>
      </w:pPr>
    </w:p>
    <w:p w:rsidR="000369FD" w:rsidRPr="00D85049" w:rsidRDefault="000369FD" w:rsidP="000369FD">
      <w:pPr>
        <w:pStyle w:val="NormalWeb"/>
        <w:jc w:val="both"/>
        <w:rPr>
          <w:color w:val="FF0000"/>
          <w:u w:val="single"/>
          <w:lang w:val="en-US"/>
        </w:rPr>
      </w:pPr>
      <w:r w:rsidRPr="00D85049">
        <w:rPr>
          <w:color w:val="FF0000"/>
          <w:u w:val="single"/>
          <w:lang w:val="en-US"/>
        </w:rPr>
        <w:t>The TTIP would make an important contribution to economic freedom if it cut or, preferably, eliminated U.S. and EU tariffs on transatlantic trade, which would in effect provide a tax cut for consumers on both sides of the Atlantic. Imports from the EU are the second-largest source of</w:t>
      </w:r>
      <w:r>
        <w:rPr>
          <w:color w:val="FF0000"/>
          <w:u w:val="single"/>
          <w:lang w:val="en-US"/>
        </w:rPr>
        <w:t xml:space="preserve"> U.S. tariff revenue, taking $4,</w:t>
      </w:r>
      <w:r w:rsidRPr="00D85049">
        <w:rPr>
          <w:color w:val="FF0000"/>
          <w:u w:val="single"/>
          <w:lang w:val="en-US"/>
        </w:rPr>
        <w:t xml:space="preserve">9 billion out of the pockets of U.S. consumers in 2013. Tariff elimination would benefit U.S. exporters too. For example, the EU imposes a 10 percent tariff on U.S.-made cars, and its average tariff on </w:t>
      </w:r>
      <w:r>
        <w:rPr>
          <w:color w:val="FF0000"/>
          <w:u w:val="single"/>
          <w:lang w:val="en-US"/>
        </w:rPr>
        <w:t>U.S. agricultural exports is 12,</w:t>
      </w:r>
      <w:r w:rsidRPr="00D85049">
        <w:rPr>
          <w:color w:val="FF0000"/>
          <w:u w:val="single"/>
          <w:lang w:val="en-US"/>
        </w:rPr>
        <w:t xml:space="preserve">8 percent. </w:t>
      </w:r>
    </w:p>
    <w:p w:rsidR="000369FD" w:rsidRPr="00D85049" w:rsidRDefault="000369FD" w:rsidP="000369FD">
      <w:pPr>
        <w:pStyle w:val="NormalWeb"/>
        <w:jc w:val="both"/>
        <w:rPr>
          <w:color w:val="FF0000"/>
          <w:u w:val="single"/>
          <w:lang w:val="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A survey by the Atlantic Council and the Bertelsmann Foundation of over 300 “stakeholders” who have an interest in the TTIP negotiations found that, of 19 possible </w:t>
      </w:r>
      <w:r w:rsidRPr="00D85049">
        <w:rPr>
          <w:color w:val="FF0000"/>
          <w:u w:val="single"/>
          <w:lang w:val="en-US"/>
        </w:rPr>
        <w:lastRenderedPageBreak/>
        <w:t xml:space="preserve">options, the most important issue in the talks and also the easiest issue to negotiate is the “elimination of tariffs or significant tariff reductions across most sectors”. The logic behind eliminating all tariffs on trade between the U.S. and the EU is compelling and widely recognized. </w:t>
      </w:r>
    </w:p>
    <w:p w:rsidR="000369FD" w:rsidRPr="00D85049" w:rsidRDefault="000369FD" w:rsidP="000369FD">
      <w:pPr>
        <w:pStyle w:val="NormalWeb"/>
        <w:jc w:val="both"/>
        <w:rPr>
          <w:color w:val="FF0000"/>
          <w:u w:val="single"/>
          <w:lang w:val="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However, because tariffs between the U.S. and the EU are already low on average, all studies agree that the majority of the gains from any TTIP will come from reducing what are known as non-tariff barriers (NTBs). There is no universally accepted definition of NTBs, but they are “generally defined as policy measures other than ordinary customs tariffs that can potentially have an economic effect on international trade in goods, changing quantities traded, or prices or both”. In the broadest sense, even geography and language can be classified as NTBs -because, for example, Americans may find it more difficult to trade with Greece than with an English-speaking country, such as the United Kingdom- so no trade agreement can eliminate all barriers to trade. Even in a narrower sense, the United Nations defines 16 separate categories of NTBs, ranging from sanitary regulations to restrictions on post-sale services. </w:t>
      </w:r>
    </w:p>
    <w:p w:rsidR="000369FD" w:rsidRPr="00D85049" w:rsidRDefault="000369FD" w:rsidP="000369FD">
      <w:pPr>
        <w:pStyle w:val="NormalWeb"/>
        <w:jc w:val="both"/>
        <w:rPr>
          <w:color w:val="FF0000"/>
          <w:u w:val="single"/>
          <w:lang w:val="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Most concerns about a TTIP stem from the fact that if it is to achieve the modest gains claimed by its proponents, it will have to reach deep inside the domestic governance of both the U.S. and the EU. In this connection, the words of Margaret Thatcher are worth remembering.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In 1987, as Britain’s Prime Minister, Thatcher led a successful campaign for the adoption throughout the European Community (the forerunner of the EU) of the Single European Act (SEA), which she believed would be a treaty for “economic liberty” that would remove non-tariff barriers across the community and, in particular, benefit Britain, which, because of its lighter and more transparent regulations, was in a position to benefit as others moved toward this approach. The SEA involved a range of measures designed to harmonize standards and specifications and was accompanied by a significant increase in majority voting; in other words, the SEA reduced the power of individual member nations of the EU to block measures under the SEA.</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In retrospect, Thatcher recognized that she “made two understandable but undeniable mistakes” in negotiating the SEA. First, she failed to recognize that the SEA wou</w:t>
      </w:r>
      <w:r>
        <w:rPr>
          <w:lang w:val="en-US"/>
        </w:rPr>
        <w:t>ld give the European Commission -</w:t>
      </w:r>
      <w:r w:rsidRPr="000B3C3D">
        <w:rPr>
          <w:lang w:val="en-US"/>
        </w:rPr>
        <w:t xml:space="preserve">the bureaucratic </w:t>
      </w:r>
      <w:r>
        <w:rPr>
          <w:lang w:val="en-US"/>
        </w:rPr>
        <w:t xml:space="preserve">heart of the European Community- </w:t>
      </w:r>
      <w:r w:rsidRPr="000B3C3D">
        <w:rPr>
          <w:lang w:val="en-US"/>
        </w:rPr>
        <w:t xml:space="preserve">powers that it would continue to use even after the aims of the SEA had been achieved. Second, she believed the promises of the commission and other national members of the community that these powers would be used to promote economic freedom.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These powers, however, were “abused in order to push corporatist and collectivist social legislation</w:t>
      </w:r>
      <w:r>
        <w:rPr>
          <w:lang w:val="en-US"/>
        </w:rPr>
        <w:t xml:space="preserve"> upon Britain by the back door”.</w:t>
      </w:r>
      <w:r w:rsidRPr="000B3C3D">
        <w:rPr>
          <w:lang w:val="en-US"/>
        </w:rPr>
        <w:t xml:space="preserve"> As Thatcher summed it up: </w:t>
      </w:r>
    </w:p>
    <w:p w:rsidR="000369FD" w:rsidRPr="000B3C3D" w:rsidRDefault="000369FD" w:rsidP="000369FD">
      <w:pPr>
        <w:pStyle w:val="NormalWeb"/>
        <w:jc w:val="both"/>
        <w:rPr>
          <w:lang w:val="en-US"/>
        </w:rPr>
      </w:pPr>
    </w:p>
    <w:p w:rsidR="000369FD" w:rsidRPr="000B3C3D" w:rsidRDefault="000369FD" w:rsidP="000369F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aim (of the SEA)</w:t>
      </w:r>
      <w:r w:rsidRPr="000B3C3D">
        <w:rPr>
          <w:rFonts w:ascii="Times New Roman" w:hAnsi="Times New Roman" w:cs="Times New Roman"/>
          <w:sz w:val="24"/>
          <w:szCs w:val="24"/>
          <w:lang w:val="en-US"/>
        </w:rPr>
        <w:t xml:space="preserve"> was sai</w:t>
      </w:r>
      <w:r>
        <w:rPr>
          <w:rFonts w:ascii="Times New Roman" w:hAnsi="Times New Roman" w:cs="Times New Roman"/>
          <w:sz w:val="24"/>
          <w:szCs w:val="24"/>
          <w:lang w:val="en-US"/>
        </w:rPr>
        <w:t>d to be a “level playing field”.</w:t>
      </w:r>
      <w:r w:rsidRPr="000B3C3D">
        <w:rPr>
          <w:rFonts w:ascii="Times New Roman" w:hAnsi="Times New Roman" w:cs="Times New Roman"/>
          <w:sz w:val="24"/>
          <w:szCs w:val="24"/>
          <w:lang w:val="en-US"/>
        </w:rPr>
        <w:t xml:space="preserve"> This phrase has a reassuring ring to it, but it actually encapsulates a fundamental error about trade. Free trade allows firms in differing nations to compete. But because a “level playing field” stops that part of competition that comes from differing regulative systems it actually reduces the gains from trade. Moreover, as every British schoolboy knows, levelling playing fields does not involve the removal of every minor lump, bump and worm-cast. At some point the reshaping and rolling, the raising and lowering, have to stop so that the game can continue normally.</w:t>
      </w:r>
    </w:p>
    <w:p w:rsidR="000369FD" w:rsidRDefault="000369FD" w:rsidP="000369FD">
      <w:pPr>
        <w:pStyle w:val="NormalWeb"/>
        <w:jc w:val="both"/>
        <w:rPr>
          <w:lang w:val="en-US"/>
        </w:rPr>
      </w:pPr>
      <w:r w:rsidRPr="000B3C3D">
        <w:rPr>
          <w:lang w:val="en-US"/>
        </w:rPr>
        <w:lastRenderedPageBreak/>
        <w:t xml:space="preserve">The precedent set by the SEA should always be in the mind of any conservative contemplating a TTIP. The central risk of a TTIP is that the quest to eliminate non-tariff barriers to trade can turn into a supranational exercise in rolling the lawn, whereby any national difference is treated as something that must be eliminated, even if that difference promotes economic freedom. </w:t>
      </w:r>
    </w:p>
    <w:p w:rsidR="000369FD" w:rsidRPr="000B3C3D" w:rsidRDefault="000369FD" w:rsidP="000369FD">
      <w:pPr>
        <w:pStyle w:val="NormalWeb"/>
        <w:jc w:val="both"/>
        <w:rPr>
          <w:lang w:val="en-US"/>
        </w:rPr>
      </w:pPr>
    </w:p>
    <w:p w:rsidR="000369FD" w:rsidRPr="00D85049" w:rsidRDefault="000369FD" w:rsidP="000369FD">
      <w:pPr>
        <w:pStyle w:val="NormalWeb"/>
        <w:jc w:val="both"/>
        <w:rPr>
          <w:u w:val="single"/>
          <w:lang w:val="en-US"/>
        </w:rPr>
      </w:pPr>
      <w:r w:rsidRPr="00D85049">
        <w:rPr>
          <w:u w:val="single"/>
          <w:lang w:val="en-US"/>
        </w:rPr>
        <w:t xml:space="preserve">There is significant evidence that this concern is a serious one. In February 2013, the U.S.-EU High Level Working Group on Jobs and Growth (HLWG), which laid the groundwork for the TTIP negotiations, concluded that: </w:t>
      </w:r>
    </w:p>
    <w:p w:rsidR="000369FD" w:rsidRPr="00D85049" w:rsidRDefault="000369FD" w:rsidP="000369FD">
      <w:pPr>
        <w:pStyle w:val="NormalWeb"/>
        <w:jc w:val="both"/>
        <w:rPr>
          <w:u w:val="single"/>
          <w:lang w:val="en-US"/>
        </w:rPr>
      </w:pPr>
    </w:p>
    <w:p w:rsidR="000369FD" w:rsidRPr="00D85049" w:rsidRDefault="000369FD" w:rsidP="000369FD">
      <w:pPr>
        <w:spacing w:line="240" w:lineRule="auto"/>
        <w:jc w:val="both"/>
        <w:rPr>
          <w:rFonts w:ascii="Times New Roman" w:hAnsi="Times New Roman" w:cs="Times New Roman"/>
          <w:sz w:val="24"/>
          <w:szCs w:val="24"/>
          <w:u w:val="single"/>
          <w:lang w:val="en-US"/>
        </w:rPr>
      </w:pPr>
      <w:r w:rsidRPr="00D85049">
        <w:rPr>
          <w:rFonts w:ascii="Times New Roman" w:hAnsi="Times New Roman" w:cs="Times New Roman"/>
          <w:sz w:val="24"/>
          <w:szCs w:val="24"/>
          <w:u w:val="single"/>
          <w:lang w:val="en-US"/>
        </w:rPr>
        <w:t xml:space="preserve">(The U.S. and EU should) seek to strengthen upstream cooperation by regulators and increase cooperation on standards-related issues…in order to reduce costs associated with regulatory differences by promoting compatibility, including, where appropriate harmonization of future regulations, and to resolve concerns and reduce burdens arising from existing regulations through equivalence, mutual recognition, or other agreed means, as appropriate. </w:t>
      </w:r>
    </w:p>
    <w:p w:rsidR="000369FD" w:rsidRPr="00D85049" w:rsidRDefault="000369FD" w:rsidP="000369FD">
      <w:pPr>
        <w:pStyle w:val="NormalWeb"/>
        <w:jc w:val="both"/>
        <w:rPr>
          <w:u w:val="single"/>
          <w:lang w:val="en-US"/>
        </w:rPr>
      </w:pPr>
      <w:r w:rsidRPr="00D85049">
        <w:rPr>
          <w:u w:val="single"/>
          <w:lang w:val="en-US"/>
        </w:rPr>
        <w:t>In addition, the HLWG called for “provisions that provide an institutional basis for future progress (on regulatory cooperation”).</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 xml:space="preserve">In short, the TTIP’s approach appears to be one of applying a variety of mechanisms to reduce the burdens imposed by differing U.S. and EU regulations over the short run while relying on harmonization, led by a U.S.-EU institution, over the long run. In time, the number of harmonized regulations would grow, and the amount of regulatory competition between the U.S. and the EU would decline. This is the approach that Thatcher condemned.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 xml:space="preserve">But this is not the only reason to be cautious about a TTIP. A second is that the U.S. and EU economies are already highly regulated, and these regulations have a substantial effect on how businesses in the U.S. and the EU work. It is therefore not surprising that industry has taken a keen interest in the progress of the TTIP negotiations. As the </w:t>
      </w:r>
      <w:r w:rsidRPr="00D85049">
        <w:rPr>
          <w:i/>
          <w:iCs/>
          <w:u w:val="single"/>
          <w:lang w:val="en-US"/>
        </w:rPr>
        <w:t>New York Times</w:t>
      </w:r>
      <w:r w:rsidRPr="00D85049">
        <w:rPr>
          <w:u w:val="single"/>
          <w:lang w:val="en-US"/>
        </w:rPr>
        <w:t xml:space="preserve"> reported in 2013, negotiations between the U.S. and the EU were taking place amid a “flurry of corporate wish lists”.</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 xml:space="preserve">This sort of industry input into the negotiation process is not illegitimate, and many industry concerns are undoubtedly reasonable, but industries inevitably will seek to ensure that the rules or rule-making processes created by a TTIP benefit existing firms. Contrary to the belief of the Left, many industries like regulation because it shields them from competition. It is entirely possible for regulation to enable some industries to work more efficiently while at the same time imposing costs on current or future competitors. Instead of building new regulatory barriers, good trade agreements break down barriers that are designed to protect firms from foreign (and domestic) competitors.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It is important that a TTIP benefit everyone, not just large firms (or, for that matter, large unions). A TTIP that fails to lower regulatory burdens on today’s smaller firms, tomorrow’s larger ones, or individual workers would be bad for growth and job creation, and an agreement that should be about promoting economic freedom would risk becoming a corporatist deal.</w:t>
      </w:r>
      <w:r w:rsidRPr="00D85049">
        <w:rPr>
          <w:b/>
          <w:bCs/>
          <w:u w:val="single"/>
          <w:lang w:val="en-US"/>
        </w:rPr>
        <w:t xml:space="preserve"> </w:t>
      </w:r>
      <w:r w:rsidRPr="00D85049">
        <w:rPr>
          <w:u w:val="single"/>
          <w:lang w:val="en-US"/>
        </w:rPr>
        <w:t xml:space="preserve">Economic freedom is not the same thing as making life easier for large corporations (and unions) at the expense of small ones (and individual workers). Corporatism is not free trade. Confusing the two discredits economic freedom and damages both the case and the support for it. </w:t>
      </w:r>
    </w:p>
    <w:p w:rsidR="000369FD" w:rsidRPr="00D85049" w:rsidRDefault="000369FD" w:rsidP="000369FD">
      <w:pPr>
        <w:pStyle w:val="NormalWeb"/>
        <w:jc w:val="both"/>
        <w:rPr>
          <w:u w:val="single"/>
          <w:lang w:val="en-US"/>
        </w:rPr>
      </w:pPr>
    </w:p>
    <w:p w:rsidR="000369FD" w:rsidRDefault="000369FD" w:rsidP="000369FD">
      <w:pPr>
        <w:pStyle w:val="NormalWeb"/>
        <w:jc w:val="both"/>
        <w:rPr>
          <w:u w:val="single"/>
          <w:lang w:val="en-US"/>
        </w:rPr>
      </w:pPr>
      <w:r w:rsidRPr="00D85049">
        <w:rPr>
          <w:u w:val="single"/>
          <w:lang w:val="en-US"/>
        </w:rPr>
        <w:t xml:space="preserve">TTIP advocates appear to be aware of the criticism that any agreement is likely to be shaped in ways that favor large existing firms. The first half of 2014 witnessed a public relations campaign that sought to emphasize TTIP benefits for small and medium-sized businesses and to make the case that exports are good for everyone. On the latter point, there is no dispute; but since, as Ambassador Michael Froman, the U.S. Trade Representative, put it in a speech in June 2014, the proclaimed goal of a TTIP is to “take two advanced, industrialized, highly regulated economies and bring them closer together and bridge the differences in how we regulate”, it appears that reducing the level of regulation is not on the TTIP agenda. Small businesses have more to gain from reducing regulations than larger firms have, because they are less able to afford compliance and lobbying departments. Removing such barriers to competition and thereby advancing economic freedom should be a central goal of the TTIP negotiations.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Ambassador Froman’s remarks, taken with the report of the High Level Working Group, also point out a third way in which TTIP negotiations could go awry. It is one thing to state as an objective that U.S. and EU regulations should be harmonized over time, but actually achieving that will require, as the working group recognized, an institutionalized form of cooperation. The EU has proposed the creation of a Regulatory Cooperation Council that would bring together U.S. and EU regulatory agencies to monitor the implementation of commitments, consider new priorities for regulation, and ask for the joint creation of new regulations. This is not a new approach for the EU. Other trade agreements to which the EU is party, such as its free trade area with South Korea, have taken a similar approach of establishing a committee to promote regulatory cooperation.</w:t>
      </w:r>
    </w:p>
    <w:p w:rsidR="000369FD" w:rsidRPr="00D85049" w:rsidRDefault="000369FD" w:rsidP="000369FD">
      <w:pPr>
        <w:pStyle w:val="NormalWeb"/>
        <w:jc w:val="both"/>
        <w:rPr>
          <w:u w:val="single"/>
          <w:lang w:val="en-US"/>
        </w:rPr>
      </w:pPr>
    </w:p>
    <w:p w:rsidR="000369FD" w:rsidRDefault="000369FD" w:rsidP="000369FD">
      <w:pPr>
        <w:pStyle w:val="NormalWeb"/>
        <w:jc w:val="both"/>
        <w:rPr>
          <w:lang w:val="en-US"/>
        </w:rPr>
      </w:pPr>
      <w:r w:rsidRPr="000B3C3D">
        <w:rPr>
          <w:lang w:val="en-US"/>
        </w:rPr>
        <w:t>A good model for such a c</w:t>
      </w:r>
      <w:r>
        <w:rPr>
          <w:lang w:val="en-US"/>
        </w:rPr>
        <w:t>ouncil would be the U.S.-</w:t>
      </w:r>
      <w:r w:rsidRPr="000B3C3D">
        <w:rPr>
          <w:lang w:val="en-US"/>
        </w:rPr>
        <w:t>Canada Regulatory Cooperation Council, which works to minimize regulatory barriers to trade in sectors that include agriculture, pharmaceuticals, motor vehicles, and nanotechnology. Among other things, the council is working to remove redundant certification requirements in the two countries and to make it easier for companies to comply with regulations in Canada and the United States.</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But the United States should not agree to a council that has a wider purview or to a council that is authorized to consider new regulatory priorities. Since one aim of the TTIP is to ensure that regulations do not establish barriers to trade, such a council would have to scrutinize all federal regulations, not merely those overtly related to international trade. It would also go well beyond the traditional objective of promoting freer trade by eliminating government restrictions to the new objective of promoting new forms of regulation by governments. In practice, such a council could operate as a transnational rule-making body: While the formal creation and implementation of regulations in the U.S. would be left to executive agencies and to Congress, the council would have substantial input into this process. At the least, it would be a gatekeeper; at worst, it would be a guide and guardian. </w:t>
      </w:r>
    </w:p>
    <w:p w:rsidR="000369FD" w:rsidRPr="000B3C3D" w:rsidRDefault="000369FD" w:rsidP="000369FD">
      <w:pPr>
        <w:pStyle w:val="NormalWeb"/>
        <w:jc w:val="both"/>
        <w:rPr>
          <w:lang w:val="en-US"/>
        </w:rPr>
      </w:pPr>
    </w:p>
    <w:p w:rsidR="000369FD" w:rsidRPr="00D85049" w:rsidRDefault="000369FD" w:rsidP="000369FD">
      <w:pPr>
        <w:pStyle w:val="NormalWeb"/>
        <w:jc w:val="both"/>
        <w:rPr>
          <w:u w:val="single"/>
          <w:lang w:val="en-US"/>
        </w:rPr>
      </w:pPr>
      <w:r w:rsidRPr="00D85049">
        <w:rPr>
          <w:u w:val="single"/>
          <w:lang w:val="en-US"/>
        </w:rPr>
        <w:t xml:space="preserve">Such a council could also give additional power to the executive branch, because representation on the council would be dominated by executive agencies. The council could thus serve as a mechanism for translating executive branch (and EU) preferences into rules that would affect every aspect of U.S. society.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lastRenderedPageBreak/>
        <w:t>Even a weak council would be a powerfully influential body- but the EU does not want a weak council. It has called for a TTIP with “strong institutions” that make “a living agreement that promotes greater compatibility of our regimes and accelerates the development of global approaches”. The United States should not agree to a council that would outsource a substantial portion of U.S. regulatory authority.</w:t>
      </w:r>
    </w:p>
    <w:p w:rsidR="000369FD" w:rsidRPr="00D85049" w:rsidRDefault="000369FD" w:rsidP="000369FD">
      <w:pPr>
        <w:pStyle w:val="NormalWeb"/>
        <w:jc w:val="both"/>
        <w:rPr>
          <w:u w:val="single"/>
          <w:lang w:val="en-US"/>
        </w:rPr>
      </w:pPr>
      <w:r w:rsidRPr="00D85049">
        <w:rPr>
          <w:u w:val="single"/>
          <w:lang w:val="en-US"/>
        </w:rPr>
        <w:t xml:space="preserve"> </w:t>
      </w:r>
    </w:p>
    <w:p w:rsidR="000369FD" w:rsidRPr="00D85049" w:rsidRDefault="000369FD" w:rsidP="000369FD">
      <w:pPr>
        <w:pStyle w:val="NormalWeb"/>
        <w:jc w:val="both"/>
        <w:rPr>
          <w:u w:val="single"/>
          <w:lang w:val="en-US"/>
        </w:rPr>
      </w:pPr>
      <w:r w:rsidRPr="00D85049">
        <w:rPr>
          <w:u w:val="single"/>
          <w:lang w:val="en-US"/>
        </w:rPr>
        <w:t xml:space="preserve">A superior approach would be a TTIP that reduces the level of U.S. regulation, increases the power of individuals vis-à-vis the federal government, promotes effective congressional oversight, advances economic freedom, and preserves American sovereignty. It is likely that an approach based on harmonization would be welcomed by some large firms that are burdened by differing regulations in the U.S. and the EU, but harmonization should not be the goal of U.S. negotiators. Conservatives are already justifiably concerned about the burden that regulation imposes on the U.S. economy, by the extent to which federal regulation has damaged the constitutional principle of federalism, and by the Obama Administration’s reliance on regulation -and executive orders- to achieve its objectives. This is why it is important that negotiations be guided by principles such as mutual recognition and regulation based on sound science, and not by the pursuit of regulatory harmonization through a transnational council.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 xml:space="preserve">While there is value in regulatory convergence between jurisdictions -provided that, and only that, it advances economic freedom instead of diminishing it- top-down harmonization through a big-bang agreement like a TTIP may well not be the most effective approach. From institutions like the U.S.-Canada Regulatory Cooperation Council, to the U.N. Economic Commission for Europe’s World Forum for Harmonization of Vehicle Regulations, to industry-level bodies, there are many venues through which the U.S. and U.S. firms can achieve results by working on an issue-by-issue basis at a technical level. Such venues break away from the tyranny of the all-or-nothing agreement and allow progress without political posturing, which in turn can facilitate wider trade deals. </w:t>
      </w:r>
    </w:p>
    <w:p w:rsidR="000369FD" w:rsidRPr="00D85049" w:rsidRDefault="000369FD" w:rsidP="000369FD">
      <w:pPr>
        <w:pStyle w:val="NormalWeb"/>
        <w:jc w:val="both"/>
        <w:rPr>
          <w:u w:val="single"/>
          <w:lang w:val="en-US"/>
        </w:rPr>
      </w:pPr>
    </w:p>
    <w:p w:rsidR="000369FD" w:rsidRPr="00D85049" w:rsidRDefault="000369FD" w:rsidP="000369FD">
      <w:pPr>
        <w:pStyle w:val="NormalWeb"/>
        <w:jc w:val="both"/>
        <w:rPr>
          <w:u w:val="single"/>
          <w:lang w:val="en-US"/>
        </w:rPr>
      </w:pPr>
      <w:r w:rsidRPr="00D85049">
        <w:rPr>
          <w:u w:val="single"/>
          <w:lang w:val="en-US"/>
        </w:rPr>
        <w:t xml:space="preserve">A fourth and final consideration is whether a TTIP will stand on its own. The EU likes to couple trade agreements with broader “framework” agreements on explicitly political objectives. In the case of the EU-Korea free trade agreement, the framework agreement “provides a basis for strengthened cooperation, including on major political and global issues such as human rights, non-proliferation of weapons of mass destruction, counter-terrorism, as well as climate change and energy security”, and is legally linked to the EU-Korea free trade agreement. The United States should not allow TTIP negotiations to be hijacked by such unrelated topics. </w:t>
      </w:r>
    </w:p>
    <w:p w:rsidR="000369FD" w:rsidRPr="00D85049" w:rsidRDefault="000369FD" w:rsidP="000369FD">
      <w:pPr>
        <w:pStyle w:val="NormalWeb"/>
        <w:jc w:val="both"/>
        <w:rPr>
          <w:u w:val="single"/>
          <w:lang w:val="en-US"/>
        </w:rPr>
      </w:pPr>
    </w:p>
    <w:p w:rsidR="000369FD" w:rsidRPr="000B3C3D" w:rsidRDefault="000369FD" w:rsidP="000369FD">
      <w:pPr>
        <w:pStyle w:val="NormalWeb"/>
        <w:jc w:val="both"/>
        <w:rPr>
          <w:lang w:val="en-US"/>
        </w:rPr>
      </w:pPr>
      <w:r>
        <w:rPr>
          <w:lang w:val="en-US"/>
        </w:rPr>
        <w:t>The actual EU-</w:t>
      </w:r>
      <w:r w:rsidRPr="000B3C3D">
        <w:rPr>
          <w:lang w:val="en-US"/>
        </w:rPr>
        <w:t xml:space="preserve">Korea framework agreement is a 64-page statement of general commitments, many of which have nothing to do with trade and a number of which (such as support for the International Criminal Court and for “a rapid transition to low-carbon societies”) will be profoundly controversial in the United States. The EU, in its promotion of framework agreements, points out that it sees trade agreements through a political lens and seeks to ensure that they will be interpreted and implemented in ways that suit its broader political agenda. While it is possible that the U.S. would be able to negotiate a TTIP that was not accompanied by a framework agreement, it is unlikely that the EU would not view a TTIP through the same lens as it sees its other trade agreements: as a mechanism to promote its political preferences. If so, the United States should resist EU pressures. </w:t>
      </w:r>
    </w:p>
    <w:p w:rsidR="000369FD" w:rsidRPr="00AC5F38" w:rsidRDefault="000369FD" w:rsidP="000369FD">
      <w:pPr>
        <w:pStyle w:val="Ttulo3"/>
        <w:spacing w:line="240" w:lineRule="auto"/>
        <w:jc w:val="both"/>
        <w:rPr>
          <w:rFonts w:ascii="Times New Roman" w:hAnsi="Times New Roman" w:cs="Times New Roman"/>
          <w:color w:val="auto"/>
          <w:sz w:val="24"/>
          <w:szCs w:val="24"/>
          <w:lang w:val="en-US"/>
        </w:rPr>
      </w:pPr>
      <w:r w:rsidRPr="00AC5F38">
        <w:rPr>
          <w:rFonts w:ascii="Times New Roman" w:hAnsi="Times New Roman" w:cs="Times New Roman"/>
          <w:color w:val="auto"/>
          <w:sz w:val="24"/>
          <w:szCs w:val="24"/>
          <w:lang w:val="en-US"/>
        </w:rPr>
        <w:lastRenderedPageBreak/>
        <w:t xml:space="preserve">The Left’s Opposition to Free Trade </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Pr="000B3C3D" w:rsidRDefault="000369FD" w:rsidP="000369FD">
      <w:pPr>
        <w:pStyle w:val="NormalWeb"/>
        <w:jc w:val="both"/>
        <w:rPr>
          <w:lang w:val="en-US"/>
        </w:rPr>
      </w:pPr>
      <w:r w:rsidRPr="000B3C3D">
        <w:rPr>
          <w:lang w:val="en-US"/>
        </w:rPr>
        <w:t xml:space="preserve">As of mid-2014, the TTIP has lost momentum. This is largely because of opposition from the Left. In February, the </w:t>
      </w:r>
      <w:r w:rsidRPr="000B3C3D">
        <w:rPr>
          <w:i/>
          <w:iCs/>
          <w:lang w:val="en-US"/>
        </w:rPr>
        <w:t>Huffington Post</w:t>
      </w:r>
      <w:r w:rsidRPr="000B3C3D">
        <w:rPr>
          <w:lang w:val="en-US"/>
        </w:rPr>
        <w:t xml:space="preserve"> reported that Ambassador Froman encountered a deeply hostile reception at a meeting of labor, environmental, consumer, and progressive groups, with one meeting participant quoted as</w:t>
      </w:r>
      <w:r>
        <w:rPr>
          <w:lang w:val="en-US"/>
        </w:rPr>
        <w:t xml:space="preserve"> saying that “the only support (for trade agreements)</w:t>
      </w:r>
      <w:r w:rsidRPr="000B3C3D">
        <w:rPr>
          <w:lang w:val="en-US"/>
        </w:rPr>
        <w:t xml:space="preserve"> comes from the Chamber of Commerce, multinational corporations, big business. The base of the Democratic Party is in complete o</w:t>
      </w:r>
      <w:r>
        <w:rPr>
          <w:lang w:val="en-US"/>
        </w:rPr>
        <w:t>pposition”.</w:t>
      </w:r>
      <w:r w:rsidRPr="000B3C3D">
        <w:rPr>
          <w:lang w:val="en-US"/>
        </w:rPr>
        <w:t xml:space="preserve"> Another described Ambassador Froman’s appearance as “a charm offensive” but added that “it’s probably not helpful to tell the targets of </w:t>
      </w:r>
      <w:r>
        <w:rPr>
          <w:lang w:val="en-US"/>
        </w:rPr>
        <w:t xml:space="preserve">your seduction a bunch of lies”. </w:t>
      </w:r>
      <w:r w:rsidRPr="000B3C3D">
        <w:rPr>
          <w:lang w:val="en-US"/>
        </w:rPr>
        <w:t>President Obama has also gone quiet on the TTIP: In his May 28, 2014, speech at West Point on the case for continued U.S. international leadership, he made no mention of international trade.</w:t>
      </w:r>
    </w:p>
    <w:p w:rsidR="000369FD" w:rsidRDefault="000369FD" w:rsidP="000369FD">
      <w:pPr>
        <w:pStyle w:val="NormalWeb"/>
        <w:jc w:val="both"/>
        <w:rPr>
          <w:lang w:val="en-US"/>
        </w:rPr>
      </w:pPr>
    </w:p>
    <w:p w:rsidR="000369FD" w:rsidRPr="000B3C3D" w:rsidRDefault="000369FD" w:rsidP="000369FD">
      <w:pPr>
        <w:pStyle w:val="NormalWeb"/>
        <w:jc w:val="both"/>
        <w:rPr>
          <w:lang w:val="en-US"/>
        </w:rPr>
      </w:pPr>
      <w:r>
        <w:rPr>
          <w:lang w:val="en-US"/>
        </w:rPr>
        <w:t>For its part, the AFL-</w:t>
      </w:r>
      <w:r w:rsidRPr="000B3C3D">
        <w:rPr>
          <w:lang w:val="en-US"/>
        </w:rPr>
        <w:t xml:space="preserve">CIO, while offering nominal support for increased trade with the EU, supports a TTIP only if it is “focused on specific efforts to spur the creation and maintenance of </w:t>
      </w:r>
      <w:r w:rsidRPr="000B3C3D">
        <w:rPr>
          <w:i/>
          <w:iCs/>
          <w:lang w:val="en-US"/>
        </w:rPr>
        <w:t>good</w:t>
      </w:r>
      <w:r>
        <w:rPr>
          <w:lang w:val="en-US"/>
        </w:rPr>
        <w:t xml:space="preserve"> jobs”.</w:t>
      </w:r>
      <w:r w:rsidRPr="000B3C3D">
        <w:rPr>
          <w:lang w:val="en-US"/>
        </w:rPr>
        <w:t xml:space="preserve"> While it has a wide range of demands and redlines, it is particularly opposed to the inclusion of an investor–state dispute settlement (ISDS) mechanism. ISDS mechanisms offer a pathway to arbitration for investors to challenge state actions that violate commitments under various trade and investment agreements. </w:t>
      </w:r>
    </w:p>
    <w:p w:rsidR="000369F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 xml:space="preserve">If such agreements are to have any validity, an enforcement mechanism is essential. This is particularly true when the agreement in question is with a nation that does not fully respect the rule of law, but ISDS provisions are also valuable even when they are used in nations such as the U.S. and Canada. Moreover, arbitration by a mutually agreed tribunal that is strictly limited to pronouncing on the merits of the issue at hand in a case that flows directly from accepted agreement obligations is a well-established procedure. </w:t>
      </w:r>
    </w:p>
    <w:p w:rsidR="000369F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In the case of disputes between private investors and nations,</w:t>
      </w:r>
      <w:r>
        <w:rPr>
          <w:lang w:val="en-US"/>
        </w:rPr>
        <w:t xml:space="preserve"> the alternative to arbitration -</w:t>
      </w:r>
      <w:r w:rsidRPr="000B3C3D">
        <w:rPr>
          <w:lang w:val="en-US"/>
        </w:rPr>
        <w:t>after domestic leg</w:t>
      </w:r>
      <w:r>
        <w:rPr>
          <w:lang w:val="en-US"/>
        </w:rPr>
        <w:t xml:space="preserve">al remedies have been exhausted- </w:t>
      </w:r>
      <w:r w:rsidRPr="000B3C3D">
        <w:rPr>
          <w:lang w:val="en-US"/>
        </w:rPr>
        <w:t xml:space="preserve">is to ignore violations of the agreement or for the aggrieved investors to appeal to their home nation directly to protect them, which will either escalate the dispute to a political level or see it ignored for political reasons. ISDS provisions do not and cannot prevent a nation from taking a particular action. They are a way to increase the total volume of international investment (and the jobs that result from it) by assuring investors that nations will not be able to break their freely undertaken commitments not to restrict investment from other nations without paying a price.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Pr>
          <w:lang w:val="en-US"/>
        </w:rPr>
        <w:t>Like the AFL-</w:t>
      </w:r>
      <w:r w:rsidRPr="000B3C3D">
        <w:rPr>
          <w:lang w:val="en-US"/>
        </w:rPr>
        <w:t>CIO, the European Left is also opposed to the inclusion of an ISDS mechanism in a TTIP, claiming to see it as a way for corporations to file legal challenges that will destroy the welfare state. In reality, many claims under existing ISDS mechanisms are filed by Western investors or firms against authoritarian or autocratic left-wing regimes (Argentina, Venezuela, and Ecuador are the three most frequent respondents, together comprising 109 of the 514 known cases) that expropriate foreign property. Both the U.S. and the EU are already subject to ISDS mechanisms; the North American Free Trade Agreement (with 49 cases) and the EU’s Energy Charter Treaty (29 cases) are the most commonly used instruments for ISDS claims.</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In short, and not surprisingly, the trade unions want a regulation-heavy deal that protects today’s union workers at the expense of everyone else today and tomorrow, but they are </w:t>
      </w:r>
      <w:r w:rsidRPr="000B3C3D">
        <w:rPr>
          <w:lang w:val="en-US"/>
        </w:rPr>
        <w:lastRenderedPageBreak/>
        <w:t>oppos</w:t>
      </w:r>
      <w:r>
        <w:rPr>
          <w:lang w:val="en-US"/>
        </w:rPr>
        <w:t xml:space="preserve">ed to protections for investors- </w:t>
      </w:r>
      <w:r w:rsidRPr="000B3C3D">
        <w:rPr>
          <w:lang w:val="en-US"/>
        </w:rPr>
        <w:t xml:space="preserve">the very type of protection spelled out in the Fifth Amendment to the U.S. Constitution: “No person shall be...deprived of...property, without due process of law; nor shall private property be taken for public use </w:t>
      </w:r>
      <w:r>
        <w:rPr>
          <w:lang w:val="en-US"/>
        </w:rPr>
        <w:t>without just compensation”.</w:t>
      </w:r>
      <w:r w:rsidRPr="000B3C3D">
        <w:rPr>
          <w:lang w:val="en-US"/>
        </w:rPr>
        <w:t xml:space="preserve"> While any ISDS must be carefully designed and limited to ensure that it does not offer a way to impose new obligation on a nation in a manner that would infringe on its sovereignty, an ISDS can be an effective mechanism for ensuring that a trade agreement works as its negotiators and Congress intended it to work. </w:t>
      </w:r>
    </w:p>
    <w:p w:rsidR="000369FD" w:rsidRPr="000B3C3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 xml:space="preserve">The irony of the Left’s dislike of the TTIP is that it presupposes that the result of a deal between the U.S. (a highly regulated economy) and the EU (an even more regulated economy) will be fewer regulations. It is possible that a TTIP will, in fact, promote increased regulation. As EU Trade Commissioner Karel De Gucht has put it, </w:t>
      </w:r>
      <w:r>
        <w:rPr>
          <w:lang w:val="en-US"/>
        </w:rPr>
        <w:t>“the bulk of what we should do (in a TTIP is)</w:t>
      </w:r>
      <w:r w:rsidRPr="000B3C3D">
        <w:rPr>
          <w:lang w:val="en-US"/>
        </w:rPr>
        <w:t xml:space="preserve"> regulatory work: harmonizing of</w:t>
      </w:r>
      <w:r w:rsidR="008742C5">
        <w:rPr>
          <w:lang w:val="en-US"/>
        </w:rPr>
        <w:t xml:space="preserve"> standards and norms”.</w:t>
      </w:r>
    </w:p>
    <w:p w:rsidR="000369F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 xml:space="preserve">The Left’s concerns offer a final reason for conservatives to promote market-oriented reforms in a TTIP: The more the Left presses, the more likely it is that a TTIP, if it is negotiated, could be a force for the privileged status quo and not the kind of agreement that would promote economic freedom, job growth, and economic growth. </w:t>
      </w:r>
    </w:p>
    <w:p w:rsidR="000369FD" w:rsidRPr="00AC5F38" w:rsidRDefault="000369FD" w:rsidP="000369FD">
      <w:pPr>
        <w:pStyle w:val="Ttulo3"/>
        <w:spacing w:line="240" w:lineRule="auto"/>
        <w:jc w:val="both"/>
        <w:rPr>
          <w:rFonts w:ascii="Times New Roman" w:hAnsi="Times New Roman" w:cs="Times New Roman"/>
          <w:color w:val="auto"/>
          <w:sz w:val="24"/>
          <w:szCs w:val="24"/>
          <w:lang w:val="en-US"/>
        </w:rPr>
      </w:pPr>
      <w:r w:rsidRPr="00AC5F38">
        <w:rPr>
          <w:rFonts w:ascii="Times New Roman" w:hAnsi="Times New Roman" w:cs="Times New Roman"/>
          <w:color w:val="auto"/>
          <w:sz w:val="24"/>
          <w:szCs w:val="24"/>
          <w:lang w:val="en-US"/>
        </w:rPr>
        <w:t xml:space="preserve">The Problem of Negotiations </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Default="000369FD" w:rsidP="000369FD">
      <w:pPr>
        <w:pStyle w:val="NormalWeb"/>
        <w:jc w:val="both"/>
        <w:rPr>
          <w:lang w:val="en-US"/>
        </w:rPr>
      </w:pPr>
      <w:r w:rsidRPr="000B3C3D">
        <w:rPr>
          <w:lang w:val="en-US"/>
        </w:rPr>
        <w:t>Both the EU and the U.S. have published their negotiating objectives for a TTIP, though the U.S. statement is considerably more detailed. On the other hand, the EU’s statement, through an accompanying set of questions and answers, offers a clearer sense of the EU’s redlines.</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From the U.S. point of view, these are not encouraging. The EU defends its “rules to protect Europe’s cultural diversity” from “a flood of American films” and asserts that a TTIP will not “be about compromising the health of our consumers” by feeding them “meat from Amer</w:t>
      </w:r>
      <w:r>
        <w:rPr>
          <w:lang w:val="en-US"/>
        </w:rPr>
        <w:t>ican animals fed with hormones”.</w:t>
      </w:r>
      <w:r w:rsidRPr="000B3C3D">
        <w:rPr>
          <w:lang w:val="en-US"/>
        </w:rPr>
        <w:t xml:space="preserve"> The U.S., while emphasizing what it wants to achieve, is far less clear about what it will not accept. This leaves the U.S. with more flexibility, but it also fosters the impression that the U.S. is likely to run up against a stone wall of EU rejections on points that are important to it without having firm convictions of its own to defend.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For now, that is not an urgent problem, for it has become obvious that the</w:t>
      </w:r>
      <w:r>
        <w:rPr>
          <w:lang w:val="en-US"/>
        </w:rPr>
        <w:t xml:space="preserve"> initial timetable for the TTIP -late 2014- </w:t>
      </w:r>
      <w:r w:rsidRPr="000B3C3D">
        <w:rPr>
          <w:lang w:val="en-US"/>
        </w:rPr>
        <w:t xml:space="preserve">was unrealistic.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One of the</w:t>
      </w:r>
      <w:r>
        <w:rPr>
          <w:lang w:val="en-US"/>
        </w:rPr>
        <w:t xml:space="preserve"> spurs for the launch of a TTIP -</w:t>
      </w:r>
      <w:r w:rsidRPr="000B3C3D">
        <w:rPr>
          <w:lang w:val="en-US"/>
        </w:rPr>
        <w:t>and a Trans-Pacific Partnership (TPP), a trade negotiation that began in 2005 and is now being conducted between the U.</w:t>
      </w:r>
      <w:r>
        <w:rPr>
          <w:lang w:val="en-US"/>
        </w:rPr>
        <w:t xml:space="preserve">S. and 11 other Pacific nations- </w:t>
      </w:r>
      <w:r w:rsidRPr="000B3C3D">
        <w:rPr>
          <w:lang w:val="en-US"/>
        </w:rPr>
        <w:t xml:space="preserve">is that the broader, multilateral “Doha Round” of trade negotiations through the World Trade Organization has been ongoing since 2001, so far without result. The effect of this has been to encourage the emergence of regional and bilateral free trade negotiations and agreements like the TTIP and TPP.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The difficulties that have stymied Doha are complex, but among them are the ambitions with which it was launched after 9/11, when “it was billed by many as a transformative e</w:t>
      </w:r>
      <w:r>
        <w:rPr>
          <w:lang w:val="en-US"/>
        </w:rPr>
        <w:t xml:space="preserve">xercise for the global economy”. </w:t>
      </w:r>
      <w:r w:rsidRPr="000B3C3D">
        <w:rPr>
          <w:lang w:val="en-US"/>
        </w:rPr>
        <w:t xml:space="preserve">While that was a worthy goal, negotiating a transformative agreement turned out to be complicated, and WTO officials, according to the </w:t>
      </w:r>
      <w:r w:rsidRPr="000B3C3D">
        <w:rPr>
          <w:i/>
          <w:iCs/>
          <w:lang w:val="en-US"/>
        </w:rPr>
        <w:t>Financial Times</w:t>
      </w:r>
      <w:r w:rsidRPr="000B3C3D">
        <w:rPr>
          <w:lang w:val="en-US"/>
        </w:rPr>
        <w:t>, now “speak longingly of a future of smaller, sectorial ag</w:t>
      </w:r>
      <w:r>
        <w:rPr>
          <w:lang w:val="en-US"/>
        </w:rPr>
        <w:t>reements and a more nimble WTO”.</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A TTIP risks repeating the WTO’s struggles. The 2013 discussion frame</w:t>
      </w:r>
      <w:r>
        <w:rPr>
          <w:lang w:val="en-US"/>
        </w:rPr>
        <w:t>d the TTIP as a “comprehensive”,</w:t>
      </w:r>
      <w:r w:rsidRPr="000B3C3D">
        <w:rPr>
          <w:lang w:val="en-US"/>
        </w:rPr>
        <w:t xml:space="preserve"> “ambitious” undertaking that would “move forward fast” and “make rapid progress.” The only thing that has happened rapidly, however, is that the air has gone out of the balloon. Largely because of opposition from the Left, the </w:t>
      </w:r>
      <w:r>
        <w:rPr>
          <w:lang w:val="en-US"/>
        </w:rPr>
        <w:t xml:space="preserve">Obama Administration’s interest -which was never robust- </w:t>
      </w:r>
      <w:r w:rsidRPr="000B3C3D">
        <w:rPr>
          <w:lang w:val="en-US"/>
        </w:rPr>
        <w:t>in promoting the free-trade agenda has waned considerably. The slackening of the Administration’s enthusiasm for the TTIP and the precedent of the Doha Round only emphasize the difficulties inherent in negotiating a comprehensive trade agreement.</w:t>
      </w:r>
    </w:p>
    <w:p w:rsidR="000369FD" w:rsidRPr="000B3C3D" w:rsidRDefault="000369FD" w:rsidP="000369FD">
      <w:pPr>
        <w:pStyle w:val="NormalWeb"/>
        <w:jc w:val="both"/>
        <w:rPr>
          <w:lang w:val="en-US"/>
        </w:rPr>
      </w:pPr>
      <w:r w:rsidRPr="000B3C3D">
        <w:rPr>
          <w:lang w:val="en-US"/>
        </w:rPr>
        <w:t xml:space="preserve"> </w:t>
      </w:r>
    </w:p>
    <w:p w:rsidR="000369FD" w:rsidRDefault="000369FD" w:rsidP="000369FD">
      <w:pPr>
        <w:pStyle w:val="NormalWeb"/>
        <w:jc w:val="both"/>
        <w:rPr>
          <w:lang w:val="en-US"/>
        </w:rPr>
      </w:pPr>
      <w:r w:rsidRPr="000B3C3D">
        <w:rPr>
          <w:lang w:val="en-US"/>
        </w:rPr>
        <w:t>Moreover, the Doha Round is not the only piece of rele</w:t>
      </w:r>
      <w:r>
        <w:rPr>
          <w:lang w:val="en-US"/>
        </w:rPr>
        <w:t>vant U.S.-</w:t>
      </w:r>
      <w:r w:rsidRPr="000B3C3D">
        <w:rPr>
          <w:lang w:val="en-US"/>
        </w:rPr>
        <w:t xml:space="preserve">EU trade history. The U.S. and the EU have made a modest effort to conclude mutual-recognition agreements (MRAs), which are legal instruments that provide the mutual recognition between trading partners of test results and legal certification. They are recognitions of regulatory equivalence and do not imply regulatory convergence.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In theory, MRAs are a promising means to reduce costs associated with the existence of differing but comparable regulatory standards in the U.S. and the EU (and other trading partners). In practice, they have been disappointing. The U.S. and the EU have six MRAs; two are not in operation, one is in operation in name only, and one is in operation but has produced no results. The only two MRAs that have achieved anything are the December 2000 agreements on telecommunications equipment and electromagnetic compatibility, and the latter now exists only to facilitate EU access to the U.S. market. The EU does not expect any new MRAs to come into existence.</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The example of the MRAs points out just how difficult it is to lower non-tariff barriers even by the seemingly simple approach of mutual recognition. Modern regulatory systems are so complex, and there are so many sectors and so many interests at play, that mutual recognition can take an exhaustively long time to achieve. But the troubled history of the MRAs also points out that the TTIP’s emphasis on mutual recognition and equivalence in the short run and harmonization in the long run will be even harder to fulfill in practice. The U.S. and the EU have not been able to bring even a supposedly simple MRA on recreational boats into actual operation, even though it has been in effect in theory since June 2000. This evidence suggests that while U.S. negotiators should aim to promote mutual recognition in a TTIP, such an approach will be challenging to negotiate and even more challenging to implement.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A second and even more difficult problem stems from the U.S. procedure for negotiating trade agreements. In theory, it would be possible for the executive branch to negotiate a trade agreement with one or more foreign nations and to submit this agreement to the Senate for its advice and consent in the normal way. In practice, however, foreign nations are reluctant to negotiate trade concessions that benefit the U.S. in exchange for U.S. concessions that the Senate might later decide to withhold.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Thus, in the 1974 Trade Act, Congress created the “fast track” procedure, which became known as trade-promotion authority in 2002. Under this procedure, Congress enacts TPA legislation to give its guidance on trade priorities and negotiating objectives; to establish requirements for notification and consultation with Congress, the private sector, and other stakeholders; and to define the terms under which the U.S. should enter into an agreement. </w:t>
      </w:r>
      <w:r w:rsidRPr="000B3C3D">
        <w:rPr>
          <w:lang w:val="en-US"/>
        </w:rPr>
        <w:lastRenderedPageBreak/>
        <w:t xml:space="preserve">When an agreement is reached, Congress has 90 days to give it an up or down vote. It cannot change the agreement as negotiated by the executive branch.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The last TPA expired in July 2007, and Congress has not granted it for a TTIP (or the TPP). In February 2012, then-U.S. Trade Representative Ron Kirk told the House Ways and Means Commit</w:t>
      </w:r>
      <w:r>
        <w:rPr>
          <w:lang w:val="en-US"/>
        </w:rPr>
        <w:t xml:space="preserve">tee that “we’ve got to have it”-referring to TPA- </w:t>
      </w:r>
      <w:r w:rsidRPr="000B3C3D">
        <w:rPr>
          <w:lang w:val="en-US"/>
        </w:rPr>
        <w:t>in order, as he told reporters later, “to address both TPP and then any</w:t>
      </w:r>
      <w:r>
        <w:rPr>
          <w:lang w:val="en-US"/>
        </w:rPr>
        <w:t xml:space="preserve"> other ambitions we might have”.</w:t>
      </w:r>
      <w:r w:rsidRPr="000B3C3D">
        <w:rPr>
          <w:lang w:val="en-US"/>
        </w:rPr>
        <w:t xml:space="preserve"> On January 9, 2014, then-Senate Finance C</w:t>
      </w:r>
      <w:r>
        <w:rPr>
          <w:lang w:val="en-US"/>
        </w:rPr>
        <w:t>ommittee Chairman Max Baucus (D-</w:t>
      </w:r>
      <w:r w:rsidRPr="000B3C3D">
        <w:rPr>
          <w:lang w:val="en-US"/>
        </w:rPr>
        <w:t xml:space="preserve">MT) and House Ways and Means </w:t>
      </w:r>
      <w:r>
        <w:rPr>
          <w:lang w:val="en-US"/>
        </w:rPr>
        <w:t>Committee Chairman Dave Camp (R-</w:t>
      </w:r>
      <w:r w:rsidRPr="000B3C3D">
        <w:rPr>
          <w:lang w:val="en-US"/>
        </w:rPr>
        <w:t>MI) introduced the Bipartisan Congressional Trade Priorities Act of 2014, but the Administration’s request for TPA authority was rapidly rejected by Senat</w:t>
      </w:r>
      <w:r>
        <w:rPr>
          <w:lang w:val="en-US"/>
        </w:rPr>
        <w:t>e Majority Leader Harry Reid (D-</w:t>
      </w:r>
      <w:r w:rsidRPr="000B3C3D">
        <w:rPr>
          <w:lang w:val="en-US"/>
        </w:rPr>
        <w:t>NV), and incoming Senat</w:t>
      </w:r>
      <w:r>
        <w:rPr>
          <w:lang w:val="en-US"/>
        </w:rPr>
        <w:t>e Finance Chairman Ron Wyden (D-</w:t>
      </w:r>
      <w:r w:rsidRPr="000B3C3D">
        <w:rPr>
          <w:lang w:val="en-US"/>
        </w:rPr>
        <w:t xml:space="preserve">OR) declined to take up the bipartisan Baucus–Camp bill.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Senate Finance Committee member Sherrod Bro</w:t>
      </w:r>
      <w:r>
        <w:rPr>
          <w:lang w:val="en-US"/>
        </w:rPr>
        <w:t>wn (D-</w:t>
      </w:r>
      <w:r w:rsidRPr="000B3C3D">
        <w:rPr>
          <w:lang w:val="en-US"/>
        </w:rPr>
        <w:t>OH) voiced the criticism that the bill was too similar to the TPA authority granted in 2002 and stated that a new TPA bill would have to be “fundamentally different” to win approval in the Senate. In a statement in Ja</w:t>
      </w:r>
      <w:r>
        <w:rPr>
          <w:lang w:val="en-US"/>
        </w:rPr>
        <w:t>nuary, five Democratic Senators -</w:t>
      </w:r>
      <w:r w:rsidRPr="000B3C3D">
        <w:rPr>
          <w:lang w:val="en-US"/>
        </w:rPr>
        <w:t>i</w:t>
      </w:r>
      <w:r>
        <w:rPr>
          <w:lang w:val="en-US"/>
        </w:rPr>
        <w:t xml:space="preserve">ncluding Brown- </w:t>
      </w:r>
      <w:r w:rsidRPr="000B3C3D">
        <w:rPr>
          <w:lang w:val="en-US"/>
        </w:rPr>
        <w:t>explained that by this they meant that the TPA should give the U.S. Trade Representative “greater authority to negotiate basic standards on go</w:t>
      </w:r>
      <w:r>
        <w:rPr>
          <w:lang w:val="en-US"/>
        </w:rPr>
        <w:t>od governance and human right”.</w:t>
      </w:r>
      <w:r w:rsidRPr="000B3C3D">
        <w:rPr>
          <w:lang w:val="en-US"/>
        </w:rPr>
        <w:t xml:space="preserve"> This is code language for a TPA that, by claiming to be standing up for American values, incorporates union-friendly, protectionist opt-outs that keep foreign goods out of the U.S. market, thereby sheltering vested interests and preventing the TTIP (or the TPP) from advancing economic freedom and promoting jobs and growth.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Many believe that, as a practical matter, it is unlikely that the TTIP (or the TPP) can be concluded successfully without a grant of TPA authority. So far, the Administration, while nominally in favor of both, has not exerted any effort to obtain TPA.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It is not reasonable to expect others to support its trade agenda if the Administration is not willing to expend any of its own capital to advance it. If and when the Administration does decide to push for TPA, it will have to be more specific about its own redlines than its current general statement of TTIP negotiating objectives. Moreover, since the U.S. is already negotiating a TPP with the EU and 11 other partners, the Administration has put the U.S. in the awkward position of making proposals without full negotiating authority. </w:t>
      </w:r>
    </w:p>
    <w:p w:rsidR="000369FD" w:rsidRPr="000B3C3D" w:rsidRDefault="000369FD" w:rsidP="000369FD">
      <w:pPr>
        <w:pStyle w:val="NormalWeb"/>
        <w:jc w:val="both"/>
        <w:rPr>
          <w:lang w:val="en-US"/>
        </w:rPr>
      </w:pPr>
    </w:p>
    <w:p w:rsidR="000369FD" w:rsidRDefault="000369FD" w:rsidP="000369FD">
      <w:pPr>
        <w:pStyle w:val="NormalWeb"/>
        <w:jc w:val="both"/>
        <w:rPr>
          <w:lang w:val="en-US"/>
        </w:rPr>
      </w:pPr>
      <w:r w:rsidRPr="000B3C3D">
        <w:rPr>
          <w:lang w:val="en-US"/>
        </w:rPr>
        <w:t xml:space="preserve">Finally, while the kind of TPA demanded by Senator Brown would not be in the U.S.’s interests, it would be a mistake to focus only on the contents of the TPA. An Administration push to obtain TPA would likely result in concessions to progressive groups on other fronts, and from a conservative perspective, the better the TPA, the more damaging to U.S. economic freedom those concessions are likely to be. </w:t>
      </w:r>
    </w:p>
    <w:p w:rsidR="000369FD" w:rsidRPr="000B3C3D" w:rsidRDefault="000369FD" w:rsidP="000369FD">
      <w:pPr>
        <w:pStyle w:val="NormalWeb"/>
        <w:jc w:val="both"/>
        <w:rPr>
          <w:lang w:val="en-US"/>
        </w:rPr>
      </w:pPr>
    </w:p>
    <w:p w:rsidR="000369FD" w:rsidRPr="000B3C3D" w:rsidRDefault="000369FD" w:rsidP="000369FD">
      <w:pPr>
        <w:pStyle w:val="NormalWeb"/>
        <w:jc w:val="both"/>
        <w:rPr>
          <w:lang w:val="en-US"/>
        </w:rPr>
      </w:pPr>
      <w:r w:rsidRPr="000B3C3D">
        <w:rPr>
          <w:lang w:val="en-US"/>
        </w:rPr>
        <w:t xml:space="preserve">In short, the timing, course, and authority of the TTIP negotiations are confused, and the approach of the 2014 elections makes it unlikely that TPA authority will be granted this year. That by itself makes it unlikely that a TTIP will be concluded close to the original time frame. In retrospect, the Administration has made three serious errors in pursuing TTIP: </w:t>
      </w:r>
    </w:p>
    <w:p w:rsidR="000369FD" w:rsidRPr="000B3C3D" w:rsidRDefault="000369FD" w:rsidP="000369FD">
      <w:pPr>
        <w:numPr>
          <w:ilvl w:val="0"/>
          <w:numId w:val="14"/>
        </w:numPr>
        <w:spacing w:before="100" w:beforeAutospacing="1" w:after="100" w:afterAutospacing="1" w:line="240" w:lineRule="auto"/>
        <w:jc w:val="both"/>
        <w:rPr>
          <w:rFonts w:ascii="Times New Roman" w:hAnsi="Times New Roman" w:cs="Times New Roman"/>
          <w:sz w:val="24"/>
          <w:szCs w:val="24"/>
          <w:lang w:val="en-US"/>
        </w:rPr>
      </w:pPr>
      <w:r w:rsidRPr="000B3C3D">
        <w:rPr>
          <w:rFonts w:ascii="Times New Roman" w:hAnsi="Times New Roman" w:cs="Times New Roman"/>
          <w:sz w:val="24"/>
          <w:szCs w:val="24"/>
          <w:lang w:val="en-US"/>
        </w:rPr>
        <w:t xml:space="preserve">It opened negotiations abroad before it secured a domestic bipartisan base of support; </w:t>
      </w:r>
    </w:p>
    <w:p w:rsidR="000369FD" w:rsidRPr="000B3C3D" w:rsidRDefault="000369FD" w:rsidP="000369FD">
      <w:pPr>
        <w:numPr>
          <w:ilvl w:val="0"/>
          <w:numId w:val="14"/>
        </w:numPr>
        <w:spacing w:before="100" w:beforeAutospacing="1" w:after="100" w:afterAutospacing="1" w:line="240" w:lineRule="auto"/>
        <w:jc w:val="both"/>
        <w:rPr>
          <w:rFonts w:ascii="Times New Roman" w:hAnsi="Times New Roman" w:cs="Times New Roman"/>
          <w:sz w:val="24"/>
          <w:szCs w:val="24"/>
          <w:lang w:val="en-US"/>
        </w:rPr>
      </w:pPr>
      <w:r w:rsidRPr="000B3C3D">
        <w:rPr>
          <w:rFonts w:ascii="Times New Roman" w:hAnsi="Times New Roman" w:cs="Times New Roman"/>
          <w:sz w:val="24"/>
          <w:szCs w:val="24"/>
          <w:lang w:val="en-US"/>
        </w:rPr>
        <w:lastRenderedPageBreak/>
        <w:t xml:space="preserve">It pushed for a rapid and comprehensive agreement without recognizing that no comprehensive agreement was likely to be rapid; and </w:t>
      </w:r>
    </w:p>
    <w:p w:rsidR="000369FD" w:rsidRPr="000B3C3D" w:rsidRDefault="000369FD" w:rsidP="000369FD">
      <w:pPr>
        <w:numPr>
          <w:ilvl w:val="0"/>
          <w:numId w:val="14"/>
        </w:numPr>
        <w:spacing w:before="100" w:beforeAutospacing="1" w:after="100" w:afterAutospacing="1" w:line="240" w:lineRule="auto"/>
        <w:jc w:val="both"/>
        <w:rPr>
          <w:rFonts w:ascii="Times New Roman" w:hAnsi="Times New Roman" w:cs="Times New Roman"/>
          <w:sz w:val="24"/>
          <w:szCs w:val="24"/>
          <w:lang w:val="en-US"/>
        </w:rPr>
      </w:pPr>
      <w:r w:rsidRPr="000B3C3D">
        <w:rPr>
          <w:rFonts w:ascii="Times New Roman" w:hAnsi="Times New Roman" w:cs="Times New Roman"/>
          <w:sz w:val="24"/>
          <w:szCs w:val="24"/>
          <w:lang w:val="en-US"/>
        </w:rPr>
        <w:t xml:space="preserve">Having launched its trade initiative with a wave of publicity in 2013, it has proved unwilling to challenge the progressive lobby that provides its core domestic support but which also bitterly opposes free trade. </w:t>
      </w:r>
    </w:p>
    <w:p w:rsidR="000369FD" w:rsidRPr="000B3C3D" w:rsidRDefault="000369FD" w:rsidP="000369FD">
      <w:pPr>
        <w:pStyle w:val="NormalWeb"/>
        <w:jc w:val="both"/>
        <w:rPr>
          <w:lang w:val="en-US"/>
        </w:rPr>
      </w:pPr>
      <w:r w:rsidRPr="000B3C3D">
        <w:rPr>
          <w:lang w:val="en-US"/>
        </w:rPr>
        <w:t xml:space="preserve">Even one of these errors would be serious; collectively, they have made and will continue to make the course of the TTIP negotiations extremely difficult. </w:t>
      </w:r>
    </w:p>
    <w:p w:rsidR="000369FD" w:rsidRPr="00AC5F38" w:rsidRDefault="000369FD" w:rsidP="000369FD">
      <w:pPr>
        <w:pStyle w:val="Ttulo3"/>
        <w:spacing w:line="240" w:lineRule="auto"/>
        <w:jc w:val="both"/>
        <w:rPr>
          <w:rFonts w:ascii="Times New Roman" w:hAnsi="Times New Roman" w:cs="Times New Roman"/>
          <w:color w:val="auto"/>
          <w:sz w:val="24"/>
          <w:szCs w:val="24"/>
          <w:lang w:val="en-US"/>
        </w:rPr>
      </w:pPr>
      <w:r w:rsidRPr="00AC5F38">
        <w:rPr>
          <w:rFonts w:ascii="Times New Roman" w:hAnsi="Times New Roman" w:cs="Times New Roman"/>
          <w:color w:val="auto"/>
          <w:sz w:val="24"/>
          <w:szCs w:val="24"/>
          <w:lang w:val="en-US"/>
        </w:rPr>
        <w:t xml:space="preserve">What the U.S. Should Do </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Pr="004C5C0E" w:rsidRDefault="000369FD" w:rsidP="000369FD">
      <w:pPr>
        <w:pStyle w:val="NormalWeb"/>
        <w:jc w:val="both"/>
        <w:rPr>
          <w:color w:val="FF0000"/>
          <w:u w:val="single"/>
          <w:lang w:val="en-US"/>
        </w:rPr>
      </w:pPr>
      <w:r w:rsidRPr="004C5C0E">
        <w:rPr>
          <w:color w:val="FF0000"/>
          <w:u w:val="single"/>
          <w:lang w:val="en-US"/>
        </w:rPr>
        <w:t xml:space="preserve">If the U.S. continues to pursue the TTIP in any form, the executive branch will very likely have to secure a new grant of trade promotion authority from Congress at some point. As it considers a request for this authority for the purposes of negotiating the TTIP, Congress should: </w:t>
      </w:r>
    </w:p>
    <w:p w:rsidR="000369FD" w:rsidRPr="004C5C0E" w:rsidRDefault="000369FD" w:rsidP="000369FD">
      <w:pPr>
        <w:numPr>
          <w:ilvl w:val="0"/>
          <w:numId w:val="15"/>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Assess the Administration’s commitment to free trade and economic freedom.</w:t>
      </w:r>
      <w:r w:rsidRPr="004C5C0E">
        <w:rPr>
          <w:rFonts w:ascii="Times New Roman" w:hAnsi="Times New Roman" w:cs="Times New Roman"/>
          <w:color w:val="FF0000"/>
          <w:sz w:val="24"/>
          <w:szCs w:val="24"/>
          <w:u w:val="single"/>
          <w:lang w:val="en-US"/>
        </w:rPr>
        <w:t xml:space="preserve"> The purpose of TPA is to allow the executive branch to conduct and conclude trade negotiations that will increase the volume of trade by reducing both foreign and U.S. restrictions on it. It is neither sensible nor possible to advocate the granting of TPA absent a clear and sustained commitment by the executive branch to use it for its intended purpose. </w:t>
      </w:r>
    </w:p>
    <w:p w:rsidR="000369FD" w:rsidRPr="004C5C0E" w:rsidRDefault="000369FD" w:rsidP="000369FD">
      <w:pPr>
        <w:numPr>
          <w:ilvl w:val="0"/>
          <w:numId w:val="15"/>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Ensure that new TPA does not reverse economic freedom.</w:t>
      </w:r>
      <w:r w:rsidRPr="004C5C0E">
        <w:rPr>
          <w:rFonts w:ascii="Times New Roman" w:hAnsi="Times New Roman" w:cs="Times New Roman"/>
          <w:color w:val="FF0000"/>
          <w:sz w:val="24"/>
          <w:szCs w:val="24"/>
          <w:u w:val="single"/>
          <w:lang w:val="en-US"/>
        </w:rPr>
        <w:t xml:space="preserve"> At a minimum, any new TPA should impose no more protectionist restrictions on trade agreements negotiated under it than were imposed in the TPA passed by Congress in 2002. Preferably, new TPA would contain explicit negotiating objectives that are designed to promote economic freedom more effectively than the 2002 TPA did. </w:t>
      </w:r>
    </w:p>
    <w:p w:rsidR="000369FD" w:rsidRPr="004C5C0E" w:rsidRDefault="000369FD" w:rsidP="000369FD">
      <w:pPr>
        <w:pStyle w:val="NormalWeb"/>
        <w:jc w:val="both"/>
        <w:rPr>
          <w:color w:val="FF0000"/>
          <w:u w:val="single"/>
        </w:rPr>
      </w:pPr>
      <w:r w:rsidRPr="004C5C0E">
        <w:rPr>
          <w:color w:val="FF0000"/>
          <w:u w:val="single"/>
          <w:lang w:val="en-US"/>
        </w:rPr>
        <w:t xml:space="preserve">If Congress decides in principle to grant new TPA for the purposes of negotiating the TTIP, it should ensure that TPA contains clear redlines that will guarantee that the TTIP is a high-quality agreement that advances economic freedom and respects U.S. sovereignty. </w:t>
      </w:r>
      <w:r w:rsidRPr="004C5C0E">
        <w:rPr>
          <w:color w:val="FF0000"/>
          <w:u w:val="single"/>
        </w:rPr>
        <w:t xml:space="preserve">The TPA redlines should be as follows: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aim to completely eliminate all foreign quotas, tariffs, and other duties and charges, in exchange for the complete elimination of U.S. quotas and tariffs.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be based on mutual recognition, not harmonization, of regulations.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contain strong provisions on the protection of intellectual property; the promotion of transparency, anti-corruption efforts, and competition; the establishment of efficient customs operations; and the removal of support for state-owned enterprises.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eliminate artificial barriers to the establishment and operation of U.S. investment abroad and contain ISDS provisions that are based on the precedence of domestic courts and are limited to the arbitration of disputes based on accepted commitments.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No trade agreement should contain, be accompanied by, or otherwise be paired with any express or implied political framework agreement.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Because Article 50 of the Lisbon Treaty, the framework for the EU, contains a provision allowing member nations to withdraw from the union, any agreement </w:t>
      </w:r>
      <w:r w:rsidRPr="004C5C0E">
        <w:rPr>
          <w:rFonts w:ascii="Times New Roman" w:hAnsi="Times New Roman" w:cs="Times New Roman"/>
          <w:color w:val="FF0000"/>
          <w:sz w:val="24"/>
          <w:szCs w:val="24"/>
          <w:u w:val="single"/>
          <w:lang w:val="en-US"/>
        </w:rPr>
        <w:lastRenderedPageBreak/>
        <w:t xml:space="preserve">with the EU should protect U.S. interests by stating that the agreement will continue to apply fully to any nation that exercises its rights under Article 50.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promote rapid and open dispute settlement.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No agreement should allow the EU to hide behind claims that food safety requirements justify discrimination against any U.S. agricultural exports.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No agreement should require the U.S. to recognize EU claims to “geographical indicators,” which seek to defend EU producers of agricultural items (such as “cheddar” or “feta” cheese) from competitors.</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Any agreement should specify that governments are not allowed to restrict the freedom of their citizens to choose which movies to watch, which music to purchase, or to impose any other restrictions on freedom for so-called cultural reasons. </w:t>
      </w:r>
    </w:p>
    <w:p w:rsidR="000369FD" w:rsidRPr="004C5C0E" w:rsidRDefault="000369FD" w:rsidP="000369FD">
      <w:pPr>
        <w:numPr>
          <w:ilvl w:val="0"/>
          <w:numId w:val="16"/>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Pro-consumer principles should be adopted for agricultural trade. No consumer in any participating country should be required to purchase genetically modified foods or meat and dairy products from animals that were treated with hormones or antibiotics. Similarly, consumers should not be deprived of the freedom to purchase such products unless there is a sound scientific reason to restrict such imports. </w:t>
      </w:r>
    </w:p>
    <w:p w:rsidR="000369FD" w:rsidRPr="004C5C0E" w:rsidRDefault="000369FD" w:rsidP="000369FD">
      <w:pPr>
        <w:pStyle w:val="NormalWeb"/>
        <w:jc w:val="both"/>
        <w:rPr>
          <w:color w:val="FF0000"/>
          <w:u w:val="single"/>
          <w:lang w:val="en-US"/>
        </w:rPr>
      </w:pPr>
      <w:r w:rsidRPr="004C5C0E">
        <w:rPr>
          <w:color w:val="FF0000"/>
          <w:u w:val="single"/>
          <w:lang w:val="en-US"/>
        </w:rPr>
        <w:t>A limited TTIP agreement that does not touch on all areas of trade, and so does not require the U.S. to incorporate all of the above redlines into the final agreement could certainly be beneficial. The example of both the Doha Round and the existing U.S.-EU MRAs suggests that the goal of negotiating a comprehensive TTIP is very challenging. At a minimum, it is likely to take</w:t>
      </w:r>
      <w:r w:rsidRPr="004C5C0E">
        <w:rPr>
          <w:b/>
          <w:bCs/>
          <w:color w:val="FF0000"/>
          <w:u w:val="single"/>
          <w:lang w:val="en-US"/>
        </w:rPr>
        <w:t xml:space="preserve"> </w:t>
      </w:r>
      <w:r w:rsidRPr="004C5C0E">
        <w:rPr>
          <w:color w:val="FF0000"/>
          <w:u w:val="single"/>
          <w:lang w:val="en-US"/>
        </w:rPr>
        <w:t xml:space="preserve">years. </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rPr>
      </w:pPr>
      <w:r w:rsidRPr="004C5C0E">
        <w:rPr>
          <w:color w:val="FF0000"/>
          <w:u w:val="single"/>
          <w:lang w:val="en-US"/>
        </w:rPr>
        <w:t xml:space="preserve">But the perfect agreement should not be allowed to be the enemy of a good agreement, and negotiators should be willing to consider a limited agreement that would produce real gains and a sense of achievement, even if it does not achieve everything that could be asked of it. </w:t>
      </w:r>
      <w:r w:rsidRPr="004C5C0E">
        <w:rPr>
          <w:color w:val="FF0000"/>
          <w:u w:val="single"/>
        </w:rPr>
        <w:t xml:space="preserve">The U.S. would therefore be wise to: </w:t>
      </w:r>
    </w:p>
    <w:p w:rsidR="000369FD" w:rsidRPr="004C5C0E" w:rsidRDefault="000369FD" w:rsidP="000369FD">
      <w:pPr>
        <w:numPr>
          <w:ilvl w:val="0"/>
          <w:numId w:val="17"/>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 xml:space="preserve">Abandon </w:t>
      </w:r>
      <w:r w:rsidRPr="004C5C0E">
        <w:rPr>
          <w:rFonts w:ascii="Times New Roman" w:hAnsi="Times New Roman" w:cs="Times New Roman"/>
          <w:color w:val="FF0000"/>
          <w:sz w:val="24"/>
          <w:szCs w:val="24"/>
          <w:u w:val="single"/>
          <w:lang w:val="en-US"/>
        </w:rPr>
        <w:t xml:space="preserve">the effort to negotiate a comprehensive TTIP unless there is mutual agreement on completing such an agreement in a set and reasonable time frame; </w:t>
      </w:r>
    </w:p>
    <w:p w:rsidR="000369FD" w:rsidRPr="004C5C0E" w:rsidRDefault="000369FD" w:rsidP="000369FD">
      <w:pPr>
        <w:numPr>
          <w:ilvl w:val="0"/>
          <w:numId w:val="17"/>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Obtain</w:t>
      </w:r>
      <w:r w:rsidRPr="004C5C0E">
        <w:rPr>
          <w:rFonts w:ascii="Times New Roman" w:hAnsi="Times New Roman" w:cs="Times New Roman"/>
          <w:color w:val="FF0000"/>
          <w:sz w:val="24"/>
          <w:szCs w:val="24"/>
          <w:u w:val="single"/>
          <w:lang w:val="en-US"/>
        </w:rPr>
        <w:t xml:space="preserve"> TPA designed, in the context of the TTIP negotiations, to increase economic freedom by securing agreement to (a) setting all tariffs and quotas for trade between the U.S. and the EU to zero and (b) selecting a few high-value sectors -such as pharmaceuticals and automobiles- in which both the U.S. and the EU have high standards and declaring that both parties will recognize each other’s standards as mutually acceptable; and </w:t>
      </w:r>
    </w:p>
    <w:p w:rsidR="000369FD" w:rsidRPr="004C5C0E" w:rsidRDefault="000369FD" w:rsidP="000369FD">
      <w:pPr>
        <w:numPr>
          <w:ilvl w:val="0"/>
          <w:numId w:val="17"/>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Conduct</w:t>
      </w:r>
      <w:r w:rsidRPr="004C5C0E">
        <w:rPr>
          <w:rFonts w:ascii="Times New Roman" w:hAnsi="Times New Roman" w:cs="Times New Roman"/>
          <w:color w:val="FF0000"/>
          <w:sz w:val="24"/>
          <w:szCs w:val="24"/>
          <w:u w:val="single"/>
          <w:lang w:val="en-US"/>
        </w:rPr>
        <w:t xml:space="preserve"> a careful and transparent joint analysis with the EU, with regular reports, of other sectors that might also be suitable for a mutual recognition approach under a future grant of TPA. </w:t>
      </w:r>
    </w:p>
    <w:p w:rsidR="000369FD" w:rsidRPr="004C5C0E" w:rsidRDefault="000369FD" w:rsidP="000369FD">
      <w:pPr>
        <w:pStyle w:val="NormalWeb"/>
        <w:jc w:val="both"/>
        <w:rPr>
          <w:color w:val="FF0000"/>
          <w:u w:val="single"/>
          <w:lang w:val="en-US"/>
        </w:rPr>
      </w:pPr>
      <w:r w:rsidRPr="004C5C0E">
        <w:rPr>
          <w:color w:val="FF0000"/>
          <w:u w:val="single"/>
          <w:lang w:val="en-US"/>
        </w:rPr>
        <w:t xml:space="preserve">No matter how significant its economic benefits, a TTIP is at best just one part of a much broader strategy to advance economic freedom at home and abroad. In the context of its relations with Europe -which comprises a number of nations that are not part of the European Union- and the rest of the world, the U.S. should: </w:t>
      </w:r>
    </w:p>
    <w:p w:rsidR="000369FD" w:rsidRPr="004C5C0E" w:rsidRDefault="000369FD" w:rsidP="000369FD">
      <w:pPr>
        <w:numPr>
          <w:ilvl w:val="0"/>
          <w:numId w:val="18"/>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Rapidly open free trade area (FTA) negotiations with any willing European nation outside the EU.</w:t>
      </w:r>
      <w:r w:rsidRPr="004C5C0E">
        <w:rPr>
          <w:rFonts w:ascii="Times New Roman" w:hAnsi="Times New Roman" w:cs="Times New Roman"/>
          <w:color w:val="FF0000"/>
          <w:sz w:val="24"/>
          <w:szCs w:val="24"/>
          <w:u w:val="single"/>
          <w:lang w:val="en-US"/>
        </w:rPr>
        <w:t xml:space="preserve"> These nations include Norway, Switzerland, Turkey, and Georgia. The U.S. should act equally rapidly to open negotiations with any nation </w:t>
      </w:r>
      <w:r w:rsidRPr="004C5C0E">
        <w:rPr>
          <w:rFonts w:ascii="Times New Roman" w:hAnsi="Times New Roman" w:cs="Times New Roman"/>
          <w:color w:val="FF0000"/>
          <w:sz w:val="24"/>
          <w:szCs w:val="24"/>
          <w:u w:val="single"/>
          <w:lang w:val="en-US"/>
        </w:rPr>
        <w:lastRenderedPageBreak/>
        <w:t>or nations that exit the EU</w:t>
      </w:r>
      <w:r w:rsidRPr="004C5C0E">
        <w:rPr>
          <w:rFonts w:ascii="Times New Roman" w:hAnsi="Times New Roman" w:cs="Times New Roman"/>
          <w:b/>
          <w:bCs/>
          <w:color w:val="FF0000"/>
          <w:sz w:val="24"/>
          <w:szCs w:val="24"/>
          <w:u w:val="single"/>
          <w:lang w:val="en-US"/>
        </w:rPr>
        <w:t xml:space="preserve">, </w:t>
      </w:r>
      <w:r w:rsidRPr="004C5C0E">
        <w:rPr>
          <w:rFonts w:ascii="Times New Roman" w:hAnsi="Times New Roman" w:cs="Times New Roman"/>
          <w:color w:val="FF0000"/>
          <w:sz w:val="24"/>
          <w:szCs w:val="24"/>
          <w:u w:val="single"/>
          <w:lang w:val="en-US"/>
        </w:rPr>
        <w:t xml:space="preserve">such as the United Kingdom. The U.S. should not wait for the conclusion of the TTIP negotiations, which will be slowed down by the EU’s cumbersome bureaucracy, to negotiate with nations outside the EU. </w:t>
      </w:r>
    </w:p>
    <w:p w:rsidR="000369FD" w:rsidRPr="004C5C0E" w:rsidRDefault="000369FD" w:rsidP="000369FD">
      <w:pPr>
        <w:numPr>
          <w:ilvl w:val="0"/>
          <w:numId w:val="18"/>
        </w:numPr>
        <w:spacing w:before="100" w:beforeAutospacing="1" w:after="100" w:afterAutospacing="1" w:line="240" w:lineRule="auto"/>
        <w:jc w:val="both"/>
        <w:rPr>
          <w:rFonts w:ascii="Times New Roman" w:hAnsi="Times New Roman" w:cs="Times New Roman"/>
          <w:color w:val="FF0000"/>
          <w:sz w:val="24"/>
          <w:szCs w:val="24"/>
          <w:u w:val="single"/>
          <w:lang w:val="en-US"/>
        </w:rPr>
      </w:pPr>
      <w:r w:rsidRPr="004C5C0E">
        <w:rPr>
          <w:rFonts w:ascii="Times New Roman" w:hAnsi="Times New Roman" w:cs="Times New Roman"/>
          <w:b/>
          <w:bCs/>
          <w:color w:val="FF0000"/>
          <w:sz w:val="24"/>
          <w:szCs w:val="24"/>
          <w:u w:val="single"/>
          <w:lang w:val="en-US"/>
        </w:rPr>
        <w:t>Couple the TTIP and TPP negotiations with an emphasis on promoting economic freedom in general.</w:t>
      </w:r>
      <w:r w:rsidRPr="004C5C0E">
        <w:rPr>
          <w:rFonts w:ascii="Times New Roman" w:hAnsi="Times New Roman" w:cs="Times New Roman"/>
          <w:color w:val="FF0000"/>
          <w:sz w:val="24"/>
          <w:szCs w:val="24"/>
          <w:u w:val="single"/>
          <w:lang w:val="en-US"/>
        </w:rPr>
        <w:t xml:space="preserve"> The negotiation of further FTAs outside Europe and the Pacific is, in a practical sense, an indispensable part of advancing economic freedom at home and around the world, but in the last analysis, the U.S. does not need FTAs to advance economic freedom at home: The U.S. has the power to reduce burdensome governmental restrictions on trade, investment, labor, and business on its own. The economic case for free trade is widely accepted, but free trade is not just good abroad. Freer trade within the U.S. is also good for the prosperity of the United States. </w:t>
      </w:r>
    </w:p>
    <w:p w:rsidR="000369FD" w:rsidRDefault="000369FD" w:rsidP="000369FD">
      <w:pPr>
        <w:pStyle w:val="Ttulo3"/>
        <w:spacing w:line="240" w:lineRule="auto"/>
        <w:jc w:val="both"/>
        <w:rPr>
          <w:rFonts w:ascii="Times New Roman" w:hAnsi="Times New Roman" w:cs="Times New Roman"/>
          <w:color w:val="auto"/>
          <w:sz w:val="24"/>
          <w:szCs w:val="24"/>
          <w:lang w:val="en-US"/>
        </w:rPr>
      </w:pPr>
      <w:r w:rsidRPr="00AC5F38">
        <w:rPr>
          <w:rFonts w:ascii="Times New Roman" w:hAnsi="Times New Roman" w:cs="Times New Roman"/>
          <w:color w:val="auto"/>
          <w:sz w:val="24"/>
          <w:szCs w:val="24"/>
          <w:lang w:val="en-US"/>
        </w:rPr>
        <w:t>Conclusion</w:t>
      </w:r>
    </w:p>
    <w:p w:rsidR="000369FD" w:rsidRDefault="000369FD" w:rsidP="000369FD">
      <w:pPr>
        <w:pStyle w:val="NormalWeb"/>
        <w:jc w:val="both"/>
        <w:rPr>
          <w:rFonts w:asciiTheme="minorHAnsi" w:eastAsiaTheme="minorHAnsi" w:hAnsiTheme="minorHAnsi" w:cstheme="minorBidi"/>
          <w:sz w:val="22"/>
          <w:szCs w:val="22"/>
          <w:lang w:val="en-US" w:eastAsia="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If the TTIP is an agreement that genuinely promotes economic freedom, it could bring substantial economic benefits to both the U.S. and the EU. Negotiating a comprehensive TTIP that achieves this aim will be challenging, and the quest for a perfect agreement should not be the enemy of a useful if partial one. </w:t>
      </w:r>
    </w:p>
    <w:p w:rsidR="000369FD" w:rsidRPr="00D85049" w:rsidRDefault="000369FD" w:rsidP="000369FD">
      <w:pPr>
        <w:pStyle w:val="NormalWeb"/>
        <w:jc w:val="both"/>
        <w:rPr>
          <w:color w:val="FF0000"/>
          <w:u w:val="single"/>
          <w:lang w:val="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Even a high-quality TTIP cannot on its own rescue the economies of the EU, and the TTIP must be part of a broader U.S. strategy to promote free trade and economic freedom. Additionally, the TTIP’s benefits and risks cannot be assessed fully and fairly without considering the geopolitical arguments for and against the agreement, which are analyzed in the second </w:t>
      </w:r>
      <w:r w:rsidRPr="00D85049">
        <w:rPr>
          <w:i/>
          <w:iCs/>
          <w:color w:val="FF0000"/>
          <w:u w:val="single"/>
          <w:lang w:val="en-US"/>
        </w:rPr>
        <w:t>Backgrounder</w:t>
      </w:r>
      <w:r w:rsidRPr="00D85049">
        <w:rPr>
          <w:color w:val="FF0000"/>
          <w:u w:val="single"/>
          <w:lang w:val="en-US"/>
        </w:rPr>
        <w:t xml:space="preserve"> on the TTIP. </w:t>
      </w:r>
    </w:p>
    <w:p w:rsidR="000369FD" w:rsidRPr="00D85049" w:rsidRDefault="000369FD" w:rsidP="000369FD">
      <w:pPr>
        <w:pStyle w:val="NormalWeb"/>
        <w:jc w:val="both"/>
        <w:rPr>
          <w:color w:val="FF0000"/>
          <w:u w:val="single"/>
          <w:lang w:val="en-US"/>
        </w:rPr>
      </w:pPr>
    </w:p>
    <w:p w:rsidR="000369FD" w:rsidRPr="00D85049" w:rsidRDefault="000369FD" w:rsidP="000369FD">
      <w:pPr>
        <w:pStyle w:val="NormalWeb"/>
        <w:jc w:val="both"/>
        <w:rPr>
          <w:color w:val="FF0000"/>
          <w:u w:val="single"/>
          <w:lang w:val="en-US"/>
        </w:rPr>
      </w:pPr>
      <w:r w:rsidRPr="00D85049">
        <w:rPr>
          <w:color w:val="FF0000"/>
          <w:u w:val="single"/>
          <w:lang w:val="en-US"/>
        </w:rPr>
        <w:t xml:space="preserve">Within these limits, a TTIP can be judged on its merits only if and when an agreement is concluded. If a TTIP genuinely advances economic freedom by reducing government restrictions on and barriers to trade and finance without creating undesirable transnational institutions or political side commitments, it will have met its first and most important test. The U.S. and the world have too much to gain from freer trade to accept anything less than an agreement that verifiably makes real and substantial strides toward promoting economic freedom. </w:t>
      </w:r>
    </w:p>
    <w:p w:rsidR="000369FD" w:rsidRPr="00D85049" w:rsidRDefault="000369FD" w:rsidP="000369FD">
      <w:pPr>
        <w:spacing w:line="240" w:lineRule="auto"/>
        <w:jc w:val="both"/>
        <w:rPr>
          <w:rFonts w:ascii="Times New Roman" w:eastAsia="Times New Roman" w:hAnsi="Times New Roman" w:cs="Times New Roman"/>
          <w:color w:val="FF0000"/>
          <w:sz w:val="24"/>
          <w:szCs w:val="24"/>
          <w:u w:val="single"/>
          <w:lang w:val="en-US" w:eastAsia="es-ES"/>
        </w:rPr>
      </w:pPr>
    </w:p>
    <w:p w:rsidR="000369FD" w:rsidRPr="004265B7" w:rsidRDefault="000369FD" w:rsidP="004265B7">
      <w:pPr>
        <w:spacing w:line="240" w:lineRule="auto"/>
        <w:jc w:val="both"/>
        <w:rPr>
          <w:rFonts w:ascii="Times New Roman" w:hAnsi="Times New Roman" w:cs="Times New Roman"/>
          <w:iCs/>
          <w:sz w:val="24"/>
          <w:szCs w:val="24"/>
          <w:lang w:val="en-US"/>
        </w:rPr>
      </w:pPr>
      <w:r>
        <w:rPr>
          <w:rFonts w:ascii="Times New Roman" w:hAnsi="Times New Roman" w:cs="Times New Roman"/>
          <w:bCs/>
          <w:iCs/>
          <w:sz w:val="24"/>
          <w:szCs w:val="24"/>
          <w:lang w:val="en-US"/>
        </w:rPr>
        <w:t>(</w:t>
      </w:r>
      <w:r w:rsidRPr="00AC5F38">
        <w:rPr>
          <w:rFonts w:ascii="Times New Roman" w:hAnsi="Times New Roman" w:cs="Times New Roman"/>
          <w:bCs/>
          <w:iCs/>
          <w:sz w:val="24"/>
          <w:szCs w:val="24"/>
          <w:lang w:val="en-US"/>
        </w:rPr>
        <w:t xml:space="preserve">Ted R. Bromund, PhD, </w:t>
      </w:r>
      <w:r w:rsidRPr="00AC5F38">
        <w:rPr>
          <w:rFonts w:ascii="Times New Roman" w:hAnsi="Times New Roman" w:cs="Times New Roman"/>
          <w:iCs/>
          <w:sz w:val="24"/>
          <w:szCs w:val="24"/>
          <w:lang w:val="en-US"/>
        </w:rPr>
        <w:t xml:space="preserve">is Senior Research Fellow and </w:t>
      </w:r>
      <w:r w:rsidRPr="00AC5F38">
        <w:rPr>
          <w:rFonts w:ascii="Times New Roman" w:hAnsi="Times New Roman" w:cs="Times New Roman"/>
          <w:bCs/>
          <w:iCs/>
          <w:sz w:val="24"/>
          <w:szCs w:val="24"/>
          <w:lang w:val="en-US"/>
        </w:rPr>
        <w:t>Luke Coffey</w:t>
      </w:r>
      <w:r w:rsidRPr="00AC5F38">
        <w:rPr>
          <w:rFonts w:ascii="Times New Roman" w:hAnsi="Times New Roman" w:cs="Times New Roman"/>
          <w:iCs/>
          <w:sz w:val="24"/>
          <w:szCs w:val="24"/>
          <w:lang w:val="en-US"/>
        </w:rPr>
        <w:t xml:space="preserve"> is Margaret Thatcher Fellow in the Margaret Thatcher Center for Freedom, of the Kathryn and Shelby Cullom Davis Institute for National Security and Foreign Policy, at The Heritage Foundation. </w:t>
      </w:r>
      <w:r w:rsidRPr="00AC5F38">
        <w:rPr>
          <w:rFonts w:ascii="Times New Roman" w:hAnsi="Times New Roman" w:cs="Times New Roman"/>
          <w:bCs/>
          <w:iCs/>
          <w:sz w:val="24"/>
          <w:szCs w:val="24"/>
          <w:lang w:val="en-US"/>
        </w:rPr>
        <w:t>Bryan Riley</w:t>
      </w:r>
      <w:r w:rsidRPr="00AC5F38">
        <w:rPr>
          <w:rFonts w:ascii="Times New Roman" w:hAnsi="Times New Roman" w:cs="Times New Roman"/>
          <w:iCs/>
          <w:sz w:val="24"/>
          <w:szCs w:val="24"/>
          <w:lang w:val="en-US"/>
        </w:rPr>
        <w:t xml:space="preserve"> is Jay Van Andel Senior Policy Analyst in Trade Policy in the Center for Trade and Economics, of the Institute for Freedom and Opportunity, at The Heritage Foundation. The authors thank Erica Munkwitz, Operations Coordinator in the Thatcher Center, and Daniel Kochis, Research Assistant in the Thatcher Center, for t</w:t>
      </w:r>
      <w:r>
        <w:rPr>
          <w:rFonts w:ascii="Times New Roman" w:hAnsi="Times New Roman" w:cs="Times New Roman"/>
          <w:iCs/>
          <w:sz w:val="24"/>
          <w:szCs w:val="24"/>
          <w:lang w:val="en-US"/>
        </w:rPr>
        <w:t>heir assistance with this paper)</w:t>
      </w:r>
    </w:p>
    <w:p w:rsidR="000369FD" w:rsidRPr="00910A29" w:rsidRDefault="000369FD" w:rsidP="000369FD">
      <w:pPr>
        <w:pStyle w:val="notapie"/>
        <w:shd w:val="clear" w:color="auto" w:fill="FFFFFF"/>
        <w:jc w:val="both"/>
        <w:rPr>
          <w:lang w:val="en-US"/>
        </w:rPr>
      </w:pPr>
      <w:r w:rsidRPr="00910A29">
        <w:rPr>
          <w:lang w:val="en-US"/>
        </w:rPr>
        <w:t xml:space="preserve">- </w:t>
      </w:r>
      <w:r w:rsidRPr="00910A29">
        <w:rPr>
          <w:u w:val="single"/>
          <w:lang w:val="en-US"/>
        </w:rPr>
        <w:t>“Race to the bottom” or setting global standards? Assessing the regulatory impact of the Transatlantic Trade and Investment Partnership (TTIP)</w:t>
      </w:r>
      <w:r w:rsidRPr="00910A29">
        <w:rPr>
          <w:lang w:val="en-US"/>
        </w:rPr>
        <w:t xml:space="preserve"> (Real Instituto Elcano - </w:t>
      </w:r>
      <w:r w:rsidRPr="00910A29">
        <w:rPr>
          <w:b/>
          <w:lang w:val="en-US"/>
        </w:rPr>
        <w:t>19/9/14</w:t>
      </w:r>
      <w:r w:rsidRPr="00910A29">
        <w:rPr>
          <w:lang w:val="en-US"/>
        </w:rPr>
        <w:t>)</w:t>
      </w:r>
    </w:p>
    <w:p w:rsidR="000369FD" w:rsidRPr="00910A29" w:rsidRDefault="000369FD" w:rsidP="000369FD">
      <w:pPr>
        <w:pStyle w:val="Ttulo2"/>
        <w:spacing w:line="240" w:lineRule="auto"/>
        <w:jc w:val="both"/>
        <w:rPr>
          <w:rFonts w:ascii="Times New Roman" w:hAnsi="Times New Roman" w:cs="Times New Roman"/>
          <w:b w:val="0"/>
          <w:color w:val="auto"/>
          <w:sz w:val="24"/>
          <w:szCs w:val="24"/>
          <w:lang w:val="en-US"/>
        </w:rPr>
      </w:pPr>
      <w:r w:rsidRPr="00910A29">
        <w:rPr>
          <w:rFonts w:ascii="Times New Roman" w:hAnsi="Times New Roman" w:cs="Times New Roman"/>
          <w:b w:val="0"/>
          <w:color w:val="auto"/>
          <w:sz w:val="24"/>
          <w:szCs w:val="24"/>
          <w:lang w:val="en-US"/>
        </w:rPr>
        <w:t>(By Gabriel Siles-Brügge)</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662B2B">
        <w:rPr>
          <w:rStyle w:val="Textoennegrita"/>
          <w:b/>
          <w:lang w:val="en-US"/>
        </w:rPr>
        <w:lastRenderedPageBreak/>
        <w:t>Theme</w:t>
      </w:r>
      <w:r w:rsidRPr="00910A29">
        <w:rPr>
          <w:rStyle w:val="Textoennegrita"/>
          <w:lang w:val="en-US"/>
        </w:rPr>
        <w:t>:</w:t>
      </w:r>
      <w:r w:rsidRPr="00910A29">
        <w:rPr>
          <w:lang w:val="en-US"/>
        </w:rPr>
        <w:t xml:space="preserve"> This study considers the likely regulatory impact of the proposed EU-US Transatlantic Trade and Investment Partnership (TTIP) in three key policy areas: investor protection, public services and food safety.</w:t>
      </w:r>
    </w:p>
    <w:p w:rsidR="000369FD" w:rsidRPr="00910A29" w:rsidRDefault="000369FD" w:rsidP="000369FD">
      <w:pPr>
        <w:pStyle w:val="NormalWeb"/>
        <w:jc w:val="both"/>
        <w:rPr>
          <w:lang w:val="en-US"/>
        </w:rPr>
      </w:pPr>
    </w:p>
    <w:p w:rsidR="000369FD" w:rsidRPr="004C5C0E" w:rsidRDefault="000369FD" w:rsidP="000369FD">
      <w:pPr>
        <w:pStyle w:val="NormalWeb"/>
        <w:jc w:val="both"/>
        <w:rPr>
          <w:color w:val="FF0000"/>
          <w:u w:val="single"/>
          <w:lang w:val="en-US"/>
        </w:rPr>
      </w:pPr>
      <w:r w:rsidRPr="00662B2B">
        <w:rPr>
          <w:rStyle w:val="Textoennegrita"/>
          <w:b/>
          <w:lang w:val="en-US"/>
        </w:rPr>
        <w:t>Summary</w:t>
      </w:r>
      <w:r w:rsidRPr="00910A29">
        <w:rPr>
          <w:rStyle w:val="Textoennegrita"/>
          <w:lang w:val="en-US"/>
        </w:rPr>
        <w:t>:</w:t>
      </w:r>
      <w:r w:rsidRPr="00910A29">
        <w:rPr>
          <w:lang w:val="en-US"/>
        </w:rPr>
        <w:t xml:space="preserve"> </w:t>
      </w:r>
      <w:r w:rsidRPr="004C5C0E">
        <w:rPr>
          <w:color w:val="FF0000"/>
          <w:u w:val="single"/>
          <w:lang w:val="en-US"/>
        </w:rPr>
        <w:t>While advocates of TTIP have spoken of the agreement’s ability to boost growth and jobs and set global standards, its detractors claim that the agreement threatens hard-fought social and environmental protections. In light of the charged public debate on the issue, this paper looks at the likely regulatory impact of TTIP in three key policy areas: investor protection, public services and food safety. It finds that the agreement is unlikely to lead to one big deregulatory “big bang”. The investor protection provisions being considered offer some protections for states regulating in the public interest, public services are not exposed to wholesale liberalisation and the EU’s relatively more stringent food safety standards appear to be institutionally entrenched. That said, this study concludes that the agreement, as it is currently envisioned by European negotiators, is still likely to constrain regulatory autonomy through its investment provisions, provide insufficient protection for public services and lead to some downward pressure on standards in the area of food safety. The agreement establishes the primacy of the competitive disciplines of trade liberalisation, simply seeking to carve out regulatory exceptions. This approach faces significant practical limitations.</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662B2B">
        <w:rPr>
          <w:rStyle w:val="Textoennegrita"/>
          <w:b/>
          <w:lang w:val="en-US"/>
        </w:rPr>
        <w:t>Analysis</w:t>
      </w:r>
      <w:r w:rsidRPr="00910A29">
        <w:rPr>
          <w:rStyle w:val="Textoennegrita"/>
          <w:lang w:val="en-US"/>
        </w:rPr>
        <w:t>:</w:t>
      </w:r>
      <w:r w:rsidRPr="00910A29">
        <w:rPr>
          <w:lang w:val="en-US"/>
        </w:rPr>
        <w:t xml:space="preserve"> The Transatlantic Trade and</w:t>
      </w:r>
      <w:r>
        <w:rPr>
          <w:lang w:val="en-US"/>
        </w:rPr>
        <w:t xml:space="preserve"> Investment Partnership (TTIP) -</w:t>
      </w:r>
      <w:r w:rsidRPr="00910A29">
        <w:rPr>
          <w:lang w:val="en-US"/>
        </w:rPr>
        <w:t>the free-trade agreement currently being negot</w:t>
      </w:r>
      <w:r>
        <w:rPr>
          <w:lang w:val="en-US"/>
        </w:rPr>
        <w:t>iated between the EU and the US-</w:t>
      </w:r>
      <w:r w:rsidRPr="00910A29">
        <w:rPr>
          <w:lang w:val="en-US"/>
        </w:rPr>
        <w:t xml:space="preserve"> has sparked considerable passion on both sides of the Atlantic, and especially in Europe. For its advocates, including the UK’s Prime Minister, </w:t>
      </w:r>
      <w:r>
        <w:rPr>
          <w:lang w:val="en-US"/>
        </w:rPr>
        <w:t>David Cameron, it represents a “once-in-a-generation-prize”</w:t>
      </w:r>
      <w:r w:rsidRPr="00910A29">
        <w:rPr>
          <w:lang w:val="en-US"/>
        </w:rPr>
        <w:t>, allowing the EU and the US to boost their economies by eliminating remaining regulatory barriers to trade and setting global standards. To its detractors, TTIP threatens hard-fought social and</w:t>
      </w:r>
      <w:r>
        <w:rPr>
          <w:lang w:val="en-US"/>
        </w:rPr>
        <w:t xml:space="preserve"> environmental protections and “</w:t>
      </w:r>
      <w:r w:rsidRPr="00910A29">
        <w:rPr>
          <w:lang w:val="en-US"/>
        </w:rPr>
        <w:t xml:space="preserve">would let rapacious companies subvert our laws, </w:t>
      </w:r>
      <w:r>
        <w:rPr>
          <w:lang w:val="en-US"/>
        </w:rPr>
        <w:t>rights and national sovereignty”</w:t>
      </w:r>
      <w:r w:rsidRPr="00910A29">
        <w:rPr>
          <w:lang w:val="en-US"/>
        </w:rPr>
        <w:t>.</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It is of course too early to tell exactly how TTIP will turn out. Not only are negotiations in a relatively early stage, and this despite six rounds of talks, but (in the tradition of past trade negotiations) many of the relevant documents have not been made available to the public (although there is pressure to change this). As a result, the aim of this paper is not to make hard-and-fast predictions but rather to assess the state of play in the negotiations in a number of key areas from the available evidence and use this to reflect on the regulatory impact of the agreement.</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The areas I focus on here are investor protection, public services and food safety, which have elicited some of the strongest responses from critics of the agreement. The evidence I consider here suggests that TTIP is unlikely to lead to one der</w:t>
      </w:r>
      <w:r>
        <w:rPr>
          <w:lang w:val="en-US"/>
        </w:rPr>
        <w:t>egulatory ‘big bang’, but that -</w:t>
      </w:r>
      <w:r w:rsidRPr="00910A29">
        <w:rPr>
          <w:lang w:val="en-US"/>
        </w:rPr>
        <w:t>as it is cur</w:t>
      </w:r>
      <w:r>
        <w:rPr>
          <w:lang w:val="en-US"/>
        </w:rPr>
        <w:t>rently envisaged by negotiators-</w:t>
      </w:r>
      <w:r w:rsidRPr="00910A29">
        <w:rPr>
          <w:lang w:val="en-US"/>
        </w:rPr>
        <w:t xml:space="preserve"> it may constrain the regulatory autonomy of states, entrench competitive disciplines in public services and put downward pressure on food safety standards. All in all, TTIP’s negotiators appear to view regulating in the public interest as an exception to the competitive disciplines of trade liberalisation, while significant c</w:t>
      </w:r>
      <w:r>
        <w:rPr>
          <w:lang w:val="en-US"/>
        </w:rPr>
        <w:t>hallenges exist for adequately “carving out”</w:t>
      </w:r>
      <w:r w:rsidRPr="00910A29">
        <w:rPr>
          <w:lang w:val="en-US"/>
        </w:rPr>
        <w:t xml:space="preserve"> such regulation.</w:t>
      </w:r>
    </w:p>
    <w:p w:rsidR="000369FD" w:rsidRPr="00910A29" w:rsidRDefault="000369FD" w:rsidP="000369FD">
      <w:pPr>
        <w:pStyle w:val="NormalWeb"/>
        <w:jc w:val="both"/>
        <w:rPr>
          <w:lang w:val="en-US"/>
        </w:rPr>
      </w:pPr>
    </w:p>
    <w:p w:rsidR="000369FD" w:rsidRPr="00910A29" w:rsidRDefault="000369FD" w:rsidP="000369FD">
      <w:pPr>
        <w:pStyle w:val="NormalWeb"/>
        <w:jc w:val="both"/>
        <w:rPr>
          <w:rStyle w:val="nfasis"/>
          <w:lang w:val="en-US"/>
        </w:rPr>
      </w:pPr>
      <w:r w:rsidRPr="00910A29">
        <w:rPr>
          <w:rStyle w:val="nfasis"/>
          <w:lang w:val="en-US"/>
        </w:rPr>
        <w:t>Investor protection: privileging investors over states?</w:t>
      </w:r>
    </w:p>
    <w:p w:rsidR="000369FD" w:rsidRPr="004C5C0E" w:rsidRDefault="000369FD" w:rsidP="000369FD">
      <w:pPr>
        <w:pStyle w:val="NormalWeb"/>
        <w:jc w:val="both"/>
        <w:rPr>
          <w:color w:val="FF0000"/>
          <w:u w:val="single"/>
          <w:lang w:val="en-US"/>
        </w:rPr>
      </w:pPr>
      <w:r w:rsidRPr="00910A29">
        <w:rPr>
          <w:lang w:val="en-US"/>
        </w:rPr>
        <w:br/>
      </w:r>
      <w:r w:rsidRPr="004C5C0E">
        <w:rPr>
          <w:color w:val="FF0000"/>
          <w:u w:val="single"/>
          <w:lang w:val="en-US"/>
        </w:rPr>
        <w:t xml:space="preserve">One of the most contentious issues during the negotiations have been the agreement’s proposed investor protection provisions, and in particular the potential for investor-state </w:t>
      </w:r>
      <w:r w:rsidRPr="004C5C0E">
        <w:rPr>
          <w:color w:val="FF0000"/>
          <w:u w:val="single"/>
          <w:lang w:val="en-US"/>
        </w:rPr>
        <w:lastRenderedPageBreak/>
        <w:t>dispute settlement (ISDS). This latter provision would allow foreign investors to seek redress for violations of their investor rights before independent arbitration tribunals, such as the International Centre for Settlement of Investment Disputes (ICSID).</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The European Commission’s rationale for including such provisions are that they are 2</w:t>
      </w:r>
      <w:r w:rsidRPr="004C5C0E">
        <w:rPr>
          <w:rStyle w:val="Textoennegrita"/>
          <w:color w:val="FF0000"/>
          <w:lang w:val="en-US"/>
        </w:rPr>
        <w:t xml:space="preserve">a </w:t>
      </w:r>
      <w:r w:rsidRPr="008742C5">
        <w:rPr>
          <w:rStyle w:val="Textoennegrita"/>
          <w:color w:val="FF0000"/>
          <w:u w:val="single"/>
          <w:lang w:val="en-US"/>
        </w:rPr>
        <w:t>tool</w:t>
      </w:r>
      <w:r w:rsidRPr="008742C5">
        <w:rPr>
          <w:color w:val="FF0000"/>
          <w:lang w:val="en-US"/>
        </w:rPr>
        <w:t xml:space="preserve"> (…) </w:t>
      </w:r>
      <w:r w:rsidRPr="008742C5">
        <w:rPr>
          <w:rStyle w:val="Textoennegrita"/>
          <w:color w:val="FF0000"/>
          <w:u w:val="single"/>
          <w:lang w:val="en-US"/>
        </w:rPr>
        <w:t>to attract and maintain FDI</w:t>
      </w:r>
      <w:r w:rsidRPr="008742C5">
        <w:rPr>
          <w:color w:val="FF0000"/>
          <w:u w:val="single"/>
          <w:lang w:val="en-US"/>
        </w:rPr>
        <w:t>2</w:t>
      </w:r>
      <w:r w:rsidRPr="004C5C0E">
        <w:rPr>
          <w:color w:val="FF0000"/>
          <w:u w:val="single"/>
          <w:lang w:val="en-US"/>
        </w:rPr>
        <w:t xml:space="preserve"> by protecting investors against (direct and indirect) expropriation and unfair and discriminatory treatment, with ISDS necessary to enforce the provisions of the agreement (which may have no standing in domestic courts). In contrast, such provisions have been criticised for “provid(ing) significant advantage to multinational enterprises at the expense of governmental flexibility”. In other words, they privilege foreign investor rights over states’ present and future “right to regulate”, as states may avoid taking future regulatory decisions in order to avoid costly arbitration arising from claims of indirect expropriation (“regulatory chill”). The workings of ISDS tribunals have also been criticised as lacking in transparency and the appropriate mechanisms to ensure the impartiality of arbitrators (who, for example, often act as both advocates and judges in different cases). Moreover, such provisions have been described as unnecessary between two partners (the EU and the US) which possess developed legal systems that adequately protect investors.</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While it is certainly novel for the EU to be negotiating such agreements -it has only had the competence to negotiate investment protection since the Treaty of Lisbon- investor protection (including ISDS) has been a common feature of the network of bilateral investment treaties (BITs) signed by EU Member States and the US. These agreements were largely negotiated between developed countries and developing countries, such that most EU Member States, with the exception of a number of Central and Eastern European countries, have no BITs with the US. These agreements are commonly acknowledged to have generally provided little protection for states “right to regulate”, giving investment arbitrators considerable latitude to interpret investment protections broadly and find against the regulatory measures adopted by states. That said, while this network consists of approximately 3000 BITs, it arguably only covers a small proportion of FDI flows: one estimation by investment arbitration expert Gus Van Harten puts it at only 15%-20% of US FDI flows.</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Investor protection provisions in TTIP would likely represent somewhat of an improvement on these BITs. On the basis of the document released by the Commission as part of a public consultation on the issue held from March to July 2013, and the EU-Canada Comprehensive Economic and Trade Agreement (CETA) investor protection clauses this approvingly cites, the Commission is:</w:t>
      </w:r>
    </w:p>
    <w:p w:rsidR="000369FD" w:rsidRPr="004C5C0E" w:rsidRDefault="000369FD" w:rsidP="000369FD">
      <w:pPr>
        <w:numPr>
          <w:ilvl w:val="0"/>
          <w:numId w:val="8"/>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Seeking to carve out greater regulatory autonomy for states, establishing more circumscribed and binding (on arbitrators) definitions of what constitutes indirect expropriation, unfair and discriminatory treatment, excluding non-discriminatory regulatory moves taken to achieve a legitimate public policy objective.</w:t>
      </w:r>
    </w:p>
    <w:p w:rsidR="000369FD" w:rsidRPr="004C5C0E" w:rsidRDefault="000369FD" w:rsidP="000369FD">
      <w:pPr>
        <w:numPr>
          <w:ilvl w:val="0"/>
          <w:numId w:val="8"/>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Working to improve the ISDS mechanism by limiting conflicts of interest for arbitrators and increasing the transparency of arbitration.</w:t>
      </w:r>
    </w:p>
    <w:p w:rsidR="000369FD" w:rsidRPr="004C5C0E" w:rsidRDefault="000369FD" w:rsidP="000369FD">
      <w:pPr>
        <w:pStyle w:val="NormalWeb"/>
        <w:jc w:val="both"/>
        <w:rPr>
          <w:color w:val="FF0000"/>
          <w:u w:val="single"/>
          <w:lang w:val="en-US"/>
        </w:rPr>
      </w:pPr>
      <w:r w:rsidRPr="004C5C0E">
        <w:rPr>
          <w:color w:val="FF0000"/>
          <w:u w:val="single"/>
          <w:lang w:val="en-US"/>
        </w:rPr>
        <w:t xml:space="preserve">This has been taken by some as implying that, as investor protections are already widespread, TTIP represents an opportunity to rewrite the flawed architecture of the current network of BITs, setting a higher standard for future investment protection </w:t>
      </w:r>
      <w:r w:rsidRPr="004C5C0E">
        <w:rPr>
          <w:color w:val="FF0000"/>
          <w:u w:val="single"/>
          <w:lang w:val="en-US"/>
        </w:rPr>
        <w:lastRenderedPageBreak/>
        <w:t>provisions. However, there are four main reasons to remain critical of investor protection in TTIP as it is currently envisaged:</w:t>
      </w:r>
    </w:p>
    <w:p w:rsidR="000369FD" w:rsidRPr="004C5C0E" w:rsidRDefault="000369FD" w:rsidP="000369FD">
      <w:pPr>
        <w:numPr>
          <w:ilvl w:val="0"/>
          <w:numId w:val="9"/>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There remains considerable latitude for arbitration tribunals to interpret provisions on non-discrimination and fair and equitable treatment.</w:t>
      </w:r>
    </w:p>
    <w:p w:rsidR="000369FD" w:rsidRPr="004C5C0E" w:rsidRDefault="000369FD" w:rsidP="000369FD">
      <w:pPr>
        <w:numPr>
          <w:ilvl w:val="0"/>
          <w:numId w:val="9"/>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While improving the transparency of proceedings, the revised ISDS procedure does not address the broader conflicts of interest that exist within the field of investment arbitration as a result of a lack of judicial independence (arbitrators still rely for their remuneration on the claims brought by investors and are appointed on a case-by-case basis).</w:t>
      </w:r>
    </w:p>
    <w:p w:rsidR="000369FD" w:rsidRPr="004C5C0E" w:rsidRDefault="000369FD" w:rsidP="000369FD">
      <w:pPr>
        <w:numPr>
          <w:ilvl w:val="0"/>
          <w:numId w:val="9"/>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 xml:space="preserve">Most importantly, it establishes the primacy of </w:t>
      </w:r>
      <w:r w:rsidRPr="004C5C0E">
        <w:rPr>
          <w:rStyle w:val="nfasis"/>
          <w:rFonts w:ascii="Times New Roman" w:hAnsi="Times New Roman" w:cs="Times New Roman"/>
          <w:color w:val="FF0000"/>
          <w:sz w:val="24"/>
          <w:szCs w:val="24"/>
          <w:u w:val="single"/>
          <w:lang w:val="en-US"/>
        </w:rPr>
        <w:t>foreign</w:t>
      </w:r>
      <w:r w:rsidRPr="004C5C0E">
        <w:rPr>
          <w:rFonts w:ascii="Times New Roman" w:hAnsi="Times New Roman" w:cs="Times New Roman"/>
          <w:color w:val="FF0000"/>
          <w:sz w:val="24"/>
          <w:szCs w:val="24"/>
          <w:u w:val="single"/>
          <w:lang w:val="en-US"/>
        </w:rPr>
        <w:t xml:space="preserve"> investor rights over regulatory sovereignty, with legitimate public policy measures being framed as </w:t>
      </w:r>
      <w:r w:rsidRPr="004C5C0E">
        <w:rPr>
          <w:rStyle w:val="nfasis"/>
          <w:rFonts w:ascii="Times New Roman" w:hAnsi="Times New Roman" w:cs="Times New Roman"/>
          <w:color w:val="FF0000"/>
          <w:sz w:val="24"/>
          <w:szCs w:val="24"/>
          <w:u w:val="single"/>
          <w:lang w:val="en-US"/>
        </w:rPr>
        <w:t>exceptions</w:t>
      </w:r>
      <w:r w:rsidRPr="004C5C0E">
        <w:rPr>
          <w:rFonts w:ascii="Times New Roman" w:hAnsi="Times New Roman" w:cs="Times New Roman"/>
          <w:color w:val="FF0000"/>
          <w:sz w:val="24"/>
          <w:szCs w:val="24"/>
          <w:u w:val="single"/>
          <w:lang w:val="en-US"/>
        </w:rPr>
        <w:t xml:space="preserve"> to the rules. Notably, the principle of the “right to regulate” is only mentioned in the preamble rather than embedded within the text of the CETA agreement.</w:t>
      </w:r>
    </w:p>
    <w:p w:rsidR="000369FD" w:rsidRPr="004C5C0E" w:rsidRDefault="000369FD" w:rsidP="000369FD">
      <w:pPr>
        <w:numPr>
          <w:ilvl w:val="0"/>
          <w:numId w:val="9"/>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Finally, TTIP, would at the very least, allow firms greater latitude in “forum-shopping”, ie, selectively bringing claims through the (in their eyes) most advantageous investor protection regime. It may go as far as significantly increasing the opportunities for firms to make use of such provisions, as estimates suggest that existing BITs only cover 15%-20% of US investment, with TTIP potentially bringing this up to 65%-80% of US FDI flows.</w:t>
      </w:r>
    </w:p>
    <w:p w:rsidR="000369FD" w:rsidRPr="004C5C0E" w:rsidRDefault="000369FD" w:rsidP="000369FD">
      <w:pPr>
        <w:pStyle w:val="NormalWeb"/>
        <w:jc w:val="both"/>
        <w:rPr>
          <w:color w:val="FF0000"/>
          <w:u w:val="single"/>
          <w:lang w:val="en-US"/>
        </w:rPr>
      </w:pPr>
      <w:r w:rsidRPr="004C5C0E">
        <w:rPr>
          <w:color w:val="FF0000"/>
          <w:u w:val="single"/>
          <w:lang w:val="en-US"/>
        </w:rPr>
        <w:t xml:space="preserve">All in all, and while it is hard to definitively assess the nature and the impact of TTIP’s investor protection provisions, the manner in which investor protection is currently envisaged potentially poses an additional constraint on state regulatory capacity. Of course, some doubts have been raised over whether these provisions will even be included in TTIP after the significant campaign against it from European civil society (which culminated in the </w:t>
      </w:r>
      <w:r>
        <w:rPr>
          <w:color w:val="FF0000"/>
          <w:u w:val="single"/>
          <w:lang w:val="en-US"/>
        </w:rPr>
        <w:t>Commission receiving around 150.</w:t>
      </w:r>
      <w:r w:rsidRPr="004C5C0E">
        <w:rPr>
          <w:color w:val="FF0000"/>
          <w:u w:val="single"/>
          <w:lang w:val="en-US"/>
        </w:rPr>
        <w:t>000 submissions in its public consultation on the issue) and the opposition of Social Democrats in Germany and the European Parliament. That being said, their inclusion in CETA does suggest they are far from moribund.</w:t>
      </w:r>
    </w:p>
    <w:p w:rsidR="000369FD" w:rsidRPr="00910A29" w:rsidRDefault="000369FD" w:rsidP="000369FD">
      <w:pPr>
        <w:pStyle w:val="NormalWeb"/>
        <w:jc w:val="both"/>
        <w:rPr>
          <w:lang w:val="en-US"/>
        </w:rPr>
      </w:pPr>
    </w:p>
    <w:p w:rsidR="000369FD" w:rsidRPr="00910A29" w:rsidRDefault="000369FD" w:rsidP="000369FD">
      <w:pPr>
        <w:pStyle w:val="NormalWeb"/>
        <w:jc w:val="both"/>
        <w:rPr>
          <w:rStyle w:val="nfasis"/>
          <w:lang w:val="en-US"/>
        </w:rPr>
      </w:pPr>
      <w:r w:rsidRPr="00910A29">
        <w:rPr>
          <w:rStyle w:val="nfasis"/>
          <w:lang w:val="en-US"/>
        </w:rPr>
        <w:t>Public services: locking in the privatisation of healthcare and education?</w:t>
      </w:r>
    </w:p>
    <w:p w:rsidR="000369FD" w:rsidRPr="004C5C0E" w:rsidRDefault="000369FD" w:rsidP="000369FD">
      <w:pPr>
        <w:pStyle w:val="NormalWeb"/>
        <w:jc w:val="both"/>
        <w:rPr>
          <w:color w:val="FF0000"/>
          <w:u w:val="single"/>
          <w:lang w:val="en-US"/>
        </w:rPr>
      </w:pPr>
      <w:r w:rsidRPr="00910A29">
        <w:rPr>
          <w:lang w:val="en-US"/>
        </w:rPr>
        <w:br/>
      </w:r>
      <w:r w:rsidRPr="004C5C0E">
        <w:rPr>
          <w:color w:val="FF0000"/>
          <w:u w:val="single"/>
          <w:lang w:val="en-US"/>
        </w:rPr>
        <w:t>A second issue of considerable controversy has been the subject of public services. Civil society activists in Europe have been up in arms over what they perceive to be the privatisation of healthcare and education services (as well as some public utilities). In the UK, this discussion has focused on the impact TTIP may have on the NHS -with the fear that the agreement would “lock-in” the market-led reforms introduced under the current Conservative-Liberal Democrat coalition government-. The Commission’s response, in turn, has been to reassure such actors that the provision of public services will be sufficiently protected in TTIP.</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 xml:space="preserve">It is certainly the case that without any carve-outs for public services, these would potentially be subject to considerable disciplines under TTIP. Services liberalisation works on the basis of commitments made under “market access” and “national treatment” (which, under the General </w:t>
      </w:r>
      <w:r>
        <w:rPr>
          <w:color w:val="FF0000"/>
          <w:u w:val="single"/>
          <w:lang w:val="en-US"/>
        </w:rPr>
        <w:t>Agreement on Trade in Services -</w:t>
      </w:r>
      <w:r w:rsidRPr="004C5C0E">
        <w:rPr>
          <w:color w:val="FF0000"/>
          <w:u w:val="single"/>
          <w:lang w:val="en-US"/>
        </w:rPr>
        <w:t xml:space="preserve">GATS- is not automatic as under the General </w:t>
      </w:r>
      <w:r>
        <w:rPr>
          <w:color w:val="FF0000"/>
          <w:u w:val="single"/>
          <w:lang w:val="en-US"/>
        </w:rPr>
        <w:t>Agreement on Tariffs and Trade -</w:t>
      </w:r>
      <w:r w:rsidRPr="004C5C0E">
        <w:rPr>
          <w:color w:val="FF0000"/>
          <w:u w:val="single"/>
          <w:lang w:val="en-US"/>
        </w:rPr>
        <w:t xml:space="preserve">GATT-, covering trade in goods). Market access commitments would result in the prohibition of monopolies, exclusive service suppliers or economic needs test (all of which are fairly common in the field of </w:t>
      </w:r>
      <w:r w:rsidRPr="004C5C0E">
        <w:rPr>
          <w:color w:val="FF0000"/>
          <w:u w:val="single"/>
          <w:lang w:val="en-US"/>
        </w:rPr>
        <w:lastRenderedPageBreak/>
        <w:t>public services), while commitments on national treatment would force “like” treatment of domestic and foreign service suppliers (non-discrimination).</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The manner in which such commitments are made is also of some importance. In essence there are three approaches to trade in services liberalisation: (a) positive listing (the agreement only covers those commitments that are explicitly made in the market access schedule); (b) negative listing (market access and national treatment apply unless a specific exemption is listed in relevant Annexes); and (c) a hybrid approach. Unsurprisingly, negative listing is generally conducive to more expansive liberalisation as only those sectors explicitly mentioned in its Annexes (which cover both existing measures and future measures) are exempted. In the case of TTIP, the leaked draft market access offer suggests that the hybrid approach is being used (specifically using positive listing for market access and negative listing for national treatment),</w:t>
      </w:r>
      <w:r>
        <w:rPr>
          <w:color w:val="FF0000"/>
          <w:u w:val="single"/>
          <w:lang w:val="en-US"/>
        </w:rPr>
        <w:t xml:space="preserve"> </w:t>
      </w:r>
      <w:r w:rsidRPr="004C5C0E">
        <w:rPr>
          <w:color w:val="FF0000"/>
          <w:u w:val="single"/>
          <w:lang w:val="en-US"/>
        </w:rPr>
        <w:t>although it is conceivable that this may move towards negative listing.</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Given this context, where the mechanisms of liberalisation are potentially quite expansive, the question is whether Member States have provided for sufficient leeway in the proposed agreement’s language to exempt public services from the requirements of market access and national treatment. In a letter seeking to allay fears over TTIP’s impact on the NHS in the UK, the Commission spells out its approach, namely:</w:t>
      </w:r>
    </w:p>
    <w:p w:rsidR="000369FD" w:rsidRPr="004C5C0E" w:rsidRDefault="000369FD" w:rsidP="000369FD">
      <w:pPr>
        <w:numPr>
          <w:ilvl w:val="0"/>
          <w:numId w:val="10"/>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A reliance on a specific safeguard for services supplied “in the exercise of governmental authority”.</w:t>
      </w:r>
    </w:p>
    <w:p w:rsidR="000369FD" w:rsidRPr="004C5C0E" w:rsidRDefault="000369FD" w:rsidP="000369FD">
      <w:pPr>
        <w:numPr>
          <w:ilvl w:val="0"/>
          <w:numId w:val="10"/>
        </w:numPr>
        <w:spacing w:before="100" w:beforeAutospacing="1" w:after="100" w:afterAutospacing="1" w:line="240" w:lineRule="auto"/>
        <w:ind w:left="375"/>
        <w:jc w:val="both"/>
        <w:rPr>
          <w:rFonts w:ascii="Times New Roman" w:hAnsi="Times New Roman" w:cs="Times New Roman"/>
          <w:color w:val="FF0000"/>
          <w:sz w:val="24"/>
          <w:szCs w:val="24"/>
          <w:u w:val="single"/>
          <w:lang w:val="en-US"/>
        </w:rPr>
      </w:pPr>
      <w:r w:rsidRPr="004C5C0E">
        <w:rPr>
          <w:rFonts w:ascii="Times New Roman" w:hAnsi="Times New Roman" w:cs="Times New Roman"/>
          <w:color w:val="FF0000"/>
          <w:sz w:val="24"/>
          <w:szCs w:val="24"/>
          <w:u w:val="single"/>
          <w:lang w:val="en-US"/>
        </w:rPr>
        <w:t>The exclusion of commitments on publicly-funded services from the agreement, or specific reservations protecting them.</w:t>
      </w:r>
    </w:p>
    <w:p w:rsidR="000369FD" w:rsidRPr="00910A29" w:rsidRDefault="000369FD" w:rsidP="000369FD">
      <w:pPr>
        <w:pStyle w:val="NormalWeb"/>
        <w:jc w:val="both"/>
        <w:rPr>
          <w:lang w:val="en-US"/>
        </w:rPr>
      </w:pPr>
      <w:r w:rsidRPr="00910A29">
        <w:rPr>
          <w:lang w:val="en-US"/>
        </w:rPr>
        <w:t>An examina</w:t>
      </w:r>
      <w:r>
        <w:rPr>
          <w:lang w:val="en-US"/>
        </w:rPr>
        <w:t>tion of the available evidence -</w:t>
      </w:r>
      <w:r w:rsidRPr="00910A29">
        <w:rPr>
          <w:lang w:val="en-US"/>
        </w:rPr>
        <w:t>including the EU’s leaked</w:t>
      </w:r>
      <w:r>
        <w:rPr>
          <w:lang w:val="en-US"/>
        </w:rPr>
        <w:t xml:space="preserve"> TTIP draft market access offer-</w:t>
      </w:r>
      <w:r w:rsidRPr="00910A29">
        <w:rPr>
          <w:lang w:val="en-US"/>
        </w:rPr>
        <w:t xml:space="preserve"> does not suggest that TTIP, as it is currently envisaged, would legitimate wholescale privatisation or marketisation of public services. But at the same time the protections mentioned by the Commission in its letter are not as water-tight as they are presented, for the following reasons:</w:t>
      </w:r>
    </w:p>
    <w:p w:rsidR="000369FD" w:rsidRPr="00910A29" w:rsidRDefault="000369FD" w:rsidP="000369FD">
      <w:pPr>
        <w:numPr>
          <w:ilvl w:val="0"/>
          <w:numId w:val="11"/>
        </w:numPr>
        <w:spacing w:before="100" w:beforeAutospacing="1" w:after="100" w:afterAutospacing="1" w:line="240" w:lineRule="auto"/>
        <w:ind w:left="375"/>
        <w:jc w:val="both"/>
        <w:rPr>
          <w:rFonts w:ascii="Times New Roman" w:hAnsi="Times New Roman" w:cs="Times New Roman"/>
          <w:sz w:val="24"/>
          <w:szCs w:val="24"/>
          <w:lang w:val="en-US"/>
        </w:rPr>
      </w:pPr>
      <w:r w:rsidRPr="00910A29">
        <w:rPr>
          <w:rFonts w:ascii="Times New Roman" w:hAnsi="Times New Roman" w:cs="Times New Roman"/>
          <w:sz w:val="24"/>
          <w:szCs w:val="24"/>
          <w:lang w:val="en-US"/>
        </w:rPr>
        <w:t>As Table 1 illustrates for health and education services, the EU has made a number of commitments to services liberalisation. While most of these are limited to privately-funded services, for medical and dental services and a number of other health services these extend to publicly-funded services. Moreover, arguably the distinction between publicly- and privately-funded services is open to considerable interpretation and therefore does not provide a clear exemption. Ultimately, a lot depends on whether the Member States enter appropriate reservations to protect their public services, which they may not wish to do, with the default option (especially if a more encompassing negative list approach is used) being liberalisation.</w:t>
      </w:r>
    </w:p>
    <w:p w:rsidR="000369FD" w:rsidRPr="00910A29" w:rsidRDefault="000369FD" w:rsidP="000369FD">
      <w:pPr>
        <w:numPr>
          <w:ilvl w:val="0"/>
          <w:numId w:val="11"/>
        </w:numPr>
        <w:spacing w:before="100" w:beforeAutospacing="1" w:after="100" w:afterAutospacing="1" w:line="240" w:lineRule="auto"/>
        <w:ind w:left="375"/>
        <w:jc w:val="both"/>
        <w:rPr>
          <w:rFonts w:ascii="Times New Roman" w:hAnsi="Times New Roman" w:cs="Times New Roman"/>
          <w:sz w:val="24"/>
          <w:szCs w:val="24"/>
          <w:lang w:val="en-US"/>
        </w:rPr>
      </w:pPr>
      <w:r w:rsidRPr="00910A29">
        <w:rPr>
          <w:rFonts w:ascii="Times New Roman" w:hAnsi="Times New Roman" w:cs="Times New Roman"/>
          <w:sz w:val="24"/>
          <w:szCs w:val="24"/>
          <w:lang w:val="en-US"/>
        </w:rPr>
        <w:t>A similar problem relates to the Commission’s invocation of a general safeguard for public services supp</w:t>
      </w:r>
      <w:r>
        <w:rPr>
          <w:rFonts w:ascii="Times New Roman" w:hAnsi="Times New Roman" w:cs="Times New Roman"/>
          <w:sz w:val="24"/>
          <w:szCs w:val="24"/>
          <w:lang w:val="en-US"/>
        </w:rPr>
        <w:t>lied “</w:t>
      </w:r>
      <w:r w:rsidRPr="00910A29">
        <w:rPr>
          <w:rFonts w:ascii="Times New Roman" w:hAnsi="Times New Roman" w:cs="Times New Roman"/>
          <w:sz w:val="24"/>
          <w:szCs w:val="24"/>
          <w:lang w:val="en-US"/>
        </w:rPr>
        <w:t>in the e</w:t>
      </w:r>
      <w:r>
        <w:rPr>
          <w:rFonts w:ascii="Times New Roman" w:hAnsi="Times New Roman" w:cs="Times New Roman"/>
          <w:sz w:val="24"/>
          <w:szCs w:val="24"/>
          <w:lang w:val="en-US"/>
        </w:rPr>
        <w:t>xercise of government authority”</w:t>
      </w:r>
      <w:r w:rsidRPr="00910A29">
        <w:rPr>
          <w:rFonts w:ascii="Times New Roman" w:hAnsi="Times New Roman" w:cs="Times New Roman"/>
          <w:sz w:val="24"/>
          <w:szCs w:val="24"/>
          <w:lang w:val="en-US"/>
        </w:rPr>
        <w:t xml:space="preserve">. Such clauses have generally been interpreted in quite a </w:t>
      </w:r>
      <w:r>
        <w:rPr>
          <w:rFonts w:ascii="Times New Roman" w:hAnsi="Times New Roman" w:cs="Times New Roman"/>
          <w:sz w:val="24"/>
          <w:szCs w:val="24"/>
          <w:lang w:val="en-US"/>
        </w:rPr>
        <w:t>narrow light to only cover the “core sovereign functions”</w:t>
      </w:r>
      <w:r w:rsidRPr="00910A29">
        <w:rPr>
          <w:rFonts w:ascii="Times New Roman" w:hAnsi="Times New Roman" w:cs="Times New Roman"/>
          <w:sz w:val="24"/>
          <w:szCs w:val="24"/>
          <w:lang w:val="en-US"/>
        </w:rPr>
        <w:t xml:space="preserve"> of states. Indeed, the GATS explicitly ex</w:t>
      </w:r>
      <w:r>
        <w:rPr>
          <w:rFonts w:ascii="Times New Roman" w:hAnsi="Times New Roman" w:cs="Times New Roman"/>
          <w:sz w:val="24"/>
          <w:szCs w:val="24"/>
          <w:lang w:val="en-US"/>
        </w:rPr>
        <w:t>cludes those services supplied “</w:t>
      </w:r>
      <w:r w:rsidRPr="00910A29">
        <w:rPr>
          <w:rFonts w:ascii="Times New Roman" w:hAnsi="Times New Roman" w:cs="Times New Roman"/>
          <w:sz w:val="24"/>
          <w:szCs w:val="24"/>
          <w:lang w:val="en-US"/>
        </w:rPr>
        <w:t>on a commercial basis</w:t>
      </w:r>
      <w:r>
        <w:rPr>
          <w:rFonts w:ascii="Times New Roman" w:hAnsi="Times New Roman" w:cs="Times New Roman"/>
          <w:sz w:val="24"/>
          <w:szCs w:val="24"/>
          <w:lang w:val="en-US"/>
        </w:rPr>
        <w:t>” or in “</w:t>
      </w:r>
      <w:r w:rsidRPr="00910A29">
        <w:rPr>
          <w:rFonts w:ascii="Times New Roman" w:hAnsi="Times New Roman" w:cs="Times New Roman"/>
          <w:sz w:val="24"/>
          <w:szCs w:val="24"/>
          <w:lang w:val="en-US"/>
        </w:rPr>
        <w:t>competition wit</w:t>
      </w:r>
      <w:r>
        <w:rPr>
          <w:rFonts w:ascii="Times New Roman" w:hAnsi="Times New Roman" w:cs="Times New Roman"/>
          <w:sz w:val="24"/>
          <w:szCs w:val="24"/>
          <w:lang w:val="en-US"/>
        </w:rPr>
        <w:t>h one or more service suppliers”</w:t>
      </w:r>
      <w:r w:rsidRPr="00910A29">
        <w:rPr>
          <w:rFonts w:ascii="Times New Roman" w:hAnsi="Times New Roman" w:cs="Times New Roman"/>
          <w:sz w:val="24"/>
          <w:szCs w:val="24"/>
          <w:lang w:val="en-US"/>
        </w:rPr>
        <w:t>, which may be inappropriate for public services subjected to competitive tendering.</w:t>
      </w:r>
    </w:p>
    <w:p w:rsidR="000369FD" w:rsidRDefault="000369FD" w:rsidP="000369FD">
      <w:pPr>
        <w:numPr>
          <w:ilvl w:val="0"/>
          <w:numId w:val="11"/>
        </w:numPr>
        <w:spacing w:before="100" w:beforeAutospacing="1" w:after="100" w:afterAutospacing="1" w:line="240" w:lineRule="auto"/>
        <w:ind w:left="375"/>
        <w:jc w:val="both"/>
        <w:rPr>
          <w:rFonts w:ascii="Times New Roman" w:hAnsi="Times New Roman" w:cs="Times New Roman"/>
          <w:sz w:val="24"/>
          <w:szCs w:val="24"/>
          <w:lang w:val="en-US"/>
        </w:rPr>
      </w:pPr>
      <w:r w:rsidRPr="00910A29">
        <w:rPr>
          <w:rFonts w:ascii="Times New Roman" w:hAnsi="Times New Roman" w:cs="Times New Roman"/>
          <w:sz w:val="24"/>
          <w:szCs w:val="24"/>
          <w:lang w:val="en-US"/>
        </w:rPr>
        <w:t xml:space="preserve">As many of the liberalisation commitments reviewed in Figure 1 cover mode 3 service delivery (ie, the establishment of a service supplier), any suppliers entering (or </w:t>
      </w:r>
      <w:r w:rsidRPr="00910A29">
        <w:rPr>
          <w:rFonts w:ascii="Times New Roman" w:hAnsi="Times New Roman" w:cs="Times New Roman"/>
          <w:sz w:val="24"/>
          <w:szCs w:val="24"/>
          <w:lang w:val="en-US"/>
        </w:rPr>
        <w:lastRenderedPageBreak/>
        <w:t>already in) the EU market would fall under the purview of TTIP’s potential investor protection provisions.</w:t>
      </w:r>
    </w:p>
    <w:p w:rsidR="000369FD" w:rsidRDefault="000369FD" w:rsidP="000369FD">
      <w:pPr>
        <w:pStyle w:val="NormalWeb"/>
        <w:jc w:val="both"/>
        <w:rPr>
          <w:lang w:val="en-US"/>
        </w:rPr>
      </w:pPr>
      <w:r w:rsidRPr="00910A29">
        <w:rPr>
          <w:lang w:val="en-US"/>
        </w:rPr>
        <w:t xml:space="preserve">The assessment provided here is naturally still tentative and based on limited documentation. That said, it suggests that, despite ensuring some carve-outs from the competitive disciplines of trade liberalisation, the current approach to public services in TTIP leaves considerable ambiguity in the interpretation of exemptions for such public services as healthcare and education. It ultimately relies on Member States to make all the appropriate reservations (which they may well chose not to do if they wish to lock-in the liberalisation of their public services, as the UK government is being accused of doing). In this vein, </w:t>
      </w:r>
      <w:r>
        <w:rPr>
          <w:lang w:val="en-US"/>
        </w:rPr>
        <w:t>it is interesting to note that -</w:t>
      </w:r>
      <w:r w:rsidRPr="00910A29">
        <w:rPr>
          <w:lang w:val="en-US"/>
        </w:rPr>
        <w:t>in contrast to the approach tak</w:t>
      </w:r>
      <w:r>
        <w:rPr>
          <w:lang w:val="en-US"/>
        </w:rPr>
        <w:t>en for healthcare and education-</w:t>
      </w:r>
      <w:r w:rsidRPr="00910A29">
        <w:rPr>
          <w:lang w:val="en-US"/>
        </w:rPr>
        <w:t xml:space="preserve"> France successfully pushed for the complete exclusion of the sensitive area of audio-visual services. It remains of course to be seen whether negotiators will not be forced to change their approach in the face of public pressure (which is mounting). But as it stands, their approach has focused on offering the (somewhat flawed) reassurances noted above.</w:t>
      </w:r>
    </w:p>
    <w:p w:rsidR="000369FD" w:rsidRPr="00910A29" w:rsidRDefault="000369FD" w:rsidP="000369FD">
      <w:pPr>
        <w:pStyle w:val="NormalWeb"/>
        <w:jc w:val="both"/>
        <w:rPr>
          <w:lang w:val="en-US"/>
        </w:rPr>
      </w:pPr>
    </w:p>
    <w:p w:rsidR="000369FD" w:rsidRDefault="000369FD" w:rsidP="000369FD">
      <w:pPr>
        <w:pStyle w:val="NormalWeb"/>
        <w:jc w:val="both"/>
        <w:rPr>
          <w:rStyle w:val="Textoennegrita"/>
          <w:lang w:val="en-US"/>
        </w:rPr>
      </w:pPr>
      <w:r w:rsidRPr="00910A29">
        <w:rPr>
          <w:rStyle w:val="Textoennegrita"/>
          <w:lang w:val="en-US"/>
        </w:rPr>
        <w:t>Table 1. Draft EU market access offer in health and education services in TTIP negotiations</w:t>
      </w:r>
    </w:p>
    <w:p w:rsidR="000369FD" w:rsidRPr="00910A29" w:rsidRDefault="000369FD" w:rsidP="000369FD">
      <w:pPr>
        <w:pStyle w:val="NormalWeb"/>
        <w:jc w:val="both"/>
        <w:rPr>
          <w:lang w:val="en-US"/>
        </w:rPr>
      </w:pPr>
      <w:r w:rsidRPr="00910A29">
        <w:rPr>
          <w:lang w:val="en-US"/>
        </w:rPr>
        <w:br/>
      </w:r>
      <w:r w:rsidRPr="00910A29">
        <w:rPr>
          <w:noProof/>
        </w:rPr>
        <w:drawing>
          <wp:inline distT="0" distB="0" distL="0" distR="0" wp14:anchorId="7DEF1CEB" wp14:editId="59357076">
            <wp:extent cx="5638800" cy="4762500"/>
            <wp:effectExtent l="0" t="0" r="0" b="0"/>
            <wp:docPr id="8" name="Imagen 8" descr="EU market access offer in health and education services in TTIP &#10;negoti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U market access offer in health and education services in TTIP &#10;negotiations"/>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638800" cy="4762500"/>
                    </a:xfrm>
                    <a:prstGeom prst="rect">
                      <a:avLst/>
                    </a:prstGeom>
                    <a:noFill/>
                    <a:ln>
                      <a:noFill/>
                    </a:ln>
                  </pic:spPr>
                </pic:pic>
              </a:graphicData>
            </a:graphic>
          </wp:inline>
        </w:drawing>
      </w:r>
      <w:r w:rsidRPr="00910A29">
        <w:rPr>
          <w:lang w:val="en-US"/>
        </w:rPr>
        <w:br/>
        <w:t>Sources: leaked draft EU market access offer in TTIP negotiations.</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lastRenderedPageBreak/>
        <w:t>The assessment provided here is naturally still tentative and based on limited documentation. That said, it suggests that, despite ensuring some carve-outs from the competitive disciplines of trade liberalisation, the current approach to public services in TTIP leaves considerable ambiguity in the interpretation of exemptions for such public services as healthcare and education. It ultimately relies on Member States to make all the appropriate reservations (which they may well chose not to do if they wish to lock-in the liberalisation of their public services, as the UK government is being accused of doing). In this vein, it is interest</w:t>
      </w:r>
      <w:r>
        <w:rPr>
          <w:lang w:val="en-US"/>
        </w:rPr>
        <w:t>ing to note that -</w:t>
      </w:r>
      <w:r w:rsidRPr="00910A29">
        <w:rPr>
          <w:lang w:val="en-US"/>
        </w:rPr>
        <w:t>in contrast to the approach tak</w:t>
      </w:r>
      <w:r>
        <w:rPr>
          <w:lang w:val="en-US"/>
        </w:rPr>
        <w:t>en for healthcare and education-</w:t>
      </w:r>
      <w:r w:rsidRPr="00910A29">
        <w:rPr>
          <w:lang w:val="en-US"/>
        </w:rPr>
        <w:t xml:space="preserve"> France successfully pushed for the complete exclusion of the sensitive area of audio-visual services. It remains of course to be seen whether negotiators will not be forced to change their approach in the face of public pressure (which is mounting). But as it stands, their approach has focused on offering the (somewhat flawed) reassurances noted above.</w:t>
      </w:r>
    </w:p>
    <w:p w:rsidR="000369FD" w:rsidRPr="00910A29" w:rsidRDefault="000369FD" w:rsidP="000369FD">
      <w:pPr>
        <w:pStyle w:val="NormalWeb"/>
        <w:jc w:val="both"/>
        <w:rPr>
          <w:lang w:val="en-US"/>
        </w:rPr>
      </w:pPr>
    </w:p>
    <w:p w:rsidR="000369FD" w:rsidRPr="00910A29" w:rsidRDefault="000369FD" w:rsidP="000369FD">
      <w:pPr>
        <w:pStyle w:val="NormalWeb"/>
        <w:jc w:val="both"/>
        <w:rPr>
          <w:rStyle w:val="nfasis"/>
          <w:lang w:val="en-US"/>
        </w:rPr>
      </w:pPr>
      <w:r w:rsidRPr="00910A29">
        <w:rPr>
          <w:rStyle w:val="nfasis"/>
          <w:lang w:val="en-US"/>
        </w:rPr>
        <w:t>Food safety: diluting the precautionary principle?</w:t>
      </w:r>
    </w:p>
    <w:p w:rsidR="000369FD" w:rsidRPr="00910A29" w:rsidRDefault="000369FD" w:rsidP="000369FD">
      <w:pPr>
        <w:pStyle w:val="NormalWeb"/>
        <w:jc w:val="both"/>
        <w:rPr>
          <w:lang w:val="en-US"/>
        </w:rPr>
      </w:pPr>
      <w:r w:rsidRPr="00910A29">
        <w:rPr>
          <w:lang w:val="en-US"/>
        </w:rPr>
        <w:br/>
        <w:t>The impact of TTIP on food safety has been another issue to hit the headlines. There has been much talk of the agreement leading to a reduction in EU standards, with genetically modified (GM) foods, chlorinated chicken and beef hormones (amongst other examples) being commonly cited as foods that will make their way into European markets (where they are currently banned/severely restricted). The Commission, for its pa</w:t>
      </w:r>
      <w:r>
        <w:rPr>
          <w:lang w:val="en-US"/>
        </w:rPr>
        <w:t>rt, has strongly asserted that “</w:t>
      </w:r>
      <w:r w:rsidRPr="00910A29">
        <w:rPr>
          <w:lang w:val="en-US"/>
        </w:rPr>
        <w:t>that EU law on hormone beef and genetically modified foods won’t change as a resul</w:t>
      </w:r>
      <w:r>
        <w:rPr>
          <w:lang w:val="en-US"/>
        </w:rPr>
        <w:t>t of this deal”</w:t>
      </w:r>
      <w:r w:rsidRPr="00910A29">
        <w:rPr>
          <w:lang w:val="en-US"/>
        </w:rPr>
        <w:t>.</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 xml:space="preserve">Critics argue that, given pressure from US negotiators and agribusiness, TTIP will significantly downgrade the EU’s more stringent approach to risk regulation in this domain, which is based on the precautionary principle. This is the notion that the EU will take regulatory action on a preventative basis even in the absence of a clear and scientifically-proven risk (and thus focuses on regulating the </w:t>
      </w:r>
      <w:r w:rsidRPr="00910A29">
        <w:rPr>
          <w:rStyle w:val="nfasis"/>
          <w:lang w:val="en-US"/>
        </w:rPr>
        <w:t>process</w:t>
      </w:r>
      <w:r w:rsidRPr="00910A29">
        <w:rPr>
          <w:lang w:val="en-US"/>
        </w:rPr>
        <w:t xml:space="preserve"> of food production rather than just the final product). In contrast, so the argument goes, th</w:t>
      </w:r>
      <w:r>
        <w:rPr>
          <w:lang w:val="en-US"/>
        </w:rPr>
        <w:t>e US largely adopts a more lax “science-based”</w:t>
      </w:r>
      <w:r w:rsidRPr="00910A29">
        <w:rPr>
          <w:lang w:val="en-US"/>
        </w:rPr>
        <w:t xml:space="preserve"> model of risk management where foods (and other risks) are exclusively regulated on the basis of such proven risks (and is thus focused on regulating the </w:t>
      </w:r>
      <w:r w:rsidRPr="00910A29">
        <w:rPr>
          <w:rStyle w:val="nfasis"/>
          <w:lang w:val="en-US"/>
        </w:rPr>
        <w:t>product</w:t>
      </w:r>
      <w:r w:rsidRPr="00910A29">
        <w:rPr>
          <w:lang w:val="en-US"/>
        </w:rPr>
        <w:t xml:space="preserve"> rather than the food production </w:t>
      </w:r>
      <w:r w:rsidRPr="00910A29">
        <w:rPr>
          <w:rStyle w:val="nfasis"/>
          <w:lang w:val="en-US"/>
        </w:rPr>
        <w:t>process</w:t>
      </w:r>
      <w:r w:rsidRPr="00910A29">
        <w:rPr>
          <w:lang w:val="en-US"/>
        </w:rPr>
        <w:t xml:space="preserve">). We should of course avoid falling into the trap of caricaturing EU and the US approaches to risk regulation as </w:t>
      </w:r>
      <w:r w:rsidRPr="00910A29">
        <w:rPr>
          <w:rStyle w:val="nfasis"/>
          <w:lang w:val="en-US"/>
        </w:rPr>
        <w:t>inherently</w:t>
      </w:r>
      <w:r>
        <w:rPr>
          <w:lang w:val="en-US"/>
        </w:rPr>
        <w:t xml:space="preserve"> precautionary or “science-based”</w:t>
      </w:r>
      <w:r w:rsidRPr="00910A29">
        <w:rPr>
          <w:lang w:val="en-US"/>
        </w:rPr>
        <w:t xml:space="preserve"> as there are some differences across policy domains and time. But, it is probably fair to say that on the whole, the EU’s approach to risk management these days is more precautionary than that of the US, and especially so in food safety. </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 xml:space="preserve">That being </w:t>
      </w:r>
      <w:r>
        <w:rPr>
          <w:lang w:val="en-US"/>
        </w:rPr>
        <w:t>said, a wholesale deregulatory “big bang”</w:t>
      </w:r>
      <w:r w:rsidRPr="00910A29">
        <w:rPr>
          <w:lang w:val="en-US"/>
        </w:rPr>
        <w:t xml:space="preserve"> is not likely to result from TTIP in this domain. The precautionary approach to food safety regulation is quite institutionally entrenched in the EU, with multiple veto points constraining the ability o</w:t>
      </w:r>
      <w:r>
        <w:rPr>
          <w:lang w:val="en-US"/>
        </w:rPr>
        <w:t>f the Commission to adopt more “science-based”</w:t>
      </w:r>
      <w:r w:rsidRPr="00910A29">
        <w:rPr>
          <w:lang w:val="en-US"/>
        </w:rPr>
        <w:t xml:space="preserve"> methods into its risk management practices. Genetically modified organisms (GMOs) are a case in point. Despite repeated attempts by the Commission to facilitate the approval of new varieties for sale and cultivation in the EU, Member States have successfully blocked the approval of all but a handful of GMO crops. Previous attempts at transatlantic cooperation in this domain also saw EU regulators see eye-to-eye with their US counterp</w:t>
      </w:r>
      <w:r>
        <w:rPr>
          <w:lang w:val="en-US"/>
        </w:rPr>
        <w:t>arts on the need to adopt more “science-based”</w:t>
      </w:r>
      <w:r w:rsidRPr="00910A29">
        <w:rPr>
          <w:lang w:val="en-US"/>
        </w:rPr>
        <w:t xml:space="preserve"> procedures, only to face opposition at home from civil society groups and Member States.</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Critics, however, are right to note that under TTIP there has been considerable pre</w:t>
      </w:r>
      <w:r>
        <w:rPr>
          <w:lang w:val="en-US"/>
        </w:rPr>
        <w:t>ssure to move the EU to a more “science-based approach”</w:t>
      </w:r>
      <w:r w:rsidRPr="00910A29">
        <w:rPr>
          <w:lang w:val="en-US"/>
        </w:rPr>
        <w:t xml:space="preserve"> in risk management for food safety. Not only has this been stated explicitly by the US Secretary of Agriculture, Tom Vilsack, but even the (soon to be former) Trade Commissioner Karel De Gucht has expressed sympathy with this view. Indeed, two key scholars</w:t>
      </w:r>
      <w:r>
        <w:rPr>
          <w:lang w:val="en-US"/>
        </w:rPr>
        <w:t xml:space="preserve"> of the EU-US GMO dispute show “</w:t>
      </w:r>
      <w:r w:rsidRPr="00910A29">
        <w:rPr>
          <w:lang w:val="en-US"/>
        </w:rPr>
        <w:t>the Commission consistently attempting to use international pressures to secure reforms to</w:t>
      </w:r>
      <w:r>
        <w:rPr>
          <w:lang w:val="en-US"/>
        </w:rPr>
        <w:t xml:space="preserve"> domestic European legislation (on GMOs)”</w:t>
      </w:r>
      <w:r w:rsidRPr="00910A29">
        <w:rPr>
          <w:lang w:val="en-US"/>
        </w:rPr>
        <w:t>.</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The leaked draft text of the Sanitary and Phytosanitary (SPS) measures chapter of TTIP</w:t>
      </w:r>
      <w:bookmarkStart w:id="4" w:name="_ftnref27"/>
      <w:r w:rsidRPr="00910A29">
        <w:rPr>
          <w:lang w:val="en-US"/>
        </w:rPr>
        <w:t xml:space="preserve"> </w:t>
      </w:r>
      <w:bookmarkEnd w:id="4"/>
      <w:r>
        <w:rPr>
          <w:lang w:val="en-US"/>
        </w:rPr>
        <w:t xml:space="preserve"> -</w:t>
      </w:r>
      <w:r w:rsidRPr="00910A29">
        <w:rPr>
          <w:lang w:val="en-US"/>
        </w:rPr>
        <w:t>while still incomplete, containing numerous bracketed provisions, and highlighting considerable ambiguities (for example, as</w:t>
      </w:r>
      <w:r>
        <w:rPr>
          <w:lang w:val="en-US"/>
        </w:rPr>
        <w:t xml:space="preserve"> with investor protection, the “right to regulate”</w:t>
      </w:r>
      <w:r w:rsidRPr="00910A29">
        <w:rPr>
          <w:lang w:val="en-US"/>
        </w:rPr>
        <w:t xml:space="preserve"> is mentioned in the cover n</w:t>
      </w:r>
      <w:r>
        <w:rPr>
          <w:lang w:val="en-US"/>
        </w:rPr>
        <w:t>ote but not in the text itself)-</w:t>
      </w:r>
      <w:r w:rsidRPr="00910A29">
        <w:rPr>
          <w:lang w:val="en-US"/>
        </w:rPr>
        <w:t xml:space="preserve"> does suggest that there is a move towards greater mutual recognition. As criticised by the Institute for Agriculture and Trade Policy (IATP), it proposes eliminating port of entry re-inspection and testing for food products where standards are considered equivalent, even though such re-testing is a common feature of EU food safety risk management. IATP cites the case of seafood shipments into the EU from countries with equivalent standards, of which the Commission mandated that 20% of be re-tested in 2012.</w:t>
      </w:r>
    </w:p>
    <w:p w:rsidR="000369FD" w:rsidRPr="00910A29" w:rsidRDefault="000369FD" w:rsidP="000369FD">
      <w:pPr>
        <w:pStyle w:val="NormalWeb"/>
        <w:jc w:val="both"/>
        <w:rPr>
          <w:lang w:val="en-US"/>
        </w:rPr>
      </w:pPr>
    </w:p>
    <w:p w:rsidR="000369FD" w:rsidRPr="00910A29" w:rsidRDefault="000369FD" w:rsidP="000369FD">
      <w:pPr>
        <w:pStyle w:val="NormalWeb"/>
        <w:jc w:val="both"/>
        <w:rPr>
          <w:lang w:val="en-US"/>
        </w:rPr>
      </w:pPr>
      <w:r w:rsidRPr="00910A29">
        <w:rPr>
          <w:lang w:val="en-US"/>
        </w:rPr>
        <w:t>So, all in all, in the area of food safety TTIP is not likely to lead to blanket deregulation, but there is certainly some downward pressure on standards. This, moreover, would not require a wholescale rewriting of EU food safety regulations, as the Commission repeatedly assures TTIP will not do, but rather could be achieved via an increased mutual recognition of standards.</w:t>
      </w:r>
    </w:p>
    <w:p w:rsidR="000369FD" w:rsidRPr="00910A29" w:rsidRDefault="000369FD" w:rsidP="000369FD">
      <w:pPr>
        <w:pStyle w:val="NormalWeb"/>
        <w:jc w:val="both"/>
        <w:rPr>
          <w:lang w:val="en-US"/>
        </w:rPr>
      </w:pPr>
    </w:p>
    <w:p w:rsidR="000369FD" w:rsidRPr="00F74065" w:rsidRDefault="000369FD" w:rsidP="000369FD">
      <w:pPr>
        <w:pStyle w:val="NormalWeb"/>
        <w:jc w:val="both"/>
        <w:rPr>
          <w:rStyle w:val="Textoennegrita"/>
          <w:b/>
          <w:lang w:val="en-US"/>
        </w:rPr>
      </w:pPr>
      <w:r w:rsidRPr="00F74065">
        <w:rPr>
          <w:rStyle w:val="Textoennegrita"/>
          <w:b/>
          <w:lang w:val="en-US"/>
        </w:rPr>
        <w:t>Conclusions</w:t>
      </w:r>
    </w:p>
    <w:p w:rsidR="000369FD" w:rsidRPr="00910A29" w:rsidRDefault="000369FD" w:rsidP="000369FD">
      <w:pPr>
        <w:pStyle w:val="NormalWeb"/>
        <w:jc w:val="both"/>
        <w:rPr>
          <w:lang w:val="en-US"/>
        </w:rPr>
      </w:pPr>
    </w:p>
    <w:p w:rsidR="000369FD" w:rsidRPr="00910A29" w:rsidRDefault="000369FD" w:rsidP="000369FD">
      <w:pPr>
        <w:pStyle w:val="NormalWeb"/>
        <w:jc w:val="both"/>
        <w:rPr>
          <w:rStyle w:val="nfasis"/>
          <w:lang w:val="en-US"/>
        </w:rPr>
      </w:pPr>
      <w:r w:rsidRPr="00910A29">
        <w:rPr>
          <w:rStyle w:val="nfasis"/>
          <w:lang w:val="en-US"/>
        </w:rPr>
        <w:t>TTIP as</w:t>
      </w:r>
      <w:r>
        <w:rPr>
          <w:rStyle w:val="nfasis"/>
          <w:lang w:val="en-US"/>
        </w:rPr>
        <w:t xml:space="preserve"> a “living agreement”</w:t>
      </w:r>
      <w:r w:rsidRPr="00910A29">
        <w:rPr>
          <w:rStyle w:val="nfasis"/>
          <w:lang w:val="en-US"/>
        </w:rPr>
        <w:t>?</w:t>
      </w:r>
    </w:p>
    <w:p w:rsidR="000369FD" w:rsidRPr="004C5C0E" w:rsidRDefault="000369FD" w:rsidP="000369FD">
      <w:pPr>
        <w:pStyle w:val="NormalWeb"/>
        <w:jc w:val="both"/>
        <w:rPr>
          <w:color w:val="FF0000"/>
          <w:u w:val="single"/>
          <w:lang w:val="en-US"/>
        </w:rPr>
      </w:pPr>
      <w:r w:rsidRPr="00910A29">
        <w:rPr>
          <w:lang w:val="en-US"/>
        </w:rPr>
        <w:br/>
      </w:r>
      <w:r w:rsidRPr="004C5C0E">
        <w:rPr>
          <w:color w:val="FF0000"/>
          <w:u w:val="single"/>
          <w:lang w:val="en-US"/>
        </w:rPr>
        <w:t xml:space="preserve">Having considered the available evidence on TTIP’s regulatory impact my conclusion is that it is unlikely to lead to a large, deregulatory “big bang”. The investor protection provisions being considered offer some protections for states regulating in the public interests, public services are not exposed to wholesale liberalisation and the EU’s relatively more stringent food safety standards appear to be institutionally entrenched. </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 xml:space="preserve">On this latter point, there is a whole history of less high-profile and more modest attempts at transatlantic regulatory convergence struggling to take off for similar reasons. For example, a series of </w:t>
      </w:r>
      <w:r w:rsidRPr="004C5C0E">
        <w:rPr>
          <w:rStyle w:val="nfasis"/>
          <w:color w:val="FF0000"/>
          <w:u w:val="single"/>
          <w:lang w:val="en-US"/>
        </w:rPr>
        <w:t>very limited</w:t>
      </w:r>
      <w:r w:rsidRPr="004C5C0E">
        <w:rPr>
          <w:color w:val="FF0000"/>
          <w:u w:val="single"/>
          <w:lang w:val="en-US"/>
        </w:rPr>
        <w:t xml:space="preserve"> mutual recognition agreements (MRAs) signed in 1997 were held up by US federal regulators zealous to preserve their regulatory autonomy. Reflecting on this past record of transatlantic cooperation, one prominent expert therefore wrote in 2005 that a “legally binding treaty or a fully-fledged transatlantic free trade agreement (…) are unlikely to be realised in the near future”.</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rStyle w:val="nfasis"/>
          <w:color w:val="FF0000"/>
          <w:u w:val="single"/>
          <w:lang w:val="en-US"/>
        </w:rPr>
        <w:t>That said</w:t>
      </w:r>
      <w:r w:rsidRPr="004C5C0E">
        <w:rPr>
          <w:color w:val="FF0000"/>
          <w:u w:val="single"/>
          <w:lang w:val="en-US"/>
        </w:rPr>
        <w:t xml:space="preserve">, the evidence also suggests that the agreement, as it is currently envisioned by European negotiators, is still likely to constrain regulatory autonomy through its investment provisions, provide insufficient protection for public services and lead to some downward pressure on standards in the area of food safety. The trend is to establish the primacy of the competitive discipline of trade liberalisation, simply seeking to carve out </w:t>
      </w:r>
      <w:r w:rsidRPr="004C5C0E">
        <w:rPr>
          <w:color w:val="FF0000"/>
          <w:u w:val="single"/>
          <w:lang w:val="en-US"/>
        </w:rPr>
        <w:lastRenderedPageBreak/>
        <w:t>regulatory exceptions. This, as we have seen above, is an approach that faces significant limitations.</w:t>
      </w:r>
    </w:p>
    <w:p w:rsidR="000369FD" w:rsidRPr="004C5C0E" w:rsidRDefault="000369FD" w:rsidP="000369FD">
      <w:pPr>
        <w:pStyle w:val="NormalWeb"/>
        <w:jc w:val="both"/>
        <w:rPr>
          <w:color w:val="FF0000"/>
          <w:u w:val="single"/>
          <w:lang w:val="en-US"/>
        </w:rPr>
      </w:pPr>
    </w:p>
    <w:p w:rsidR="000369FD" w:rsidRPr="004C5C0E" w:rsidRDefault="000369FD" w:rsidP="000369FD">
      <w:pPr>
        <w:pStyle w:val="NormalWeb"/>
        <w:jc w:val="both"/>
        <w:rPr>
          <w:color w:val="FF0000"/>
          <w:u w:val="single"/>
          <w:lang w:val="en-US"/>
        </w:rPr>
      </w:pPr>
      <w:r w:rsidRPr="004C5C0E">
        <w:rPr>
          <w:color w:val="FF0000"/>
          <w:u w:val="single"/>
          <w:lang w:val="en-US"/>
        </w:rPr>
        <w:t>In the light of these conclusions, which it should be stressed are based on assessing three specific policy areas, it is worth very briefly reflecting on a provision in TTIP which may have impact beyond its (eventual?) ratification. Even if very little is agreed, TTIP could still become a “living agreement” for the negotiation of regulatory barriers to trade. Negotiators envisage TTIP to contain a horizontal ‘regulatory coherence’ chapter, whose intention would be to provide a strengthened institutional context for regulators to discuss “any planned and existing regulatory measures of general application with significant (potential or actual) impact on international (and in particular transatlantic) trade”. While this is likely to be constrained for similar reasons to previous transatlantic deliberations between regulators, it certainly provides an important forum in which trade-related questions can be discussed away from the prying eyes surrounding the TTIP negotiations. The likely tenor of such discussions, judging by the evidence considered above, is likely to see non-competitive, public-interest driven public policymaking as the exception rather than the rule, with all the challenges raised above of ensuring appropriate regulatory “carve outs”.</w:t>
      </w:r>
    </w:p>
    <w:p w:rsidR="000369FD" w:rsidRPr="00910A29" w:rsidRDefault="000369FD" w:rsidP="000369FD">
      <w:pPr>
        <w:pStyle w:val="NormalWeb"/>
        <w:jc w:val="both"/>
        <w:rPr>
          <w:lang w:val="en-US"/>
        </w:rPr>
      </w:pPr>
    </w:p>
    <w:p w:rsidR="000369FD" w:rsidRDefault="000369FD" w:rsidP="000369FD">
      <w:pPr>
        <w:pStyle w:val="NormalWeb"/>
        <w:jc w:val="both"/>
        <w:rPr>
          <w:rStyle w:val="nfasis"/>
          <w:i w:val="0"/>
          <w:lang w:val="en-US"/>
        </w:rPr>
      </w:pPr>
      <w:r w:rsidRPr="00910A29">
        <w:rPr>
          <w:rStyle w:val="nfasis"/>
          <w:i w:val="0"/>
          <w:lang w:val="en-US"/>
        </w:rPr>
        <w:t>(Gabriel Siles-Brügge</w:t>
      </w:r>
      <w:r w:rsidRPr="00910A29">
        <w:rPr>
          <w:i/>
          <w:lang w:val="en-US"/>
        </w:rPr>
        <w:t xml:space="preserve"> </w:t>
      </w:r>
      <w:r w:rsidRPr="00910A29">
        <w:rPr>
          <w:rStyle w:val="nfasis"/>
          <w:i w:val="0"/>
          <w:lang w:val="en-US"/>
        </w:rPr>
        <w:t>PhD in Politics and Lecturer in Politics, University of Manchester)</w:t>
      </w:r>
    </w:p>
    <w:p w:rsidR="000369FD" w:rsidRDefault="000369FD" w:rsidP="000369FD">
      <w:pPr>
        <w:pStyle w:val="NormalWeb"/>
        <w:jc w:val="both"/>
        <w:rPr>
          <w:rStyle w:val="nfasis"/>
          <w:i w:val="0"/>
          <w:lang w:val="en-US"/>
        </w:rPr>
      </w:pPr>
    </w:p>
    <w:p w:rsidR="000369FD" w:rsidRDefault="000369FD" w:rsidP="000369FD">
      <w:pPr>
        <w:pStyle w:val="NormalWeb"/>
        <w:jc w:val="both"/>
      </w:pPr>
      <w:r w:rsidRPr="0081458D">
        <w:t xml:space="preserve">- </w:t>
      </w:r>
      <w:r>
        <w:rPr>
          <w:u w:val="single"/>
        </w:rPr>
        <w:t>EEUU</w:t>
      </w:r>
      <w:r w:rsidRPr="0081458D">
        <w:rPr>
          <w:u w:val="single"/>
        </w:rPr>
        <w:t>: ¿Qué queremos sacar de las negociaciones comerciales?</w:t>
      </w:r>
      <w:r>
        <w:t xml:space="preserve"> (elcato.org - </w:t>
      </w:r>
      <w:r w:rsidRPr="0081458D">
        <w:rPr>
          <w:b/>
        </w:rPr>
        <w:t>25/2/15</w:t>
      </w:r>
      <w:r>
        <w:t>)</w:t>
      </w:r>
    </w:p>
    <w:p w:rsidR="000369FD" w:rsidRDefault="000369FD" w:rsidP="000369FD">
      <w:pPr>
        <w:pStyle w:val="NormalWeb"/>
        <w:jc w:val="both"/>
      </w:pPr>
    </w:p>
    <w:p w:rsidR="000369FD" w:rsidRDefault="000369FD" w:rsidP="000369FD">
      <w:pPr>
        <w:pStyle w:val="NormalWeb"/>
        <w:jc w:val="both"/>
      </w:pPr>
      <w:r>
        <w:t>(Por Simon Lester)</w:t>
      </w:r>
    </w:p>
    <w:p w:rsidR="000369FD" w:rsidRPr="0081458D" w:rsidRDefault="000369FD" w:rsidP="000369FD">
      <w:pPr>
        <w:pStyle w:val="NormalWeb"/>
        <w:jc w:val="both"/>
      </w:pPr>
    </w:p>
    <w:p w:rsidR="000369FD" w:rsidRPr="004C5C0E" w:rsidRDefault="000369FD" w:rsidP="000369FD">
      <w:pPr>
        <w:pStyle w:val="NormalWeb"/>
        <w:jc w:val="both"/>
        <w:rPr>
          <w:u w:val="single"/>
        </w:rPr>
      </w:pPr>
      <w:r w:rsidRPr="004C5C0E">
        <w:rPr>
          <w:u w:val="single"/>
        </w:rPr>
        <w:t>Parece que 2015 podría ser un año determinante para las negociaciones comerciales de EEUU en la región del Pacífico y dentro de Europa.</w:t>
      </w:r>
    </w:p>
    <w:p w:rsidR="000369FD" w:rsidRPr="004C5C0E" w:rsidRDefault="000369FD" w:rsidP="000369FD">
      <w:pPr>
        <w:pStyle w:val="NormalWeb"/>
        <w:jc w:val="both"/>
        <w:rPr>
          <w:u w:val="single"/>
        </w:rPr>
      </w:pPr>
    </w:p>
    <w:p w:rsidR="000369FD" w:rsidRPr="0081458D" w:rsidRDefault="000369FD" w:rsidP="000369FD">
      <w:pPr>
        <w:pStyle w:val="NormalWeb"/>
        <w:jc w:val="both"/>
      </w:pPr>
      <w:r w:rsidRPr="004C5C0E">
        <w:rPr>
          <w:u w:val="single"/>
        </w:rPr>
        <w:t>Muchos observadores ven una ventana de oportunidad para completar estas iniciativas, antes de que la política presidencial de 2016 tome control de la agenda</w:t>
      </w:r>
      <w:r w:rsidRPr="0081458D">
        <w:t xml:space="preserve">. Detrás de la superficie, no obstante, y teniendo importantes implicaciones para el éxito de estas negociaciones, está un asunto fundamental que muchas veces es ignorado: </w:t>
      </w:r>
      <w:r w:rsidRPr="004C5C0E">
        <w:rPr>
          <w:color w:val="FF0000"/>
          <w:u w:val="single"/>
        </w:rPr>
        <w:t>¿Qué tipo de libre comercio deberíamos estar negociando?</w:t>
      </w:r>
      <w:r w:rsidRPr="004C5C0E">
        <w:rPr>
          <w:color w:val="FF0000"/>
        </w:rPr>
        <w:t xml:space="preserve"> </w:t>
      </w:r>
      <w:r w:rsidRPr="004C5C0E">
        <w:rPr>
          <w:color w:val="FF0000"/>
          <w:u w:val="single"/>
        </w:rPr>
        <w:t>En este sentido, cuando hablamos de libre comercio, ¿estamos simplemente hablando acerca de colocar límites al proteccionismo doméstico? O, ¿tenemos en mente una noción más amplia de un “mercado común”?</w:t>
      </w:r>
    </w:p>
    <w:p w:rsidR="000369FD" w:rsidRPr="0081458D" w:rsidRDefault="000369FD" w:rsidP="000369FD">
      <w:pPr>
        <w:pStyle w:val="NormalWeb"/>
        <w:jc w:val="both"/>
      </w:pPr>
    </w:p>
    <w:p w:rsidR="000369FD" w:rsidRPr="0081458D" w:rsidRDefault="000369FD" w:rsidP="000369FD">
      <w:pPr>
        <w:pStyle w:val="NormalWeb"/>
        <w:jc w:val="both"/>
      </w:pPr>
      <w:r w:rsidRPr="0081458D">
        <w:t>La distinción entre estos distintos tipos de libre comercio puede ser ilustrada por una ley de California que hace poco entró en efecto, requiriendo que todos los huevos vendidos en ese estado sean producidos de tal manera que sea menos perjudicial para los pollos que las actuales prácticas, dándole a los pollos más espacio para que se muevan en sus jaulas (el libre comercio no solo es un asunto internacional; también se da dentro de las naciones, y los distintos estados, también, pueden interferir con el libre comercio). Una implicación importante de esta ley es que los productores de huevos que provienen de otro estado incurrirán en costos significativos para adaptar sus facilidades a los estándares de California. De esta manera, la ley de California claramente interfiere con el c</w:t>
      </w:r>
      <w:r>
        <w:t>omercio entre los estados de EEUU</w:t>
      </w:r>
      <w:r w:rsidRPr="0081458D">
        <w:t>, considerando que impone costos nuevos a los productores que no son de California.</w:t>
      </w:r>
    </w:p>
    <w:p w:rsidR="000369FD" w:rsidRPr="0081458D" w:rsidRDefault="000369FD" w:rsidP="000369FD">
      <w:pPr>
        <w:pStyle w:val="NormalWeb"/>
        <w:jc w:val="both"/>
      </w:pPr>
    </w:p>
    <w:p w:rsidR="000369FD" w:rsidRPr="0081458D" w:rsidRDefault="000369FD" w:rsidP="000369FD">
      <w:pPr>
        <w:pStyle w:val="NormalWeb"/>
        <w:jc w:val="both"/>
      </w:pPr>
      <w:r w:rsidRPr="0081458D">
        <w:t xml:space="preserve">¿Significa esto que la interferencia viola el principio de libre comercio? Depende de lo que usted entienda por libre comercio. Si libre comercio significa que el gobierno no </w:t>
      </w:r>
      <w:r w:rsidRPr="0081458D">
        <w:lastRenderedPageBreak/>
        <w:t>puede favorecer de manera intencional sus propios productos por sobre aquellos que se producen fuera del estado o del país, entonces la ley de California no es un problema necesariamente. La ley de California claramente afecta el comercio, pero se aplica tanto a los productores californianos como aquellos que no provienen de California. De manera que, es difícil argumentar que esta ley es proteccionista.</w:t>
      </w:r>
    </w:p>
    <w:p w:rsidR="000369FD" w:rsidRPr="0081458D" w:rsidRDefault="000369FD" w:rsidP="000369FD">
      <w:pPr>
        <w:pStyle w:val="NormalWeb"/>
        <w:jc w:val="both"/>
      </w:pPr>
    </w:p>
    <w:p w:rsidR="000369FD" w:rsidRPr="0081458D" w:rsidRDefault="000369FD" w:rsidP="000369FD">
      <w:pPr>
        <w:pStyle w:val="NormalWeb"/>
        <w:jc w:val="both"/>
      </w:pPr>
      <w:r w:rsidRPr="0081458D">
        <w:t xml:space="preserve">Por otro lado, si el libre comercio significa un “mercado común” para que los productores vendan sus productos, entonces la ley de California si se aparta del libre comercio. Se puede argumentar que un producto fabricado legalmente y disponible a la venta en el mercado de un estado debería poder ser vendido en el mercado de cualquier otro estado. </w:t>
      </w:r>
    </w:p>
    <w:p w:rsidR="000369FD" w:rsidRPr="0081458D" w:rsidRDefault="000369FD" w:rsidP="000369FD">
      <w:pPr>
        <w:pStyle w:val="NormalWeb"/>
        <w:jc w:val="both"/>
      </w:pPr>
    </w:p>
    <w:p w:rsidR="000369FD" w:rsidRPr="00030FFF" w:rsidRDefault="000369FD" w:rsidP="000369FD">
      <w:pPr>
        <w:pStyle w:val="NormalWeb"/>
        <w:jc w:val="both"/>
        <w:rPr>
          <w:u w:val="single"/>
        </w:rPr>
      </w:pPr>
      <w:r w:rsidRPr="00030FFF">
        <w:rPr>
          <w:u w:val="single"/>
        </w:rPr>
        <w:t>Las implicaciones de estas concepciones rivales del libre comercio son muy distintas. Una concepción en contra del proteccionismo no interviene con la discreción de los gobiernos para hacer política pública. Los gobiernos pueden hacer lo que quieran, siempre y cuando no sean proteccionistas. En cambio, una concepción del “mercado común” es mucho más intrusiva. Con un mercado común, la capacidad de implementar políticas que difieren de aquellas que tienen los socios comerciales es considerablemente limitada.</w:t>
      </w:r>
    </w:p>
    <w:p w:rsidR="000369FD" w:rsidRPr="0081458D" w:rsidRDefault="000369FD" w:rsidP="000369FD">
      <w:pPr>
        <w:pStyle w:val="NormalWeb"/>
        <w:jc w:val="both"/>
      </w:pPr>
    </w:p>
    <w:p w:rsidR="000369FD" w:rsidRPr="0081458D" w:rsidRDefault="000369FD" w:rsidP="000369FD">
      <w:pPr>
        <w:pStyle w:val="NormalWeb"/>
        <w:jc w:val="both"/>
      </w:pPr>
      <w:r w:rsidRPr="00030FFF">
        <w:rPr>
          <w:color w:val="FF0000"/>
          <w:u w:val="single"/>
        </w:rPr>
        <w:t>Determinar cuál es la versión apropiada del libre comercio podría depender en parte de quién constituye el área de libre comercio - en particular, si esta es nacional o internacional. Dentro de EEUU y la Unión Europea (un estado supra-nacional), aunque hay brechas en las reglas, el comercio se supone que debe ser ilimitado entre los distintos estados. En general, si un producto se puede vender legalmente en un lugar, la gente debería poder venderlo en otros lugares también</w:t>
      </w:r>
      <w:r w:rsidRPr="0081458D">
        <w:t>. El asunto de las jaulas de los pollos en Calif</w:t>
      </w:r>
      <w:r>
        <w:t>ornia ilustra que incluso en EEUU</w:t>
      </w:r>
      <w:r w:rsidRPr="0081458D">
        <w:t>, no tenemos un mercado común perfecto, aunque la litigación puede que termine revocando la ley de California.</w:t>
      </w:r>
    </w:p>
    <w:p w:rsidR="000369FD" w:rsidRPr="0081458D" w:rsidRDefault="000369FD" w:rsidP="000369FD">
      <w:pPr>
        <w:pStyle w:val="NormalWeb"/>
        <w:jc w:val="both"/>
      </w:pPr>
    </w:p>
    <w:p w:rsidR="000369FD" w:rsidRPr="0081458D" w:rsidRDefault="000369FD" w:rsidP="000369FD">
      <w:pPr>
        <w:pStyle w:val="NormalWeb"/>
        <w:jc w:val="both"/>
      </w:pPr>
      <w:r w:rsidRPr="0081458D">
        <w:t>En cambio, en la Organización Mundial de Comercio, hay reglas que limitan las regulaciones de los Estados, pero no son ni remotamente así de ambiciosas. Es generalmente aceptado que no todas las diferencias regulatorias serán prohibidas por las obligaciones comerciales internacionales. Las reglas dejan espacio para distintos tipos de regulaciones.</w:t>
      </w:r>
    </w:p>
    <w:p w:rsidR="000369FD" w:rsidRPr="0081458D" w:rsidRDefault="000369FD" w:rsidP="000369FD">
      <w:pPr>
        <w:pStyle w:val="NormalWeb"/>
        <w:jc w:val="both"/>
      </w:pPr>
    </w:p>
    <w:p w:rsidR="000369FD" w:rsidRPr="00030FFF" w:rsidRDefault="000369FD" w:rsidP="000369FD">
      <w:pPr>
        <w:pStyle w:val="NormalWeb"/>
        <w:jc w:val="both"/>
        <w:rPr>
          <w:color w:val="FF0000"/>
          <w:u w:val="single"/>
        </w:rPr>
      </w:pPr>
      <w:r w:rsidRPr="00030FFF">
        <w:rPr>
          <w:color w:val="FF0000"/>
          <w:u w:val="single"/>
        </w:rPr>
        <w:t>Las distintas concepciones del libre comercio al nivel nacional e internacional son algo comprensible. Dentro de una nación, generalmente hay un nivel mayor de valores compartidos, así que podemos “confiar” en nuestras respectivas regulaciones. En cambio, entre naciones, hay una variación significativa en cómo pensamos acerca de las políticas regulatorias. Se requiere más discreción para que los Estados aborden esta cuestión de forma anómala.</w:t>
      </w:r>
    </w:p>
    <w:p w:rsidR="000369FD" w:rsidRPr="0081458D" w:rsidRDefault="000369FD" w:rsidP="000369FD">
      <w:pPr>
        <w:pStyle w:val="NormalWeb"/>
        <w:jc w:val="both"/>
      </w:pPr>
    </w:p>
    <w:p w:rsidR="000369FD" w:rsidRPr="00030FFF" w:rsidRDefault="000369FD" w:rsidP="000369FD">
      <w:pPr>
        <w:pStyle w:val="NormalWeb"/>
        <w:jc w:val="both"/>
        <w:rPr>
          <w:color w:val="FF0000"/>
          <w:u w:val="single"/>
        </w:rPr>
      </w:pPr>
      <w:r w:rsidRPr="00030FFF">
        <w:rPr>
          <w:color w:val="FF0000"/>
          <w:u w:val="single"/>
        </w:rPr>
        <w:t>En el escenario internacional este asunto es particularmente importante en las negociaciones para la Alianza Transatlántica de Comercio e Inversión (TTIP) con Europa. Allí, las diferencias regulatorias han sido identificadas como un aspecto clave de las barreras comerciales que podría obstaculizar el crecimiento económico.</w:t>
      </w:r>
    </w:p>
    <w:p w:rsidR="000369FD" w:rsidRPr="0081458D" w:rsidRDefault="000369FD" w:rsidP="000369FD">
      <w:pPr>
        <w:pStyle w:val="NormalWeb"/>
        <w:jc w:val="both"/>
      </w:pPr>
    </w:p>
    <w:p w:rsidR="000369FD" w:rsidRPr="00030FFF" w:rsidRDefault="000369FD" w:rsidP="000369FD">
      <w:pPr>
        <w:pStyle w:val="NormalWeb"/>
        <w:jc w:val="both"/>
        <w:rPr>
          <w:color w:val="FF0000"/>
          <w:u w:val="single"/>
        </w:rPr>
      </w:pPr>
      <w:r w:rsidRPr="00030FFF">
        <w:rPr>
          <w:color w:val="FF0000"/>
          <w:u w:val="single"/>
        </w:rPr>
        <w:t xml:space="preserve">Pero los prospectos de éxito aquí de hecho son un desafío. Considere el asunto de si los productos alimenticios de EEUU que involucran la modificación genética pueden ser vendidos en la Unión Europea (UE). Si el libre comercio del que estamos hablando es simplemente eliminar al proteccionismo, la concepción restrictiva de la UE acerca de los alimentos genéticamente modificados no es un problema. En cambio, si estamos </w:t>
      </w:r>
      <w:r w:rsidRPr="00030FFF">
        <w:rPr>
          <w:color w:val="FF0000"/>
          <w:u w:val="single"/>
        </w:rPr>
        <w:lastRenderedPageBreak/>
        <w:t>buscando crear un mercado común, donde los productos de EEUU y de la UE pueden venderse en ambos mercados, entonces la prohibición de la UE no es consistente con el libre comercio.</w:t>
      </w:r>
    </w:p>
    <w:p w:rsidR="000369FD" w:rsidRPr="0081458D" w:rsidRDefault="000369FD" w:rsidP="000369FD">
      <w:pPr>
        <w:pStyle w:val="NormalWeb"/>
        <w:jc w:val="both"/>
      </w:pPr>
    </w:p>
    <w:p w:rsidR="000369FD" w:rsidRPr="00030FFF" w:rsidRDefault="000369FD" w:rsidP="000369FD">
      <w:pPr>
        <w:pStyle w:val="NormalWeb"/>
        <w:jc w:val="both"/>
        <w:rPr>
          <w:color w:val="FF0000"/>
          <w:u w:val="single"/>
        </w:rPr>
      </w:pPr>
      <w:r w:rsidRPr="00030FFF">
        <w:rPr>
          <w:color w:val="FF0000"/>
          <w:u w:val="single"/>
        </w:rPr>
        <w:t>Esto ilustra los límites del comercio internacional; y es poco probable que la UE cambie su posición en lo que concierne a los alimentos genéticamente modificados en algún momento cercano. Puede que haya otras áreas en las que las diferencias regulatorias pueden disminuirse (por ejemplo, la evaluación de la seguridad de los autos), pero claramente hay obstáculos significativos ante la posibilidad de un mercado común transatlántico.</w:t>
      </w:r>
    </w:p>
    <w:p w:rsidR="000369FD" w:rsidRPr="0081458D" w:rsidRDefault="000369FD" w:rsidP="000369FD">
      <w:pPr>
        <w:pStyle w:val="NormalWeb"/>
        <w:jc w:val="both"/>
      </w:pPr>
    </w:p>
    <w:p w:rsidR="000369FD" w:rsidRPr="00030FFF" w:rsidRDefault="000369FD" w:rsidP="000369FD">
      <w:pPr>
        <w:pStyle w:val="NormalWeb"/>
        <w:jc w:val="both"/>
        <w:rPr>
          <w:color w:val="FF0000"/>
          <w:u w:val="single"/>
        </w:rPr>
      </w:pPr>
      <w:r w:rsidRPr="00030FFF">
        <w:rPr>
          <w:color w:val="FF0000"/>
          <w:u w:val="single"/>
        </w:rPr>
        <w:t>El debate que viene este año acerca de la Autoridad para Promover el Comercio y de la Alianza Transatlántica es probable que sea dominada por la política y los puntos retóricos, por los cálculos acerca de las pérdidas/ganancias de empleos y por las alegaciones de falta de transparencia en las negociaciones comerciales. Pero detrás de todo eso, este asunto fundamental relacionado al comercio y a la integración económica puede que sea el más importante: ¿Qué tipo de libre comercio queremos sacar de nuestras negociaciones comerciales? Siempre y cuando esa pregunta siga sin respuesta, el debate puede que no sea muy productivo, y nuestras iniciativas comerciales podrán luchar para resolver estos asuntos difíciles.</w:t>
      </w:r>
    </w:p>
    <w:p w:rsidR="000369FD" w:rsidRPr="00030FFF" w:rsidRDefault="000369FD" w:rsidP="000369FD">
      <w:pPr>
        <w:pStyle w:val="NormalWeb"/>
        <w:jc w:val="both"/>
        <w:rPr>
          <w:color w:val="FF0000"/>
          <w:u w:val="single"/>
        </w:rPr>
      </w:pPr>
    </w:p>
    <w:p w:rsidR="000369FD" w:rsidRPr="0081458D" w:rsidRDefault="000369FD" w:rsidP="000369FD">
      <w:pPr>
        <w:pStyle w:val="NormalWeb"/>
        <w:jc w:val="both"/>
      </w:pPr>
      <w:r>
        <w:t>(</w:t>
      </w:r>
      <w:r w:rsidRPr="0081458D">
        <w:t>Simon Lester  es analista de políticas públicas en el Centro Herbert A. Stiefel para Estudios de Políti</w:t>
      </w:r>
      <w:r>
        <w:t>ca Comercial del Cato Institute)</w:t>
      </w:r>
      <w:r w:rsidRPr="0081458D">
        <w:t xml:space="preserve">   </w:t>
      </w:r>
    </w:p>
    <w:p w:rsidR="000369FD" w:rsidRPr="0081458D" w:rsidRDefault="000369FD" w:rsidP="000369FD">
      <w:pPr>
        <w:pStyle w:val="NormalWeb"/>
        <w:jc w:val="both"/>
      </w:pPr>
    </w:p>
    <w:p w:rsidR="000369FD" w:rsidRDefault="000369FD" w:rsidP="000369FD">
      <w:pPr>
        <w:pStyle w:val="NormalWeb"/>
        <w:jc w:val="both"/>
      </w:pPr>
      <w:r>
        <w:t>(</w:t>
      </w:r>
      <w:r w:rsidRPr="0081458D">
        <w:t>Este artículo fue publicado originalmente en National Interest</w:t>
      </w:r>
      <w:r>
        <w:t xml:space="preserve"> (EEUU) el 8 de enero de 2015)</w:t>
      </w: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Default="004265B7" w:rsidP="000369FD">
      <w:pPr>
        <w:pStyle w:val="NormalWeb"/>
        <w:jc w:val="both"/>
      </w:pPr>
    </w:p>
    <w:p w:rsidR="004265B7" w:rsidRPr="00F012CB" w:rsidRDefault="004265B7" w:rsidP="004265B7">
      <w:pPr>
        <w:pStyle w:val="NormalWeb"/>
        <w:jc w:val="both"/>
      </w:pPr>
      <w:r w:rsidRPr="00C178AB">
        <w:rPr>
          <w:b/>
        </w:rPr>
        <w:lastRenderedPageBreak/>
        <w:t xml:space="preserve">- </w:t>
      </w:r>
      <w:r>
        <w:rPr>
          <w:b/>
        </w:rPr>
        <w:t xml:space="preserve">Análisis crítico del </w:t>
      </w:r>
      <w:r w:rsidRPr="004265B7">
        <w:rPr>
          <w:rStyle w:val="Textoennegrita"/>
          <w:rFonts w:eastAsiaTheme="majorEastAsia"/>
          <w:b/>
        </w:rPr>
        <w:t>Tratado Transatlántico de Comercio e Inversiones entre la Unión Europea y Estados Unidos (TTIP)</w:t>
      </w:r>
      <w:r>
        <w:rPr>
          <w:rStyle w:val="Textoennegrita"/>
          <w:rFonts w:eastAsiaTheme="majorEastAsia"/>
        </w:rPr>
        <w:t xml:space="preserve"> </w:t>
      </w:r>
      <w:r w:rsidRPr="00F012CB">
        <w:rPr>
          <w:rStyle w:val="Textoennegrita"/>
          <w:rFonts w:eastAsiaTheme="majorEastAsia"/>
        </w:rPr>
        <w:t>(opinión personal</w:t>
      </w:r>
      <w:r w:rsidR="00620BCB" w:rsidRPr="00F012CB">
        <w:rPr>
          <w:rStyle w:val="Textoennegrita"/>
          <w:rFonts w:eastAsiaTheme="majorEastAsia"/>
        </w:rPr>
        <w:t>,</w:t>
      </w:r>
      <w:r w:rsidRPr="00F012CB">
        <w:rPr>
          <w:rStyle w:val="Textoennegrita"/>
          <w:rFonts w:eastAsiaTheme="majorEastAsia"/>
        </w:rPr>
        <w:t xml:space="preserve"> políticamente incorrecta)</w:t>
      </w:r>
    </w:p>
    <w:p w:rsidR="004265B7" w:rsidRDefault="004265B7" w:rsidP="004265B7">
      <w:pPr>
        <w:pStyle w:val="NormalWeb"/>
        <w:jc w:val="both"/>
        <w:rPr>
          <w:b/>
        </w:rPr>
      </w:pPr>
    </w:p>
    <w:p w:rsidR="004265B7" w:rsidRDefault="004265B7" w:rsidP="004265B7">
      <w:pPr>
        <w:pStyle w:val="NormalWeb"/>
        <w:jc w:val="both"/>
        <w:rPr>
          <w:b/>
        </w:rPr>
      </w:pPr>
      <w:r>
        <w:rPr>
          <w:noProof/>
          <w:color w:val="0000FF"/>
        </w:rPr>
        <w:drawing>
          <wp:inline distT="0" distB="0" distL="0" distR="0" wp14:anchorId="5B340514" wp14:editId="75B3B68A">
            <wp:extent cx="5359400" cy="2597150"/>
            <wp:effectExtent l="0" t="0" r="0" b="0"/>
            <wp:docPr id="36" name="Imagen 36" descr="Hand up lifeguard us fla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and up lifeguard us flag">
                      <a:hlinkClick r:id="rId96"/>
                    </pic:cNvPr>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359400" cy="2597150"/>
                    </a:xfrm>
                    <a:prstGeom prst="rect">
                      <a:avLst/>
                    </a:prstGeom>
                    <a:noFill/>
                    <a:ln>
                      <a:noFill/>
                    </a:ln>
                  </pic:spPr>
                </pic:pic>
              </a:graphicData>
            </a:graphic>
          </wp:inline>
        </w:drawing>
      </w:r>
    </w:p>
    <w:p w:rsidR="004265B7" w:rsidRDefault="004265B7" w:rsidP="004265B7">
      <w:pPr>
        <w:pStyle w:val="NormalWeb"/>
        <w:jc w:val="both"/>
        <w:rPr>
          <w:b/>
        </w:rPr>
      </w:pPr>
    </w:p>
    <w:p w:rsidR="004265B7" w:rsidRDefault="004265B7" w:rsidP="004265B7">
      <w:pPr>
        <w:pStyle w:val="NormalWeb"/>
        <w:jc w:val="both"/>
        <w:rPr>
          <w:b/>
        </w:rPr>
      </w:pPr>
      <w:r>
        <w:rPr>
          <w:b/>
        </w:rPr>
        <w:t>Introducción (secretos y mentiras)</w:t>
      </w:r>
    </w:p>
    <w:p w:rsidR="004265B7" w:rsidRPr="00DD5CA3"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DD5CA3">
        <w:rPr>
          <w:rFonts w:ascii="Times New Roman" w:hAnsi="Times New Roman" w:cs="Times New Roman"/>
          <w:sz w:val="24"/>
          <w:szCs w:val="24"/>
        </w:rPr>
        <w:t xml:space="preserve">El </w:t>
      </w:r>
      <w:r w:rsidRPr="00DD5CA3">
        <w:rPr>
          <w:rStyle w:val="Textoennegrita"/>
          <w:rFonts w:ascii="Times New Roman" w:hAnsi="Times New Roman" w:cs="Times New Roman"/>
          <w:sz w:val="24"/>
          <w:szCs w:val="24"/>
        </w:rPr>
        <w:t xml:space="preserve">Tratado Transatlántico de Comercio e Inversiones entre la Unión Europea y Estados Unidos (TTIP) </w:t>
      </w:r>
      <w:r w:rsidRPr="00DD5CA3">
        <w:rPr>
          <w:rFonts w:ascii="Times New Roman" w:hAnsi="Times New Roman" w:cs="Times New Roman"/>
          <w:sz w:val="24"/>
          <w:szCs w:val="24"/>
        </w:rPr>
        <w:t>es un acuerdo comercial y de inversiones entre la Unión Europea y los Estados Unidos. Pretende eliminar las barreras arancelarias entre los dos socios y las barreras reglamentarias</w:t>
      </w:r>
      <w:r>
        <w:rPr>
          <w:rFonts w:ascii="Times New Roman" w:hAnsi="Times New Roman" w:cs="Times New Roman"/>
          <w:sz w:val="24"/>
          <w:szCs w:val="24"/>
        </w:rPr>
        <w:t xml:space="preserve">  -</w:t>
      </w:r>
      <w:r w:rsidRPr="00DD5CA3">
        <w:rPr>
          <w:rFonts w:ascii="Times New Roman" w:hAnsi="Times New Roman" w:cs="Times New Roman"/>
          <w:sz w:val="24"/>
          <w:szCs w:val="24"/>
        </w:rPr>
        <w:t>las normativas básicas en m</w:t>
      </w:r>
      <w:r>
        <w:rPr>
          <w:rFonts w:ascii="Times New Roman" w:hAnsi="Times New Roman" w:cs="Times New Roman"/>
          <w:sz w:val="24"/>
          <w:szCs w:val="24"/>
        </w:rPr>
        <w:t>ateria sanitaria, social, medioambiental…-</w:t>
      </w:r>
      <w:r w:rsidRPr="00DD5CA3">
        <w:rPr>
          <w:rFonts w:ascii="Times New Roman" w:hAnsi="Times New Roman" w:cs="Times New Roman"/>
          <w:sz w:val="24"/>
          <w:szCs w:val="24"/>
        </w:rPr>
        <w:t xml:space="preserve"> que limitan la acumulación de riqueza de las grandes corporaciones.</w:t>
      </w:r>
    </w:p>
    <w:p w:rsidR="004265B7" w:rsidRPr="001763D3"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1763D3">
        <w:rPr>
          <w:rFonts w:ascii="Times New Roman" w:hAnsi="Times New Roman" w:cs="Times New Roman"/>
          <w:sz w:val="24"/>
          <w:szCs w:val="24"/>
        </w:rPr>
        <w:t>Entre las cuestiones reglamentarias nos encontramos con propuestas relacionadas con la quiebra de los derechos laborales y la normativa europea medioambiental, la desregulación del sector financiero, la apertura al mercado privado de los servicios públicos -el agua, la electricidad, la educación, la salud, el trasporte, la protección social…-, el blindaje de las patentes farmacéuticas, el consumo de productos modificados genéticamente, la contratación pública…</w:t>
      </w:r>
    </w:p>
    <w:p w:rsidR="004265B7" w:rsidRPr="001763D3" w:rsidRDefault="004265B7" w:rsidP="004265B7">
      <w:pPr>
        <w:pStyle w:val="NormalWeb"/>
        <w:jc w:val="both"/>
      </w:pPr>
      <w:r w:rsidRPr="001763D3">
        <w:t xml:space="preserve">Durante años, altos funcionarios de la Comisión Europea y de la Oficina de Comercio de la Casa Blanca se han reunido de forma discreta sin dar cuenta al público de sus propuestas y argumentos. Los estadounidenses arrancaron a sus colegas europeos el compromiso que los protocolos de las negociaciones fueran material clasificado durante 30 años. Y, precisamente, ha sido la opacidad del proceso lo que ha puesto en alerta a movimientos civiles a ambos lados del Atlántico. Las pocas filtraciones de documentos internos confirman las sospechas de que se está negociando a espaldas de la ciudadanía, algo que beneficiaría sobre todo a las grandes empresas. </w:t>
      </w:r>
    </w:p>
    <w:p w:rsidR="004265B7" w:rsidRDefault="004265B7" w:rsidP="004265B7">
      <w:pPr>
        <w:pStyle w:val="NormalWeb"/>
        <w:jc w:val="both"/>
      </w:pPr>
    </w:p>
    <w:p w:rsidR="004265B7" w:rsidRPr="001763D3" w:rsidRDefault="004265B7" w:rsidP="004265B7">
      <w:pPr>
        <w:pStyle w:val="NormalWeb"/>
        <w:jc w:val="both"/>
      </w:pPr>
      <w:r>
        <w:t xml:space="preserve">La idea que EEUU y Europa se pusieran de acuerdo para abrir aún más sus respectivas economías al otro viene de lejos. En 2013, el presidente estadounidense Barack Obama y el entonces jefe de la CE, José Manuel Barroso, dieron finalmente el pistoletazo de salida para un proceso que </w:t>
      </w:r>
      <w:r w:rsidRPr="001763D3">
        <w:t xml:space="preserve">aspira a crear el mayor espacio de libre comercio del mundo, con más de 800 millones de ciudadanos y las economías más avanzadas del planeta. Se pretende acabar con las barreras existentes, como los aranceles, aunque estos ya están en un nivel muy bajo si se compara en relación con otros países. Por ejemplo, EEUU aplica </w:t>
      </w:r>
      <w:r w:rsidRPr="001763D3">
        <w:lastRenderedPageBreak/>
        <w:t>una tarifa del 2,5% a los coches importados desde Europa, mientras la UE cobra un 10% para los vehículos que llegan desde América.</w:t>
      </w:r>
    </w:p>
    <w:p w:rsidR="004265B7" w:rsidRPr="001763D3" w:rsidRDefault="004265B7" w:rsidP="004265B7">
      <w:pPr>
        <w:pStyle w:val="NormalWeb"/>
        <w:jc w:val="both"/>
      </w:pPr>
    </w:p>
    <w:p w:rsidR="004265B7" w:rsidRPr="001763D3" w:rsidRDefault="004265B7" w:rsidP="004265B7">
      <w:pPr>
        <w:pStyle w:val="NormalWeb"/>
        <w:jc w:val="both"/>
      </w:pPr>
      <w:r w:rsidRPr="001763D3">
        <w:t>El verdadero objetivo del TTIP, sin embargo, es nivelar las diferentes normas y reglas para los productos y servicios. Los estándares difieren bastante, por ejemplo para la producción de alimentos. En EEUU está extendido el cultivo de transgénicos, al que se oponen los europeos. Además, el TTIP pretende abrir los servicios para las empresas de ambos lados, al eliminar políticas de la administración pública que dan preferencia a proveedores locales en los concursos. En fin, el objetivo es crear un mercado común con las mismas condiciones para todos, lo que en la jerga económica se conoce como “level playing field”, en inglés.</w:t>
      </w:r>
    </w:p>
    <w:p w:rsidR="004265B7" w:rsidRPr="001763D3" w:rsidRDefault="004265B7" w:rsidP="004265B7">
      <w:pPr>
        <w:pStyle w:val="NormalWeb"/>
        <w:jc w:val="both"/>
      </w:pPr>
    </w:p>
    <w:p w:rsidR="004265B7" w:rsidRPr="001763D3" w:rsidRDefault="004265B7" w:rsidP="004265B7">
      <w:pPr>
        <w:pStyle w:val="NormalWeb"/>
        <w:jc w:val="both"/>
      </w:pPr>
      <w:r w:rsidRPr="001763D3">
        <w:t>En principio, podría parecer razonable. No obstante, para los críticos con este tratado -ecologistas, sindicatos y grupos de protección del consumidor- existe el gran peligro  de que los dos equipos de negociadores acaben encontrándose en el denominador común más bajo, es decir, que se impongan mutuamente las regulaciones, normas y estándares más laxos de cada uno de ellos. Según estos colectivos, Europa podría acabar abriendo la puerta no sólo al pollo de clorina o los productos transgénicos, sino que se podrían rebajar también otros logros en derechos laborales o protección del medio ambiente. EEUU, por ejemplo, quiere acabar con la resistencia de los gobiernos europeos a la controvertida fracturación hidráulica (fracking), para extraer gas y petróleo a riesgo de contaminar el suelo y el agua e incluso provocar movimientos sísmicos. También se teme que el TTIP abra la puerta a más privatizaciones de servicios públicos y, a la vez, cierre definitivamente la posibilidad de renacionalizarlos en el futuro.</w:t>
      </w:r>
    </w:p>
    <w:p w:rsidR="004265B7" w:rsidRDefault="004265B7" w:rsidP="004265B7">
      <w:pPr>
        <w:pStyle w:val="NormalWeb"/>
        <w:jc w:val="both"/>
        <w:rPr>
          <w:color w:val="FF0000"/>
        </w:rPr>
      </w:pPr>
    </w:p>
    <w:p w:rsidR="004265B7" w:rsidRPr="0097311A" w:rsidRDefault="004265B7" w:rsidP="004265B7">
      <w:pPr>
        <w:pStyle w:val="NormalWeb"/>
        <w:jc w:val="both"/>
      </w:pPr>
      <w:r w:rsidRPr="0097311A">
        <w:t>Sobre el impacto económico de un área de libre comercio entre la UE y los EEUU, hay una guerra de estudios y cifras. Un informe independiente encargado por la Comisión al Centre for Economic Policy Research, un instituto de investigación de Londres, habla de que el TTIP podría añadir medio punto anual al crecimiento del PIB europeo, ya que las exportaciones a EEUU se incrementarían un 28%. En el mejor de los casos, según los expertos de Londres, una familia de cuatro miembros vería aumentada su renta disponible en 548 euros al año. En EEUU llegaría incluso a 655 euros. Por el contrario, otros estudios prevén la pérdida de millones de empleos porque la mayor competencia beneficiaría sobre todo a las multinacionales y haría mella en el tejido de la pequeña y mediana empresa. No deja de ser una especulación, ya que todo depende de qué medidas entraran finalmente en el acuerdo y cuáles no.</w:t>
      </w:r>
    </w:p>
    <w:p w:rsidR="004265B7" w:rsidRPr="0097311A"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97311A">
        <w:rPr>
          <w:rFonts w:ascii="Times New Roman" w:hAnsi="Times New Roman" w:cs="Times New Roman"/>
          <w:sz w:val="24"/>
          <w:szCs w:val="24"/>
        </w:rPr>
        <w:t xml:space="preserve">Como ocurre con estos tratados, el TTIP viene plagado de promesas de prosperidad: los estudios más optimistas, como los de la Fundación Bertelsmann o de la propia Comisión, esgrimen un crecimiento del entre el 0,5 y el 1% del PIB europeo (unos 119.000 millones anuales), y la suma de 548 euros anuales a la renta familiar de los europeos. “Tradicionalmente, abrir el mercado ha generado más crecimiento aunque habrá ganadores y perdedores, como ocurrió cuando entramos en la UE. Sería importante que se tuvieran en cuenta mecanismos de compensación”, explica Federico Steinberg, analista del Real Instituto Elcano. </w:t>
      </w:r>
    </w:p>
    <w:p w:rsidR="004265B7" w:rsidRPr="0097311A"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97311A">
        <w:rPr>
          <w:rFonts w:ascii="Times New Roman" w:hAnsi="Times New Roman" w:cs="Times New Roman"/>
          <w:sz w:val="24"/>
          <w:szCs w:val="24"/>
        </w:rPr>
        <w:t>Otros estudios auguran lo contrario. Un informe</w:t>
      </w:r>
      <w:r>
        <w:rPr>
          <w:rFonts w:ascii="Times New Roman" w:hAnsi="Times New Roman" w:cs="Times New Roman"/>
          <w:sz w:val="24"/>
          <w:szCs w:val="24"/>
        </w:rPr>
        <w:t xml:space="preserve"> de la Universidad de Tufts (EE</w:t>
      </w:r>
      <w:r w:rsidRPr="0097311A">
        <w:rPr>
          <w:rFonts w:ascii="Times New Roman" w:hAnsi="Times New Roman" w:cs="Times New Roman"/>
          <w:sz w:val="24"/>
          <w:szCs w:val="24"/>
        </w:rPr>
        <w:t xml:space="preserve">UU), a cargo del investigador Jeronim Capaldo, calcula que se perderán alrededor de 600.000 puestos de trabajo en la UE, entre otros efectos negativos para la economía y la vida social europea. </w:t>
      </w:r>
    </w:p>
    <w:p w:rsidR="004265B7" w:rsidRPr="0097311A" w:rsidRDefault="004265B7" w:rsidP="004265B7">
      <w:pPr>
        <w:pStyle w:val="NormalWeb"/>
        <w:jc w:val="both"/>
      </w:pPr>
      <w:r>
        <w:lastRenderedPageBreak/>
        <w:t xml:space="preserve">Los dirigentes de la UE y los propios negociadores, por supuesto, no comparten las críticas y preocupaciones, por los presumibles efectos nocivos del tratado. </w:t>
      </w:r>
      <w:r w:rsidRPr="0097311A">
        <w:t>El jefe del equipo europeo, el español Ignacio García Bercero, tilda de alarmistas a los activistas y sindicatos que advierten de que fomentará más desregulación y privatización. “La UE no hará ningún compromiso en relación a los servicios públicos de sanidad, educación o servicios sociales”, asegura la CE en la documentación sobre el TTIP.</w:t>
      </w:r>
    </w:p>
    <w:p w:rsidR="004265B7" w:rsidRPr="0097311A" w:rsidRDefault="004265B7" w:rsidP="004265B7">
      <w:pPr>
        <w:pStyle w:val="NormalWeb"/>
        <w:jc w:val="both"/>
      </w:pPr>
    </w:p>
    <w:p w:rsidR="004265B7" w:rsidRPr="0097311A" w:rsidRDefault="004265B7" w:rsidP="004265B7">
      <w:pPr>
        <w:pStyle w:val="NormalWeb"/>
        <w:jc w:val="both"/>
      </w:pPr>
      <w:r w:rsidRPr="0097311A">
        <w:t>Pero los responsables de las negociaciones del TTIP han contribuido a despertar y alimentar los recelos. Aunque se han reunido con grupos de activistas y otros miembros de la sociedad civil, la inmensa mayoría de los contactos a puerta cerrada fueron con representantes de la industria, las finanzas y otros sectores del poderoso lobby empresarial. Los diputados del Parlamento Europeo, que deben ser consultados a lo largo del proceso, se han quejado de la escasa información que reciben. Sólo ciertos diputados, los coordinadores de los grupos en la comisión de Comercio Internacional, que son siete, han podido acceder a la sala de lectura (reading room), donde se les muestran algunos documentos de las negociaciones. A esta sala no pueden entrar con lápiz, papel, móvil o cámara de fotos, y lo que leen debe permanecer oculto.</w:t>
      </w:r>
    </w:p>
    <w:p w:rsidR="004265B7" w:rsidRPr="0097311A" w:rsidRDefault="004265B7" w:rsidP="004265B7">
      <w:pPr>
        <w:pStyle w:val="NormalWeb"/>
        <w:jc w:val="both"/>
      </w:pPr>
    </w:p>
    <w:p w:rsidR="004265B7" w:rsidRDefault="004265B7" w:rsidP="004265B7">
      <w:pPr>
        <w:pStyle w:val="NormalWeb"/>
        <w:jc w:val="both"/>
        <w:rPr>
          <w:b/>
        </w:rPr>
      </w:pPr>
      <w:r>
        <w:rPr>
          <w:b/>
        </w:rPr>
        <w:t>1 - Opacidad (falta de transparencia, información pública y debate abierto)</w:t>
      </w:r>
    </w:p>
    <w:p w:rsidR="004265B7" w:rsidRPr="00103DD9" w:rsidRDefault="004265B7" w:rsidP="004265B7">
      <w:pPr>
        <w:pStyle w:val="NormalWeb"/>
        <w:jc w:val="both"/>
        <w:rPr>
          <w:color w:val="FF0000"/>
        </w:rPr>
      </w:pPr>
    </w:p>
    <w:p w:rsidR="004265B7" w:rsidRPr="005476D1" w:rsidRDefault="004265B7" w:rsidP="004265B7">
      <w:pPr>
        <w:pStyle w:val="NormalWeb"/>
        <w:jc w:val="both"/>
      </w:pPr>
      <w:r w:rsidRPr="005476D1">
        <w:t>La lucha contra la opacidad de las negociaciones ha sido el principal caballo de batalla de las organizaciones que contestan el TTIP. La presión aumentó mucho el año 2014 con cientos de manifestaciones, actos de protesta y otras iniciativas para romper el muro de silencio de la Comisión. En la primavera de 2014 lanzaron una petición internacional que consiguió un millón de firmas, para presentar una iniciativa ciudadana europea que inste a la Comisión a abrir un debate público sobre el TTIP. A pesar de cumplir con las exigencias establecidas, Bruselas se negó a aceptar la iniciativa.</w:t>
      </w:r>
    </w:p>
    <w:p w:rsidR="004265B7" w:rsidRPr="005476D1" w:rsidRDefault="004265B7" w:rsidP="004265B7">
      <w:pPr>
        <w:pStyle w:val="NormalWeb"/>
        <w:jc w:val="both"/>
      </w:pPr>
    </w:p>
    <w:p w:rsidR="004265B7" w:rsidRPr="005476D1" w:rsidRDefault="004265B7" w:rsidP="004265B7">
      <w:pPr>
        <w:pStyle w:val="NormalWeb"/>
        <w:jc w:val="both"/>
      </w:pPr>
      <w:r w:rsidRPr="005476D1">
        <w:t>Al igual que en Europa, en los EEUU también está creciendo el rechazo al TTIP en la sociedad civil y en la política. La campaña europea se coordina con organizaciones estadounidenses de movilización social, como Public Citizen. Los argumentos se parecen. Muchos ciudadanos norteamericanos también temen que el acuerdo de libre comercio abra la puerta para que las multinacionales europeas se aprovechen del mercado en detrimento de las medianas empresas locales.</w:t>
      </w:r>
    </w:p>
    <w:p w:rsidR="004265B7" w:rsidRPr="005476D1" w:rsidRDefault="004265B7" w:rsidP="004265B7">
      <w:pPr>
        <w:pStyle w:val="NormalWeb"/>
        <w:jc w:val="both"/>
      </w:pPr>
    </w:p>
    <w:p w:rsidR="004265B7" w:rsidRPr="005476D1" w:rsidRDefault="004265B7" w:rsidP="004265B7">
      <w:pPr>
        <w:pStyle w:val="NormalWeb"/>
        <w:jc w:val="both"/>
      </w:pPr>
      <w:r w:rsidRPr="005476D1">
        <w:t>Ante la creciente presión de la sociedad civil, activistas y partidos políticos, algunos de ellos con responsabilidad de gobierno, la Comisión Europea se vio obligada a principios de enero de 2015 a hacer pública, por primera vez, una serie de documentos hasta entonces clasificados y a aclarar su posicionamiento respecto a los asuntos de los que se habla en el marco del TTIP.</w:t>
      </w:r>
    </w:p>
    <w:p w:rsidR="004265B7" w:rsidRPr="005476D1" w:rsidRDefault="004265B7" w:rsidP="004265B7">
      <w:pPr>
        <w:pStyle w:val="NormalWeb"/>
        <w:jc w:val="both"/>
      </w:pPr>
    </w:p>
    <w:p w:rsidR="004265B7" w:rsidRPr="005476D1" w:rsidRDefault="004265B7" w:rsidP="004265B7">
      <w:pPr>
        <w:pStyle w:val="NormalWeb"/>
        <w:jc w:val="both"/>
      </w:pPr>
      <w:r w:rsidRPr="005476D1">
        <w:t>“Es muy importante que todo el mundo pueda ver y comprender lo que estamos proponiendo para el TTIP e, igualmente importante, lo que no proponemos”, dijo la comisaria europea de Comercio, Cecilia Malmström, que tomó posesión del cargo con la nueva Comisión liderada por Jean-Claude Juncker en noviembre (2014). Un año y medio después del comienzo de las negociaciones, Bruselas lanza lo que llama “una iniciativa de transparencia” y promete “negociar el TTIP de la manera más abierta posible”.</w:t>
      </w:r>
    </w:p>
    <w:p w:rsidR="004265B7" w:rsidRPr="005476D1" w:rsidRDefault="004265B7" w:rsidP="004265B7">
      <w:pPr>
        <w:pStyle w:val="NormalWeb"/>
        <w:jc w:val="both"/>
      </w:pPr>
    </w:p>
    <w:p w:rsidR="004265B7" w:rsidRPr="005476D1" w:rsidRDefault="004265B7" w:rsidP="004265B7">
      <w:pPr>
        <w:pStyle w:val="NormalWeb"/>
        <w:jc w:val="both"/>
      </w:pPr>
      <w:r w:rsidRPr="005476D1">
        <w:t xml:space="preserve">El antecesor de Malmström, el belga Karel De Gucht, maniobró durante el año 2014 para evitar que el TTIP necesitara pasar por un largo, espinoso e incierto proceso de </w:t>
      </w:r>
      <w:r w:rsidRPr="005476D1">
        <w:lastRenderedPageBreak/>
        <w:t>ratificación en los 28 países de la Unión. En opinión de los críticos, la comisaria sueca no ha abandonado esta idea. Pero lo tiene difícil. El ministro de Justicia alemán, Maas, y otros dirigentes europeos, insisten en que cualquier acuerdo debe contar con la aprobación de los parlamentos nacionales. “Necesitamos una legitimación democrática amplia”, dijo. Pero incluso si la Comisión se saliera con la suya, y el TTIP sólo fuera votado en el Parlamento Europeo, no tendría asegurado el visto bueno. La Eurocámara ha empezado a dar muestras de rebeldía. En julio de 2012, el Parlamento rechazó el acuerdo multilateral contra la falsificación (ACTA) que habían negociado la Comisión, EEUU y otros países como Australia, prácticamente con la misma opacidad que el TTIP. El tratado que pretendía combatir la piratería planteaba grandes dudas acerca de la protección de datos de los usuarios. Este asunto ahora vuelve a estar sobre la mesa a través del TTIP.</w:t>
      </w:r>
    </w:p>
    <w:p w:rsidR="004265B7" w:rsidRPr="005476D1" w:rsidRDefault="004265B7" w:rsidP="004265B7">
      <w:pPr>
        <w:pStyle w:val="NormalWeb"/>
        <w:jc w:val="both"/>
      </w:pPr>
    </w:p>
    <w:p w:rsidR="004265B7" w:rsidRPr="005476D1" w:rsidRDefault="004265B7" w:rsidP="004265B7">
      <w:pPr>
        <w:pStyle w:val="NormalWeb"/>
        <w:jc w:val="both"/>
      </w:pPr>
      <w:r w:rsidRPr="005476D1">
        <w:t>Los defensores del tratado, con Malmström al frente, han comprendido ahora que necesitan ganar la batalla de la opinión pública. En Bruselas creen que fue un error dejar el campo libre a los detractores que han podido desarrollar sus campañas sin contestación.</w:t>
      </w:r>
    </w:p>
    <w:p w:rsidR="004265B7" w:rsidRPr="005476D1" w:rsidRDefault="004265B7" w:rsidP="004265B7">
      <w:pPr>
        <w:pStyle w:val="NormalWeb"/>
        <w:jc w:val="both"/>
      </w:pPr>
    </w:p>
    <w:p w:rsidR="004265B7" w:rsidRPr="005476D1" w:rsidRDefault="004265B7" w:rsidP="004265B7">
      <w:pPr>
        <w:pStyle w:val="NormalWeb"/>
        <w:jc w:val="both"/>
      </w:pPr>
      <w:r w:rsidRPr="005476D1">
        <w:t>Con tantos frentes abiertos como le han salido al TTIP en los últimos tiempos, no sorprende que el proceso negociador esté estancado. “No creo que haya nada acordado todavía”, comenta Steinberg, del Instituto Elcano. Incluso el comisario europeo de Salud y Seguridad Alimentaria, el lituano Vytenis Andriukaitis, admitió a principios de año (2015) que las conversaciones apenas avanzan, mientras Bruselas y los líderes europeos buscan la fórmula para superar las diferencias sobre la eventual ratificación del tratado y su legitimación democrática. “Debemos tomar en serio las preocupaciones de la gente”, dijo Andriukaitis. El plan original era cerrar un pacto a finales de 2014. Ahora el objetivo es llegar a algún tipo de acuerdo a finales de 2015. El tiempo corre en contra de los funcionarios de Washington y Bruselas, porque se da por hecho que en 2016 se paralizará todo por la larga campaña de las elecciones presidenciales en EEUU,  que se inicia en noviembre de 2015. Todo el mundo, también los negociadores del TTIP, estarán entonces a la espera de saber quién será el nuevo inquilino de la Casa Blanca. “Intentarán pactar un acuerdo de mínimos para poder seguir negociando más adelante”, afirma Steinberg. De lo contrario, el plan de crear un área de libre comercio transatlántico estaría muerto, por lo menos durante una generación.</w:t>
      </w:r>
    </w:p>
    <w:p w:rsidR="004265B7" w:rsidRDefault="004265B7" w:rsidP="004265B7">
      <w:pPr>
        <w:pStyle w:val="NormalWeb"/>
        <w:jc w:val="both"/>
        <w:rPr>
          <w:color w:val="FF0000"/>
        </w:rPr>
      </w:pPr>
    </w:p>
    <w:p w:rsidR="004265B7" w:rsidRDefault="004265B7" w:rsidP="004265B7">
      <w:pPr>
        <w:pStyle w:val="NormalWeb"/>
        <w:jc w:val="both"/>
        <w:rPr>
          <w:b/>
        </w:rPr>
      </w:pPr>
      <w:r>
        <w:rPr>
          <w:b/>
        </w:rPr>
        <w:t>2 - Falta de legitimidad democrática (¿quién decide?)</w:t>
      </w:r>
    </w:p>
    <w:p w:rsidR="004265B7" w:rsidRDefault="004265B7" w:rsidP="004265B7">
      <w:pPr>
        <w:pStyle w:val="NormalWeb"/>
        <w:jc w:val="both"/>
        <w:rPr>
          <w:b/>
        </w:rPr>
      </w:pPr>
    </w:p>
    <w:p w:rsidR="004265B7" w:rsidRPr="005476D1" w:rsidRDefault="004265B7" w:rsidP="004265B7">
      <w:pPr>
        <w:pStyle w:val="NormalWeb"/>
        <w:jc w:val="both"/>
      </w:pPr>
      <w:r w:rsidRPr="005476D1">
        <w:t>La participación de los ciudadanos y las instituciones democráticas en la eventual ratificación del TTIP es otro frente de batalla. La idea original de la Comisión era que bastara con la aprobación por el Consejo Europeo, el máximo órgano de la UE donde se sientan los jefes de Estado y de Gobierno de los 28 países miembros, y del Parlamento Europeo. Este plan se basa en el concepto de que se trata de un acuerdo puramente comercial, y la UE ha asumido competencia exclusiva en esta materia. Sin embargo, muchos juristas y políticos consideran que finalmente saldrá un “acuerdo mixto”. Es decir, que contendrá aspectos que entran en el ámbito de competencias de los Estados y, por ende, deberá ser aprobado también por las autoridades nacionales. En algunos países como Irlanda eso acarrearía automáticamente un referéndum. En otros también se plantea esta posibilidad.</w:t>
      </w:r>
    </w:p>
    <w:p w:rsidR="004265B7" w:rsidRPr="005476D1" w:rsidRDefault="004265B7" w:rsidP="004265B7">
      <w:pPr>
        <w:pStyle w:val="NormalWeb"/>
        <w:jc w:val="both"/>
      </w:pPr>
    </w:p>
    <w:p w:rsidR="004265B7" w:rsidRPr="005476D1" w:rsidRDefault="004265B7" w:rsidP="004265B7">
      <w:pPr>
        <w:pStyle w:val="NormalWeb"/>
        <w:jc w:val="both"/>
      </w:pPr>
      <w:r w:rsidRPr="005476D1">
        <w:t xml:space="preserve">El objetivo declarado de este Tratado es la eliminación de todas las barreras arancelarias y no arancelarias entre ambas economías, pero su objetivo real se encuentra en las no arancelarias. Y eso significa la eliminación de las trabas a los beneficios de los inversores </w:t>
      </w:r>
      <w:r w:rsidRPr="005476D1">
        <w:lastRenderedPageBreak/>
        <w:t>que supongan las normativas y leyes que regulan y protegen la convivencia y derechos de los ciudadanos.</w:t>
      </w:r>
    </w:p>
    <w:p w:rsidR="004265B7" w:rsidRPr="005476D1" w:rsidRDefault="004265B7" w:rsidP="004265B7">
      <w:pPr>
        <w:pStyle w:val="NormalWeb"/>
        <w:jc w:val="both"/>
      </w:pPr>
    </w:p>
    <w:p w:rsidR="004265B7" w:rsidRPr="005476D1" w:rsidRDefault="004265B7" w:rsidP="004265B7">
      <w:pPr>
        <w:pStyle w:val="NormalWeb"/>
        <w:jc w:val="both"/>
      </w:pPr>
      <w:r w:rsidRPr="005476D1">
        <w:t>¿Y cómo se consigue ejecutar todo eso? En primer lugar a través de la llamada “armonización normativa” que básicamente consiste en quedarse con la más baja de las protecciones sobre cada materia, vigente en uno u otro lado del Atlántico, y extenderla a ambos. Por eso puede decirse que habrá perdedores en ambos bloques económicos -las clases trabajadoras, los consumidores y la ciudadanía en general, tanto en la UE como en los EEUU- en todos aquellos casos donde se aplique la peor de las opciones para sus intereses particulares, frente a los intereses de las corporaciones transnacionales.</w:t>
      </w:r>
    </w:p>
    <w:p w:rsidR="004265B7" w:rsidRPr="005476D1" w:rsidRDefault="004265B7" w:rsidP="004265B7">
      <w:pPr>
        <w:pStyle w:val="NormalWeb"/>
        <w:jc w:val="both"/>
      </w:pPr>
    </w:p>
    <w:p w:rsidR="004265B7" w:rsidRPr="00925CE5" w:rsidRDefault="004265B7" w:rsidP="004265B7">
      <w:pPr>
        <w:pStyle w:val="NormalWeb"/>
        <w:jc w:val="both"/>
      </w:pPr>
      <w:r w:rsidRPr="00925CE5">
        <w:t>Pero la “armonización normativa” es solo el principio. La estructura de estos Tratados los dota de una seguridad jurídica aplastante donde los derechos de los grandes inversores quedan clara y nítidamente protegidos, pero sus deberes completamente difuminados. Poseen perversos mecanismos que se convierten en verdaderos jaque mate a los principios democráticos fundamentales, socavan la soberanía, y en definitiva dinamitan el estado de derecho y el derecho de los estados. Dos de ello son, la cláusula de resolución de conflictos inversor estado ISDS (por sus siglas en inglés), y el Consejo de Cooperación Reguladora.</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t xml:space="preserve">El secretismo, la opacidad y </w:t>
      </w:r>
      <w:r w:rsidRPr="00925CE5">
        <w:rPr>
          <w:rStyle w:val="Textoennegrita"/>
          <w:rFonts w:ascii="Times New Roman" w:hAnsi="Times New Roman" w:cs="Times New Roman"/>
          <w:sz w:val="24"/>
          <w:szCs w:val="24"/>
        </w:rPr>
        <w:t>la falta de legitimidad democrática</w:t>
      </w:r>
      <w:r w:rsidRPr="00925CE5">
        <w:rPr>
          <w:rFonts w:ascii="Times New Roman" w:hAnsi="Times New Roman" w:cs="Times New Roman"/>
          <w:sz w:val="24"/>
          <w:szCs w:val="24"/>
        </w:rPr>
        <w:t xml:space="preserve"> son elementos constituyentes del TTIP. Las normas de comercio e inversiones se elaboran fuera del control parlamentario y de la ciudadanía. Desconocemos los negociadores, los criterios utilizados, las decisiones adoptadas… y se envuelve todo el procedimiento de valoraciones técnicas que “necesitan de la confianza” y “discreción entre los negociadores”; se toman decisiones a espaldas de la ciudadanía y al margen de los procedimientos parlamentarios, “secuestrando” los textos en discusión incluso a los representantes públicos.</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t>El modelo institucional de la UE no se adapta a los modelos tradicionales de democracia parlamentaria. El papel del Parlamento Europeo y de los parlamentos nacionales es secundario en el devenir del TTIP. Además, el Tratado de Funcionamiento de la Unión Europea establece que “sobre los tratados internacionales se informará con total transparencia y adecuadamente al Parlamento Europeo en todas y cada una de las fases de negociación”. Es decir, se están saltando su propia legalidad. Las prácticas en torno a la elaboración del TTIP colisionan con la propia normativa comunitaria.</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t xml:space="preserve">Lo que no es secundario es el papel central de los </w:t>
      </w:r>
      <w:r w:rsidRPr="004C501D">
        <w:rPr>
          <w:rStyle w:val="nfasis"/>
          <w:rFonts w:ascii="Times New Roman" w:hAnsi="Times New Roman" w:cs="Times New Roman"/>
          <w:sz w:val="24"/>
          <w:szCs w:val="24"/>
        </w:rPr>
        <w:t>lobbies</w:t>
      </w:r>
      <w:r w:rsidRPr="00925CE5">
        <w:rPr>
          <w:rFonts w:ascii="Times New Roman" w:hAnsi="Times New Roman" w:cs="Times New Roman"/>
          <w:sz w:val="24"/>
          <w:szCs w:val="24"/>
        </w:rPr>
        <w:t xml:space="preserve"> económicos que representan a las empresas transnacionales y a los intereses de las clases dominantes y de sus representantes políticos. Los asesores, las reuniones, las propuestas y la vinculación del poder político con las empresas transnacionales forman parte “del poder legislativo” de donde emana el TTIP. La opacidad y el secreto no existen para el gran capital.</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t xml:space="preserve">Toda la tramitación del TTIP quiebra los principios básicos del Estado de Derecho, es decir, las garantías procesales de la ciudadanía (transparencia, separación de poderes, debates parlamentarios…). Ahora bien, el resultado final de la norma, en este caso del TTIP, es de una gran seguridad jurídica y de obligado cumplimiento. Todo lo contrario que la normas de derechos humanos, cuya tramitación está muy abierta a las propuestas y al debate, pero su resultado final es de una seguridad jurídica muy frágil. </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lastRenderedPageBreak/>
        <w:t>La tramitación del TTIP fulmina los principios clásicos del Estado de Derecho: la contractualización de la ley y de las relaciones económicas -se suprimen la normas parlamentarias generales y se sustituyen por sistemas contractuales asimétricos o de adhesión- provoca la anulación de los procedimientos legislativos, se disloca la separación de poderes y la soberanía de los pueblos y naciones.</w:t>
      </w:r>
    </w:p>
    <w:p w:rsidR="004265B7" w:rsidRPr="00925CE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925CE5">
        <w:rPr>
          <w:rFonts w:ascii="Times New Roman" w:hAnsi="Times New Roman" w:cs="Times New Roman"/>
          <w:sz w:val="24"/>
          <w:szCs w:val="24"/>
        </w:rPr>
        <w:t>Por otra parte, la inflación normativa muy especializada, las cláusulas oscuras, vagas, la incorporación de los anexos al TTIP, atentan contra los derechos de las mayorías sociales. Además, la privatización del Derecho mediante las agencias de calificación, el Derecho blando y la emisión de laudos arbitrales por tribunales priva</w:t>
      </w:r>
      <w:r>
        <w:rPr>
          <w:rFonts w:ascii="Times New Roman" w:hAnsi="Times New Roman" w:cs="Times New Roman"/>
          <w:sz w:val="24"/>
          <w:szCs w:val="24"/>
        </w:rPr>
        <w:t>dos, cierran el círculo siniestro</w:t>
      </w:r>
      <w:r w:rsidRPr="00925CE5">
        <w:rPr>
          <w:rFonts w:ascii="Times New Roman" w:hAnsi="Times New Roman" w:cs="Times New Roman"/>
          <w:sz w:val="24"/>
          <w:szCs w:val="24"/>
        </w:rPr>
        <w:t xml:space="preserve"> de la arquitectura de la impunidad.</w:t>
      </w:r>
    </w:p>
    <w:p w:rsidR="004265B7" w:rsidRPr="003E7D66"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3E7D66">
        <w:rPr>
          <w:rStyle w:val="Textoennegrita"/>
          <w:rFonts w:ascii="Times New Roman" w:hAnsi="Times New Roman" w:cs="Times New Roman"/>
          <w:sz w:val="24"/>
          <w:szCs w:val="24"/>
        </w:rPr>
        <w:t xml:space="preserve">El TTIP combina la desregulación de las obligaciones de las empresas transnacionales con la re-regulación de sus derechos. </w:t>
      </w:r>
      <w:r w:rsidRPr="003E7D66">
        <w:rPr>
          <w:rFonts w:ascii="Times New Roman" w:hAnsi="Times New Roman" w:cs="Times New Roman"/>
          <w:sz w:val="24"/>
          <w:szCs w:val="24"/>
        </w:rPr>
        <w:t>Se pretende eliminar toda barrera -arancelaria o no- que dificulte el desarrollo del libre comercio y de la inversión. Para eso se procede a la armonización normativa a la baja; es decir, si el control financiero es más estricto en EEUU, se armoniza teniendo en cuenta la regulación europea. Si la legislación laboral es más proteccionista en la Unión Europea, se aplican las normas de EEUU que desregulan los derechos de los trabajadores y trabajadoras. Se armoniza desregulando los derechos de las mayorías sociales en todas las materias susceptibles de “comprarse y venderse”. La compra pública responsable que tenga en cuenta los derechos laborales de sus empleados y de las empresas subcontratadas, la promoción del comercio justo, la eliminación de diferencias entre hombres y mujeres… chocará con la idea de derogar toda reglamentación que sea un obstáculo a la apertura de los mercados públicos al comercio y a las inversiones.</w:t>
      </w:r>
    </w:p>
    <w:p w:rsidR="004265B7" w:rsidRPr="003E7D66"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3E7D66">
        <w:rPr>
          <w:rFonts w:ascii="Times New Roman" w:hAnsi="Times New Roman" w:cs="Times New Roman"/>
          <w:sz w:val="24"/>
          <w:szCs w:val="24"/>
        </w:rPr>
        <w:t>Esta técnica clásica del modelo neoliberal se combina con la re-regulación de los derechos de las transnacionales. Si en los 90 el neoliberalismo se planteaba reducir el Estado y dejar vía libre a los mercados, ahora con el TTIP se busca un Estado fuerte que garantice los beneficios de las transnacionales europeas y estadounidenses. El Estado es imprescindible para la acumulación de riqueza del capital y para dirigir y reformar la sociedad al servicio de la grandes corporaciones. El TTIP fortalece los derechos de las mismas.</w:t>
      </w:r>
    </w:p>
    <w:p w:rsidR="004265B7" w:rsidRDefault="004265B7" w:rsidP="004265B7">
      <w:pPr>
        <w:pStyle w:val="NormalWeb"/>
        <w:jc w:val="both"/>
        <w:rPr>
          <w:b/>
        </w:rPr>
      </w:pPr>
      <w:r>
        <w:rPr>
          <w:b/>
        </w:rPr>
        <w:t>3 - Resultados económicos (¿quién a quién?... ganadores y perdedores)</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Trabajo y PIB.</w:t>
      </w:r>
      <w:r w:rsidRPr="00D77765">
        <w:rPr>
          <w:rFonts w:ascii="Times New Roman" w:hAnsi="Times New Roman" w:cs="Times New Roman"/>
          <w:sz w:val="24"/>
          <w:szCs w:val="24"/>
        </w:rPr>
        <w:t xml:space="preserve"> </w:t>
      </w:r>
      <w:r w:rsidRPr="00A25CCC">
        <w:rPr>
          <w:rFonts w:ascii="Times New Roman" w:hAnsi="Times New Roman" w:cs="Times New Roman"/>
          <w:color w:val="000000"/>
          <w:sz w:val="24"/>
          <w:szCs w:val="24"/>
        </w:rPr>
        <w:t>Para sus defensores, gracias al TTIP habrá creación neta de empleo,</w:t>
      </w:r>
      <w:r>
        <w:rPr>
          <w:rFonts w:ascii="Times New Roman" w:hAnsi="Times New Roman" w:cs="Times New Roman"/>
          <w:color w:val="000000"/>
          <w:sz w:val="24"/>
          <w:szCs w:val="24"/>
        </w:rPr>
        <w:t xml:space="preserve"> con 400.000 puestos de trabajo</w:t>
      </w:r>
      <w:r w:rsidRPr="00A25CCC">
        <w:rPr>
          <w:rFonts w:ascii="Times New Roman" w:hAnsi="Times New Roman" w:cs="Times New Roman"/>
          <w:color w:val="000000"/>
          <w:sz w:val="24"/>
          <w:szCs w:val="24"/>
        </w:rPr>
        <w:t xml:space="preserve"> de los cuales prometen 150.000 para España. Sin embargo, otros estudios han alertado de que entre 430.000 y 1,1 millones de empleos podrían verse desplazados como consecuencia de la implementación del tratado.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Beneficio económico.</w:t>
      </w:r>
      <w:r w:rsidRPr="00A25CCC">
        <w:rPr>
          <w:rFonts w:ascii="Times New Roman" w:hAnsi="Times New Roman" w:cs="Times New Roman"/>
          <w:color w:val="000000"/>
          <w:sz w:val="24"/>
          <w:szCs w:val="24"/>
        </w:rPr>
        <w:t xml:space="preserve"> 95.000 millones de dólares es el beneficio que obtendría la economía ame</w:t>
      </w:r>
      <w:r>
        <w:rPr>
          <w:rFonts w:ascii="Times New Roman" w:hAnsi="Times New Roman" w:cs="Times New Roman"/>
          <w:color w:val="000000"/>
          <w:sz w:val="24"/>
          <w:szCs w:val="24"/>
        </w:rPr>
        <w:t xml:space="preserve">ricana, según dicen, si el TTIP </w:t>
      </w:r>
      <w:r w:rsidRPr="00A25CCC">
        <w:rPr>
          <w:rFonts w:ascii="Times New Roman" w:hAnsi="Times New Roman" w:cs="Times New Roman"/>
          <w:color w:val="000000"/>
          <w:sz w:val="24"/>
          <w:szCs w:val="24"/>
        </w:rPr>
        <w:t xml:space="preserve">se implantara. A eso habría que sumar los 119.000 millones de euros de la europea, según la UE.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Exportaciones.</w:t>
      </w:r>
      <w:r w:rsidRPr="00A25CCC">
        <w:rPr>
          <w:rFonts w:ascii="Times New Roman" w:hAnsi="Times New Roman" w:cs="Times New Roman"/>
          <w:color w:val="000000"/>
          <w:sz w:val="24"/>
          <w:szCs w:val="24"/>
        </w:rPr>
        <w:t xml:space="preserve"> El 46% del PIB m</w:t>
      </w:r>
      <w:r>
        <w:rPr>
          <w:rFonts w:ascii="Times New Roman" w:hAnsi="Times New Roman" w:cs="Times New Roman"/>
          <w:color w:val="000000"/>
          <w:sz w:val="24"/>
          <w:szCs w:val="24"/>
        </w:rPr>
        <w:t>undial es lo que representan EE</w:t>
      </w:r>
      <w:r w:rsidRPr="00A25CCC">
        <w:rPr>
          <w:rFonts w:ascii="Times New Roman" w:hAnsi="Times New Roman" w:cs="Times New Roman"/>
          <w:color w:val="000000"/>
          <w:sz w:val="24"/>
          <w:szCs w:val="24"/>
        </w:rPr>
        <w:t xml:space="preserve">UU y Europa. El 25% de las exportaciones mundiales son suyas, así </w:t>
      </w:r>
      <w:r>
        <w:rPr>
          <w:rFonts w:ascii="Times New Roman" w:hAnsi="Times New Roman" w:cs="Times New Roman"/>
          <w:color w:val="000000"/>
          <w:sz w:val="24"/>
          <w:szCs w:val="24"/>
        </w:rPr>
        <w:t xml:space="preserve">como el 57% de las inversiones. </w:t>
      </w:r>
      <w:r w:rsidRPr="00A25CCC">
        <w:rPr>
          <w:rFonts w:ascii="Times New Roman" w:hAnsi="Times New Roman" w:cs="Times New Roman"/>
          <w:color w:val="000000"/>
          <w:sz w:val="24"/>
          <w:szCs w:val="24"/>
        </w:rPr>
        <w:t xml:space="preserve">El TTIP promete un incremento del 28% en las exportaciones.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lastRenderedPageBreak/>
        <w:t>Derechos laborales</w:t>
      </w:r>
      <w:r>
        <w:rPr>
          <w:rFonts w:ascii="Times New Roman" w:hAnsi="Times New Roman" w:cs="Times New Roman"/>
          <w:color w:val="FF0000"/>
          <w:sz w:val="24"/>
          <w:szCs w:val="24"/>
        </w:rPr>
        <w:t>.</w:t>
      </w:r>
      <w:r w:rsidRPr="00A25CCC">
        <w:rPr>
          <w:rFonts w:ascii="Times New Roman" w:hAnsi="Times New Roman" w:cs="Times New Roman"/>
          <w:color w:val="000000"/>
          <w:sz w:val="24"/>
          <w:szCs w:val="24"/>
        </w:rPr>
        <w:t xml:space="preserve"> Armonizar dos modelos laborales tan distintos preocupa a la opinión pública. La Unión Europea ha prometido que con el TTIP no se rebajarán los estándares laborales. Comparando: España ha ratificado 133 convenios de la OIT; Estados Unidos solo 14, y restringe la negociación colectiva y la huelga. </w:t>
      </w:r>
    </w:p>
    <w:p w:rsidR="004265B7" w:rsidRPr="00905B09"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Poder de las multinacionales.</w:t>
      </w:r>
      <w:r w:rsidRPr="00D77765">
        <w:rPr>
          <w:rFonts w:ascii="Times New Roman" w:hAnsi="Times New Roman" w:cs="Times New Roman"/>
          <w:sz w:val="24"/>
          <w:szCs w:val="24"/>
        </w:rPr>
        <w:t xml:space="preserve"> </w:t>
      </w:r>
      <w:r w:rsidRPr="00A25CCC">
        <w:rPr>
          <w:rFonts w:ascii="Times New Roman" w:hAnsi="Times New Roman" w:cs="Times New Roman"/>
          <w:color w:val="000000"/>
          <w:sz w:val="24"/>
          <w:szCs w:val="24"/>
        </w:rPr>
        <w:t xml:space="preserve">269 lobbies del sector privado fueron consultados durante las negociaciones entre 2012 y 2013, según Corporate Europe Observatory. El 90% de las empresas en Europa son pequeñas y medianas. Los críticos creen que destruirá empleo por no poder competir y la UE dice que el tratado las ayudará. </w:t>
      </w:r>
    </w:p>
    <w:p w:rsidR="004265B7" w:rsidRPr="0010135D" w:rsidRDefault="004265B7" w:rsidP="004265B7">
      <w:pPr>
        <w:pStyle w:val="NormalWeb"/>
        <w:jc w:val="both"/>
      </w:pPr>
      <w:r w:rsidRPr="0010135D">
        <w:t>La Unión Europea defiende que estos acuerdos generarán puestos de trabajo, pero la CEPR, think tank fundado por agentes financieros, estiman que el TTIP supondrá una pérdida de entre uno y dos millones de puestos de trabajo.</w:t>
      </w:r>
    </w:p>
    <w:p w:rsidR="004265B7" w:rsidRPr="0010135D" w:rsidRDefault="004265B7" w:rsidP="004265B7">
      <w:pPr>
        <w:pStyle w:val="NormalWeb"/>
        <w:jc w:val="both"/>
      </w:pPr>
    </w:p>
    <w:p w:rsidR="004265B7" w:rsidRPr="0010135D" w:rsidRDefault="004265B7" w:rsidP="004265B7">
      <w:pPr>
        <w:pStyle w:val="NormalWeb"/>
        <w:spacing w:line="240" w:lineRule="atLeast"/>
        <w:jc w:val="both"/>
      </w:pPr>
      <w:r w:rsidRPr="0010135D">
        <w:t xml:space="preserve">El 22 de septiembre de 2014, John Hillary director de Campañas de la ONG War on Want publicaba un post, en el que se calcula, en base a documentos con los que trabaja la propia UE, que, con un escenario cauto, </w:t>
      </w:r>
      <w:r w:rsidRPr="0010135D">
        <w:rPr>
          <w:rStyle w:val="Textoennegrita"/>
          <w:rFonts w:eastAsiaTheme="majorEastAsia"/>
        </w:rPr>
        <w:t>se perderán un millón de empleos en Europa y Estados Unidos.</w:t>
      </w:r>
      <w:r w:rsidRPr="0010135D">
        <w:t xml:space="preserve"> En un escenario de riesgo la pérdida de empleos podría alcanzar los dos millones de empleos destruidos en ambos continentes, según publicó en marzo de 2013 el Centre for Economic Policy Research de Londres, think tank formado por agentes de la banca. </w:t>
      </w:r>
    </w:p>
    <w:p w:rsidR="004265B7" w:rsidRPr="0010135D" w:rsidRDefault="004265B7" w:rsidP="004265B7">
      <w:pPr>
        <w:pStyle w:val="NormalWeb"/>
        <w:spacing w:line="240" w:lineRule="atLeast"/>
        <w:jc w:val="both"/>
      </w:pPr>
    </w:p>
    <w:p w:rsidR="004265B7" w:rsidRPr="0010135D" w:rsidRDefault="004265B7" w:rsidP="004265B7">
      <w:pPr>
        <w:pStyle w:val="NormalWeb"/>
        <w:spacing w:line="240" w:lineRule="atLeast"/>
        <w:jc w:val="both"/>
        <w:rPr>
          <w:rStyle w:val="Textoennegrita"/>
          <w:rFonts w:eastAsiaTheme="majorEastAsia"/>
        </w:rPr>
      </w:pPr>
      <w:r w:rsidRPr="0010135D">
        <w:t xml:space="preserve">El estudio, de marzo de 2013, que fue encargado por la Unión Europea, estimaba que entre un 0,2% y un 0,5% la población europea se verá obligada a cambiar de sector y buscar otro trabajo. Esto, explica Tom Kucharz, afectará especialmente a aquellos sectores industriales que están en desventaja frente a EEUU: </w:t>
      </w:r>
      <w:r w:rsidRPr="0010135D">
        <w:rPr>
          <w:rStyle w:val="Textoennegrita"/>
          <w:rFonts w:eastAsiaTheme="majorEastAsia"/>
        </w:rPr>
        <w:t>ganadería, producción de fertilizantes, equipos de transporte y el sector del metal, así como en los sectores primarios, como la madera y productos de papel, los servicios a empresas y de comunicación.</w:t>
      </w:r>
    </w:p>
    <w:p w:rsidR="004265B7" w:rsidRPr="0010135D"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10135D">
        <w:rPr>
          <w:rFonts w:ascii="Times New Roman" w:hAnsi="Times New Roman" w:cs="Times New Roman"/>
          <w:sz w:val="24"/>
          <w:szCs w:val="24"/>
        </w:rPr>
        <w:t>El estudio del CEPR calcula el nivel de desplazamientos que producirá el TTIP en el empleo, como porcentaje de la fuerza laboral en la UE. Bajo el escenario “ambicioso” del TTIP preferido por los negociadores de la UE, el CEPR revela que al menos 1,3 millones de trabajadores europeos perderán sus puestos de trabajo como resultado directo del acuerdo. Además, unos 715.000 trabajadores estadounidenses también podrían perder sus puestos de trabajo en este escenario, lo que da un total de más de dos millones de puestos de trabajo.</w:t>
      </w:r>
    </w:p>
    <w:p w:rsidR="004265B7" w:rsidRPr="0010135D"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10135D">
        <w:rPr>
          <w:rFonts w:ascii="Times New Roman" w:hAnsi="Times New Roman" w:cs="Times New Roman"/>
          <w:sz w:val="24"/>
          <w:szCs w:val="24"/>
        </w:rPr>
        <w:t>Incluso bajo un escenario menos ambicioso, el estudio del CEPR sobre el TTIP predice que dará lugar a la pérdida directa de más de 680.000 puestos de trabajo en la UE y 325.000 en los EEUU. Esto significa que TTIP dará lugar a la pérdida de al menos un millón de puestos de trabajo entre la UE y los Estados Unidos, sea cual sea el nivel de ambición al que se haya llegado en el Tratado.</w:t>
      </w:r>
    </w:p>
    <w:p w:rsidR="004265B7" w:rsidRPr="007871E8"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7871E8">
        <w:rPr>
          <w:rFonts w:ascii="Times New Roman" w:hAnsi="Times New Roman" w:cs="Times New Roman"/>
          <w:color w:val="000000"/>
          <w:sz w:val="24"/>
          <w:szCs w:val="24"/>
        </w:rPr>
        <w:t>¿Estos trabajadores recién desempleados tendrán alguna posibilidad de encontrar puestos de trabajo alternativos? El estudio del CEPR, por definición, no puede predecir el impacto neto de TTIP en los niveles de empleo, ya que el modelo utilizado en su análisis no calcula la pérdida de trabajo.</w:t>
      </w:r>
    </w:p>
    <w:p w:rsidR="004265B7" w:rsidRPr="0010135D"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10135D">
        <w:rPr>
          <w:rFonts w:ascii="Times New Roman" w:hAnsi="Times New Roman" w:cs="Times New Roman"/>
          <w:sz w:val="24"/>
          <w:szCs w:val="24"/>
        </w:rPr>
        <w:lastRenderedPageBreak/>
        <w:t>La Comisión Europea, sin embargo, admite en su propia evaluación de impacto que el efecto de las pérdidas de empleo del TTIP será “prolongada y sustancial”. En momentos en que las tasas de desempleo en Europa ya se sitúan en niveles récord, la Comisión reconoce las preocupaciones legítimas de que los trabajadores que pierdan su empleo como consecuencia de TTIP no serán capaces de encontrar otro empleo.</w:t>
      </w:r>
    </w:p>
    <w:p w:rsidR="004265B7" w:rsidRPr="0010135D"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10135D">
        <w:rPr>
          <w:rFonts w:ascii="Times New Roman" w:hAnsi="Times New Roman" w:cs="Times New Roman"/>
          <w:sz w:val="24"/>
          <w:szCs w:val="24"/>
        </w:rPr>
        <w:t xml:space="preserve">Eso no es todo, el TTIP representa una amenaza reconocida a las normas laborales, lo que socava la calidad así como la cantidad de trabajo disponible. El TTIP también pretende abrir la contratación pública y los contratos de servicios públicos, que amenaza los derechos laborales por medio de una mayor privatización. </w:t>
      </w:r>
    </w:p>
    <w:p w:rsidR="004265B7" w:rsidRDefault="004265B7" w:rsidP="004265B7">
      <w:pPr>
        <w:pStyle w:val="NormalWeb"/>
        <w:spacing w:line="240" w:lineRule="atLeast"/>
        <w:jc w:val="both"/>
      </w:pPr>
      <w:r w:rsidRPr="0010135D">
        <w:t xml:space="preserve">La Unión Europea “contestó” al documento </w:t>
      </w:r>
      <w:hyperlink r:id="rId98" w:tgtFrame="_blank" w:history="1">
        <w:r w:rsidRPr="004265B7">
          <w:rPr>
            <w:rStyle w:val="Hipervnculo"/>
            <w:color w:val="auto"/>
            <w:u w:val="none"/>
          </w:rPr>
          <w:t>del CEPR</w:t>
        </w:r>
      </w:hyperlink>
      <w:r w:rsidRPr="004265B7">
        <w:t xml:space="preserve"> diciendo que las exportaciones supondrán un aumento de varios millones de puestos de trabajo, pero la Comisión ha reconocido la posibilidad de que la asociación provoque perjuicios “prolongados y considerables” para las personas trabajadoras en Europa, ya que, como explica Kucharz</w:t>
      </w:r>
      <w:r w:rsidRPr="004265B7">
        <w:rPr>
          <w:rStyle w:val="Textoennegrita"/>
          <w:rFonts w:eastAsiaTheme="majorEastAsia"/>
        </w:rPr>
        <w:t xml:space="preserve"> el tratado comercial “fomentará que las empresas se abastezcan de productos y servicios en Estados Unidos donde las normativas laborales son menos exigentes y los derechos sindicales simplemente no existen”.</w:t>
      </w:r>
      <w:r w:rsidRPr="004265B7">
        <w:t xml:space="preserve"> No hay referencias tratándose de un acuerdo que afecta a muchos ámbitos de la vida, sin embargo, en su evaluación del Tratado de Libre Comercio de América del Norte, firmado entre Canadá, EEUU y México, </w:t>
      </w:r>
      <w:hyperlink r:id="rId99" w:tgtFrame="_blank" w:history="1">
        <w:r w:rsidRPr="004265B7">
          <w:rPr>
            <w:rStyle w:val="Hipervnculo"/>
            <w:color w:val="auto"/>
            <w:u w:val="none"/>
          </w:rPr>
          <w:t>la propia CEPR</w:t>
        </w:r>
      </w:hyperlink>
      <w:r w:rsidRPr="004265B7">
        <w:t xml:space="preserve"> </w:t>
      </w:r>
      <w:r w:rsidRPr="0010135D">
        <w:t>habla sin ambages del “deterioro significativo en el mercado laboral” experimentado en México en los años de vigencia del acuerdo, incluso teniendo en cuenta la deficiencia en la medición del empleo en el país centroamericano.</w:t>
      </w:r>
    </w:p>
    <w:p w:rsidR="004265B7" w:rsidRDefault="004265B7" w:rsidP="004265B7">
      <w:pPr>
        <w:pStyle w:val="NormalWeb"/>
        <w:spacing w:line="240" w:lineRule="atLeast"/>
        <w:jc w:val="both"/>
      </w:pPr>
    </w:p>
    <w:p w:rsidR="004265B7" w:rsidRPr="007071C4" w:rsidRDefault="004265B7" w:rsidP="004265B7">
      <w:pPr>
        <w:pStyle w:val="NormalWeb"/>
        <w:spacing w:line="240" w:lineRule="atLeast"/>
        <w:jc w:val="both"/>
      </w:pPr>
      <w:r w:rsidRPr="007071C4">
        <w:t>El incremento de la competencia entre EEUU y la UE por la liberalización comercial podría desatar un proceso de reestructuración productiva que llevaría a la pérdida de</w:t>
      </w:r>
      <w:r>
        <w:t xml:space="preserve"> puestos de trabajo</w:t>
      </w:r>
      <w:r w:rsidRPr="007071C4">
        <w:t>. Esta competición añadida incrementaría el desequilibrio ya existente entre la Europa del centro y la Europa periférica.</w:t>
      </w:r>
    </w:p>
    <w:p w:rsidR="004265B7" w:rsidRPr="00F012CB" w:rsidRDefault="004265B7" w:rsidP="004265B7">
      <w:pPr>
        <w:shd w:val="clear" w:color="auto" w:fill="FFFFFF"/>
        <w:spacing w:before="100" w:beforeAutospacing="1" w:after="100" w:afterAutospacing="1" w:line="240" w:lineRule="auto"/>
        <w:jc w:val="both"/>
        <w:rPr>
          <w:rFonts w:ascii="Times New Roman" w:hAnsi="Times New Roman" w:cs="Times New Roman"/>
          <w:i/>
          <w:sz w:val="24"/>
          <w:szCs w:val="24"/>
          <w:u w:val="single"/>
        </w:rPr>
      </w:pPr>
      <w:r w:rsidRPr="00F012CB">
        <w:rPr>
          <w:rStyle w:val="nfasis"/>
          <w:rFonts w:ascii="Times New Roman" w:hAnsi="Times New Roman" w:cs="Times New Roman"/>
          <w:i w:val="0"/>
          <w:sz w:val="24"/>
          <w:szCs w:val="24"/>
          <w:u w:val="single"/>
        </w:rPr>
        <w:t>Quiebra del principio de igualdad desde las relaciones de poder</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D77765">
        <w:rPr>
          <w:rFonts w:ascii="Times New Roman" w:hAnsi="Times New Roman" w:cs="Times New Roman"/>
          <w:sz w:val="24"/>
          <w:szCs w:val="24"/>
        </w:rPr>
        <w:t>Una interpretación fundamentada en la equidad implica tratar igual a los iguales, pero no igual a los desiguales. No permitir cláusulas de acción positiva a favor de los sectores sociales y económicos más desfavorecidos de los países empobrecidos, significa, en realidad apuntalar prácticas discriminatorias. Firmar contratos, aprobar tratados de comercio e inversiones y aceptar ajustes estructurales bajo la falsa premisa de la igualdad entre las partes, es situar a las relaciones asimétricas de poder en el centro de la técnica jurídica.</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D77765">
        <w:rPr>
          <w:rFonts w:ascii="Times New Roman" w:hAnsi="Times New Roman" w:cs="Times New Roman"/>
          <w:sz w:val="24"/>
          <w:szCs w:val="24"/>
        </w:rPr>
        <w:t>El TTIP se sustenta en esta interpretación del principio de igualdad: tratar igual a las empresas transnacionales y a las pequeñas empresas nacionales, lo que es esencialmente discriminatorio.</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F012CB">
        <w:rPr>
          <w:rStyle w:val="nfasis"/>
          <w:rFonts w:ascii="Times New Roman" w:hAnsi="Times New Roman" w:cs="Times New Roman"/>
          <w:i w:val="0"/>
          <w:sz w:val="24"/>
          <w:szCs w:val="24"/>
          <w:u w:val="single"/>
        </w:rPr>
        <w:t>Trato Justo y Equitativo</w:t>
      </w:r>
      <w:r w:rsidRPr="00D77765">
        <w:rPr>
          <w:rStyle w:val="nfasis"/>
          <w:rFonts w:ascii="Times New Roman" w:hAnsi="Times New Roman" w:cs="Times New Roman"/>
          <w:sz w:val="24"/>
          <w:szCs w:val="24"/>
          <w:u w:val="single"/>
        </w:rPr>
        <w:t>.</w:t>
      </w:r>
      <w:r w:rsidRPr="00D77765">
        <w:rPr>
          <w:rStyle w:val="nfasis"/>
          <w:rFonts w:ascii="Times New Roman" w:hAnsi="Times New Roman" w:cs="Times New Roman"/>
          <w:sz w:val="24"/>
          <w:szCs w:val="24"/>
        </w:rPr>
        <w:t xml:space="preserve"> </w:t>
      </w:r>
      <w:r w:rsidRPr="00D77765">
        <w:rPr>
          <w:rFonts w:ascii="Times New Roman" w:hAnsi="Times New Roman" w:cs="Times New Roman"/>
          <w:sz w:val="24"/>
          <w:szCs w:val="24"/>
        </w:rPr>
        <w:t>Es un concepto jurídico indeterminado que puede adolecer de cierta inseguridad material; pero, enmarcado y dirigido a la protección del inversor extranjero frente al Estado receptor, queda perfectamente delimitado. Por tanto, el Estado receptor no puede discriminar al inversor extranjero y deberá tratarle de manera justa y equitativa. ¿Tratar igual a los desiguales es justo y equitativo?</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F012CB">
        <w:rPr>
          <w:rStyle w:val="nfasis"/>
          <w:rFonts w:ascii="Times New Roman" w:hAnsi="Times New Roman" w:cs="Times New Roman"/>
          <w:i w:val="0"/>
          <w:sz w:val="24"/>
          <w:szCs w:val="24"/>
          <w:u w:val="single"/>
        </w:rPr>
        <w:lastRenderedPageBreak/>
        <w:t>Trato Nacional</w:t>
      </w:r>
      <w:r w:rsidRPr="00F012CB">
        <w:rPr>
          <w:rStyle w:val="nfasis"/>
          <w:rFonts w:ascii="Times New Roman" w:hAnsi="Times New Roman" w:cs="Times New Roman"/>
          <w:i w:val="0"/>
          <w:sz w:val="24"/>
          <w:szCs w:val="24"/>
        </w:rPr>
        <w:t>.</w:t>
      </w:r>
      <w:r w:rsidRPr="00D77765">
        <w:rPr>
          <w:rStyle w:val="nfasis"/>
          <w:rFonts w:ascii="Times New Roman" w:hAnsi="Times New Roman" w:cs="Times New Roman"/>
          <w:sz w:val="24"/>
          <w:szCs w:val="24"/>
        </w:rPr>
        <w:t xml:space="preserve"> </w:t>
      </w:r>
      <w:r w:rsidRPr="00D77765">
        <w:rPr>
          <w:rFonts w:ascii="Times New Roman" w:hAnsi="Times New Roman" w:cs="Times New Roman"/>
          <w:sz w:val="24"/>
          <w:szCs w:val="24"/>
        </w:rPr>
        <w:t>Es un principio central en el funcionamiento del TTIP. Toda ventaja concedida a los inversores nacionales debe extenderse a los extranjeros. Es decir, los inversores nacionales no pueden recibir ayuda alguna del Estado ya que implica quebrar el principio de trato nacional. El apoyo de la administración a empresas de economía solidaria o a circuitos cortos de producción se debe extender a las empresas transnacionales de los agronegocios. Con el trato nacional, por otra parte, la privatización de un servicio público hace muy difícil la reversibilidad del mismo.</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F012CB">
        <w:rPr>
          <w:rStyle w:val="nfasis"/>
          <w:rFonts w:ascii="Times New Roman" w:hAnsi="Times New Roman" w:cs="Times New Roman"/>
          <w:i w:val="0"/>
          <w:sz w:val="24"/>
          <w:szCs w:val="24"/>
          <w:u w:val="single"/>
        </w:rPr>
        <w:t>Nación Más Favorecida</w:t>
      </w:r>
      <w:r w:rsidRPr="00F012CB">
        <w:rPr>
          <w:rStyle w:val="nfasis"/>
          <w:rFonts w:ascii="Times New Roman" w:hAnsi="Times New Roman" w:cs="Times New Roman"/>
          <w:i w:val="0"/>
          <w:sz w:val="24"/>
          <w:szCs w:val="24"/>
        </w:rPr>
        <w:t>.</w:t>
      </w:r>
      <w:r w:rsidRPr="00D77765">
        <w:rPr>
          <w:rFonts w:ascii="Times New Roman" w:hAnsi="Times New Roman" w:cs="Times New Roman"/>
          <w:sz w:val="24"/>
          <w:szCs w:val="24"/>
        </w:rPr>
        <w:t xml:space="preserve"> Las ventajas que acuerden mutuamente dos Estados en un tratado bilateral -o entre Estados en un tratado regional- se extiende automáticamente a los tratados que éstos celebren con otros Estados donde se incluya la cláusula de nación más favorecida, cláusula generalizada en la mayoría de los tratados bilaterales. La idea es que en base al principio de no discriminación no se lesione al inversor extranjero. Lo acordado en el TTIP marca, por sus dimensiones cualitativas y cuantitativas, pautas generales para el comercio mundial.</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F012CB">
        <w:rPr>
          <w:rStyle w:val="nfasis"/>
          <w:rFonts w:ascii="Times New Roman" w:hAnsi="Times New Roman" w:cs="Times New Roman"/>
          <w:i w:val="0"/>
          <w:sz w:val="24"/>
          <w:szCs w:val="24"/>
          <w:u w:val="single"/>
        </w:rPr>
        <w:t>La cláusula paraguas</w:t>
      </w:r>
      <w:r w:rsidRPr="00D77765">
        <w:rPr>
          <w:rStyle w:val="nfasis"/>
          <w:rFonts w:ascii="Times New Roman" w:hAnsi="Times New Roman" w:cs="Times New Roman"/>
          <w:sz w:val="24"/>
          <w:szCs w:val="24"/>
        </w:rPr>
        <w:t>.</w:t>
      </w:r>
      <w:r w:rsidRPr="00D77765">
        <w:rPr>
          <w:rFonts w:ascii="Times New Roman" w:hAnsi="Times New Roman" w:cs="Times New Roman"/>
          <w:sz w:val="24"/>
          <w:szCs w:val="24"/>
        </w:rPr>
        <w:t xml:space="preserve"> Permite a las empresas demandar a los Estados no solo por incumplimientos del Tratado si no por incumplimientos contractuales de un acto soberano no comercial, como las políticas públicas. Bajo semejante régimen las empresas pueden contrarrestar las políticas sanitarias, de protección del medio ambiente, de regulación de las finanzas, de las relaciones laborales… reclamando a los Estados daños y perjuicios ante tribunales extrajudiciales de carácter arbitral. La soberanía de los parlamentos queda supeditada a la cláusula mencionada.</w:t>
      </w:r>
    </w:p>
    <w:p w:rsidR="004265B7" w:rsidRPr="00D77765"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F012CB">
        <w:rPr>
          <w:rStyle w:val="nfasis"/>
          <w:rFonts w:ascii="Times New Roman" w:hAnsi="Times New Roman" w:cs="Times New Roman"/>
          <w:i w:val="0"/>
          <w:sz w:val="24"/>
          <w:szCs w:val="24"/>
          <w:u w:val="single"/>
        </w:rPr>
        <w:t>Expropiación directa o indirecta e indemnizaciones rápidas, adecuadas y eficaces</w:t>
      </w:r>
      <w:r w:rsidRPr="00F012CB">
        <w:rPr>
          <w:rStyle w:val="nfasis"/>
          <w:rFonts w:ascii="Times New Roman" w:hAnsi="Times New Roman" w:cs="Times New Roman"/>
          <w:i w:val="0"/>
          <w:sz w:val="24"/>
          <w:szCs w:val="24"/>
        </w:rPr>
        <w:t>.</w:t>
      </w:r>
      <w:r w:rsidRPr="00D77765">
        <w:rPr>
          <w:rFonts w:ascii="Times New Roman" w:hAnsi="Times New Roman" w:cs="Times New Roman"/>
          <w:sz w:val="24"/>
          <w:szCs w:val="24"/>
        </w:rPr>
        <w:t xml:space="preserve"> Incluye cláusulas sobre las indemnizaciones en caso de expropiaciones u “otras medidas de efecto equivalente”. Se parte de considerar que toda medida, ley, reglamento, acto administrativo… que provoque daño en el patrimonio del inversor debe ser compensado. Además debe tenerse en cuanta tanto el daño emergente como el lucro cesante. Es decir, una inversión paralizada por el poder público debe ser compensada tanto por la cantidad gastada como por el futuro beneficio dejado de percibir.</w:t>
      </w:r>
    </w:p>
    <w:p w:rsidR="004265B7" w:rsidRDefault="004265B7" w:rsidP="004265B7">
      <w:pPr>
        <w:pStyle w:val="NormalWeb"/>
        <w:jc w:val="both"/>
        <w:rPr>
          <w:b/>
        </w:rPr>
      </w:pPr>
      <w:r>
        <w:rPr>
          <w:b/>
        </w:rPr>
        <w:t>4 - Aspectos sanitarios (alimentos, transgénicos, denominaciones de origen)</w:t>
      </w:r>
    </w:p>
    <w:p w:rsidR="004265B7" w:rsidRPr="00840173"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Protección del consumidor</w:t>
      </w:r>
      <w:r w:rsidRPr="00A25CCC">
        <w:rPr>
          <w:rFonts w:ascii="Times New Roman" w:hAnsi="Times New Roman" w:cs="Times New Roman"/>
          <w:color w:val="000000"/>
          <w:sz w:val="24"/>
          <w:szCs w:val="24"/>
        </w:rPr>
        <w:t>. La UE afirma que busca en el tratado una mayor protección del</w:t>
      </w:r>
      <w:r>
        <w:rPr>
          <w:rFonts w:ascii="Times New Roman" w:hAnsi="Times New Roman" w:cs="Times New Roman"/>
          <w:color w:val="000000"/>
          <w:sz w:val="24"/>
          <w:szCs w:val="24"/>
        </w:rPr>
        <w:t xml:space="preserve"> consumidor, abaratando precios </w:t>
      </w:r>
      <w:r w:rsidRPr="00A25CCC">
        <w:rPr>
          <w:rFonts w:ascii="Times New Roman" w:hAnsi="Times New Roman" w:cs="Times New Roman"/>
          <w:color w:val="000000"/>
          <w:sz w:val="24"/>
          <w:szCs w:val="24"/>
        </w:rPr>
        <w:t>y mejorando la competencia, manteniendo niveles de seguridad y salubridad y un comercio sostenib</w:t>
      </w:r>
      <w:r>
        <w:rPr>
          <w:rFonts w:ascii="Times New Roman" w:hAnsi="Times New Roman" w:cs="Times New Roman"/>
          <w:color w:val="000000"/>
          <w:sz w:val="24"/>
          <w:szCs w:val="24"/>
        </w:rPr>
        <w:t>le. Los críticos</w:t>
      </w:r>
      <w:r w:rsidRPr="00A25CCC">
        <w:rPr>
          <w:rFonts w:ascii="Times New Roman" w:hAnsi="Times New Roman" w:cs="Times New Roman"/>
          <w:color w:val="000000"/>
          <w:sz w:val="24"/>
          <w:szCs w:val="24"/>
        </w:rPr>
        <w:t xml:space="preserve"> afirma</w:t>
      </w:r>
      <w:r>
        <w:rPr>
          <w:rFonts w:ascii="Times New Roman" w:hAnsi="Times New Roman" w:cs="Times New Roman"/>
          <w:color w:val="000000"/>
          <w:sz w:val="24"/>
          <w:szCs w:val="24"/>
        </w:rPr>
        <w:t>n</w:t>
      </w:r>
      <w:r w:rsidRPr="00A25CCC">
        <w:rPr>
          <w:rFonts w:ascii="Times New Roman" w:hAnsi="Times New Roman" w:cs="Times New Roman"/>
          <w:color w:val="000000"/>
          <w:sz w:val="24"/>
          <w:szCs w:val="24"/>
        </w:rPr>
        <w:t xml:space="preserve"> que estos estándares serán a la baja y no se protegerá la privacidad.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Seguridad alimentaria</w:t>
      </w:r>
      <w:r w:rsidRPr="00A25CCC">
        <w:rPr>
          <w:rFonts w:ascii="Times New Roman" w:hAnsi="Times New Roman" w:cs="Times New Roman"/>
          <w:color w:val="000000"/>
          <w:sz w:val="24"/>
          <w:szCs w:val="24"/>
        </w:rPr>
        <w:t>. La UE ha afirmado que no rebajará los estándares de seguridad. Para los crític</w:t>
      </w:r>
      <w:r>
        <w:rPr>
          <w:rFonts w:ascii="Times New Roman" w:hAnsi="Times New Roman" w:cs="Times New Roman"/>
          <w:color w:val="000000"/>
          <w:sz w:val="24"/>
          <w:szCs w:val="24"/>
        </w:rPr>
        <w:t xml:space="preserve">os, podría implicar la entrada </w:t>
      </w:r>
      <w:r w:rsidRPr="00A25CCC">
        <w:rPr>
          <w:rFonts w:ascii="Times New Roman" w:hAnsi="Times New Roman" w:cs="Times New Roman"/>
          <w:color w:val="000000"/>
          <w:sz w:val="24"/>
          <w:szCs w:val="24"/>
        </w:rPr>
        <w:t>en</w:t>
      </w:r>
      <w:r>
        <w:rPr>
          <w:rFonts w:ascii="Times New Roman" w:hAnsi="Times New Roman" w:cs="Times New Roman"/>
          <w:color w:val="000000"/>
          <w:sz w:val="24"/>
          <w:szCs w:val="24"/>
        </w:rPr>
        <w:t xml:space="preserve"> la UE de productos transgénicos</w:t>
      </w:r>
      <w:r w:rsidRPr="00A25CCC">
        <w:rPr>
          <w:rFonts w:ascii="Times New Roman" w:hAnsi="Times New Roman" w:cs="Times New Roman"/>
          <w:color w:val="000000"/>
          <w:sz w:val="24"/>
          <w:szCs w:val="24"/>
        </w:rPr>
        <w:t xml:space="preserve"> modificados genéticamente (se estima que el 70% </w:t>
      </w:r>
      <w:r>
        <w:rPr>
          <w:rFonts w:ascii="Times New Roman" w:hAnsi="Times New Roman" w:cs="Times New Roman"/>
          <w:color w:val="000000"/>
          <w:sz w:val="24"/>
          <w:szCs w:val="24"/>
        </w:rPr>
        <w:t>de los productos que procesa EE</w:t>
      </w:r>
      <w:r w:rsidRPr="00A25CCC">
        <w:rPr>
          <w:rFonts w:ascii="Times New Roman" w:hAnsi="Times New Roman" w:cs="Times New Roman"/>
          <w:color w:val="000000"/>
          <w:sz w:val="24"/>
          <w:szCs w:val="24"/>
        </w:rPr>
        <w:t>UU los contienen). Europa prohíbe unos 1</w:t>
      </w:r>
      <w:r>
        <w:rPr>
          <w:rFonts w:ascii="Times New Roman" w:hAnsi="Times New Roman" w:cs="Times New Roman"/>
          <w:color w:val="000000"/>
          <w:sz w:val="24"/>
          <w:szCs w:val="24"/>
        </w:rPr>
        <w:t>.400 productos químicos, EEUU s</w:t>
      </w:r>
      <w:r w:rsidRPr="00A25CCC">
        <w:rPr>
          <w:rFonts w:ascii="Times New Roman" w:hAnsi="Times New Roman" w:cs="Times New Roman"/>
          <w:color w:val="000000"/>
          <w:sz w:val="24"/>
          <w:szCs w:val="24"/>
        </w:rPr>
        <w:t xml:space="preserve">olo 12. </w:t>
      </w:r>
    </w:p>
    <w:p w:rsidR="004265B7" w:rsidRPr="00905B09"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D77765">
        <w:rPr>
          <w:rFonts w:ascii="Times New Roman" w:hAnsi="Times New Roman" w:cs="Times New Roman"/>
          <w:sz w:val="24"/>
          <w:szCs w:val="24"/>
          <w:u w:val="single"/>
        </w:rPr>
        <w:t>Bienestar animal</w:t>
      </w:r>
      <w:r w:rsidRPr="00A25CCC">
        <w:rPr>
          <w:rFonts w:ascii="Times New Roman" w:hAnsi="Times New Roman" w:cs="Times New Roman"/>
          <w:color w:val="000000"/>
          <w:sz w:val="24"/>
          <w:szCs w:val="24"/>
        </w:rPr>
        <w:t>. La UE es menos permisiva con hormonas del crecimiento, piensos modificados genéticamente, y antibióti</w:t>
      </w:r>
      <w:r>
        <w:rPr>
          <w:rFonts w:ascii="Times New Roman" w:hAnsi="Times New Roman" w:cs="Times New Roman"/>
          <w:color w:val="000000"/>
          <w:sz w:val="24"/>
          <w:szCs w:val="24"/>
        </w:rPr>
        <w:t>cos. Los críticos alegan que EE</w:t>
      </w:r>
      <w:r w:rsidRPr="00A25CCC">
        <w:rPr>
          <w:rFonts w:ascii="Times New Roman" w:hAnsi="Times New Roman" w:cs="Times New Roman"/>
          <w:color w:val="000000"/>
          <w:sz w:val="24"/>
          <w:szCs w:val="24"/>
        </w:rPr>
        <w:t>UU tienen leyes de transporte animal anticuadas, y que hay seres que están excluidos de medidas de protección como los de granja o los usados para experimentación.</w:t>
      </w:r>
    </w:p>
    <w:p w:rsidR="004265B7" w:rsidRPr="00D77765" w:rsidRDefault="004265B7" w:rsidP="004265B7">
      <w:pPr>
        <w:pStyle w:val="NormalWeb"/>
        <w:jc w:val="both"/>
      </w:pPr>
      <w:r w:rsidRPr="00D77765">
        <w:lastRenderedPageBreak/>
        <w:t>Como suele ocurrir, son los aspectos más simples y cercanos a la vida diaria los que consiguen levantar las pasiones del gran público. En Alemania, al pollo de clorina se ha sumado recientemente la popular salchicha Nuremberg como “casus belli” de los detractores del TTIP. El detonante fueron unos comentarios del ministro de Agricultura, Christian Schmidt, a la vuelta de una visita a Washington, donde, según cuenta la revista Der Spiegel, fue testigo del tremendo enfado de los colegas estadounidenses sobre la actitud de los europeos en las negociaciones. “Si queremos aprovechar las oportunidades del comercio libre con el enorme mercado norteamericano, no podremos seguir protegiendo cada salchicha y cada queso como una especialidad”, dijo a principios de enero el político de la CSU, los socios en Baviera de la CDU de Merkel.</w:t>
      </w:r>
    </w:p>
    <w:p w:rsidR="004265B7" w:rsidRPr="00D77765" w:rsidRDefault="004265B7" w:rsidP="004265B7">
      <w:pPr>
        <w:pStyle w:val="NormalWeb"/>
        <w:jc w:val="both"/>
      </w:pPr>
    </w:p>
    <w:p w:rsidR="004265B7" w:rsidRPr="00D77765" w:rsidRDefault="004265B7" w:rsidP="004265B7">
      <w:pPr>
        <w:pStyle w:val="NormalWeb"/>
        <w:jc w:val="both"/>
      </w:pPr>
      <w:r w:rsidRPr="00D77765">
        <w:t>Schmidt se refiere a los cientos de productos en Europa que gozan de una “denominación de origen”, como el jamón ibérico y el de Parma, el queso roquefort, el Idiazábal, el whisky escocés y prácticamente todos los vinos y licores. Un Rioja tiene que ser de Rioja y una salchicha Nuremberg tiene que ser de Nuremberg, aunque gran parte de la carne provenga de un cerdo polaco. En EEUU, al contrario, cualquiera puede producir un jamón de Parma y en California hacen vino de Oporto. Los comentarios de Schmidt provocaron una gran convulsión popular. Ante la opinión pública adversa y, aparentemente, un tirón de orejas de la propia Merkel, el ministro tuvo que rectificar. “Conmigo no va a haber salchichas Nuremberg de Kentucky”, prometió el dirigente bávaro. Asunto zanjado.</w:t>
      </w:r>
    </w:p>
    <w:p w:rsidR="004265B7" w:rsidRPr="00645FD6"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645FD6">
        <w:rPr>
          <w:rFonts w:ascii="Times New Roman" w:hAnsi="Times New Roman" w:cs="Times New Roman"/>
          <w:sz w:val="24"/>
          <w:szCs w:val="24"/>
        </w:rPr>
        <w:t xml:space="preserve">En esta fase de la partida estamos en una auténtica guerra de lobbies, y cada sector tiene sus intereses. El Consejo Nacional de Productores de Cerdos de los Estados Unidos ha publicado sus exigencias al TTIP. Exigen que se retire la prohibición de la ractopamina de la UE (un hormona que estimula el crecimiento de los animales), ya que según ellos “no tiene sustento científico”. Competir contra cerdos que crecen más rápido podría perjudicar a los mercados nacionales, lo que llevaría a la homogeneización de su uso. Lo que parecen reclamar es la eliminación del principio de precaución que opera en la UE, por el que si existen dudas para la salud (humana, animal o vegetal) de un producto, este no puede comercializarse. Pero en EEUU la normativa opera al revés: se retira el producto solo cuando existen pruebas fehacientes. Abolir este principio podría llevar a que productos hoy prohibidos (desde los modificados genéticamente o clonados, a pesticidas o medicamentos) tengan una puerta de entrada en la UE. </w:t>
      </w:r>
    </w:p>
    <w:p w:rsidR="004265B7" w:rsidRPr="00645FD6"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645FD6">
        <w:rPr>
          <w:rFonts w:ascii="Times New Roman" w:hAnsi="Times New Roman" w:cs="Times New Roman"/>
          <w:sz w:val="24"/>
          <w:szCs w:val="24"/>
        </w:rPr>
        <w:t xml:space="preserve">“Es un puzle sabiamente articulado. Esto obligaría al resto de productores a competir en este marco aunque no quieran, y a los Estados a legislar a favor por una distorsión de la competencia”, afirma Ramón Franquesa. Lobbies de alimentación y cultivos, como ECPA (europeo) y su homóloga estadounidense Croplife America, han reclamado “una armonización del cálculo del riesgo” en el control de los pesticidas. La posición del Gobierno de EEUU, en palabras del embajador estadounidense de la UE Anthony L. Gardner, es hacer ver a Europa que “está legislando en contra de los criterios científicos”, en referencia a la carne hormonada o los pollos limpiados con cloro. </w:t>
      </w:r>
    </w:p>
    <w:p w:rsidR="004265B7" w:rsidRPr="00645FD6"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645FD6">
        <w:rPr>
          <w:rFonts w:ascii="Times New Roman" w:hAnsi="Times New Roman" w:cs="Times New Roman"/>
          <w:sz w:val="24"/>
          <w:szCs w:val="24"/>
        </w:rPr>
        <w:t xml:space="preserve">A ello hay que sumar otra exigencia de los lobbies estadounidenses: retirar las obligaciones de etiquetado y de denominación de origen, ya que alegan que afecta a la libre competencia; así, el consumidor tampoco podría saber si estos productos contienen materias dudosas o determinar si un vino de Rioja o un jamón de Parma habría sido producido en Texas u Oregón. </w:t>
      </w:r>
    </w:p>
    <w:p w:rsidR="004265B7" w:rsidRPr="00645FD6"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645FD6">
        <w:rPr>
          <w:rFonts w:ascii="Times New Roman" w:eastAsia="Times New Roman" w:hAnsi="Times New Roman" w:cs="Times New Roman"/>
          <w:sz w:val="24"/>
          <w:szCs w:val="24"/>
          <w:lang w:eastAsia="es-ES"/>
        </w:rPr>
        <w:lastRenderedPageBreak/>
        <w:t>¿Que pretende el TTIP? En realidad, lo que busca con desesperación es eliminar las normas reguladoras, las barreras reglamentarias, las normas, cautelas y precauciones en beneficio de la ciudadanía y sus derechos, porque las élites entienden que todo eso reduce sus beneficios posibles. Lo que pretenden es que nada se oponga a sus inversiones y como quieran hacerlas.</w:t>
      </w:r>
    </w:p>
    <w:p w:rsidR="004265B7" w:rsidRPr="00645FD6"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D5CA3">
        <w:rPr>
          <w:rFonts w:ascii="Times New Roman" w:eastAsia="Times New Roman" w:hAnsi="Times New Roman" w:cs="Times New Roman"/>
          <w:sz w:val="24"/>
          <w:szCs w:val="24"/>
          <w:lang w:eastAsia="es-ES"/>
        </w:rPr>
        <w:t>En América Latina, en los noventa, EEUU quiso crear un área de libre comercio con Centroamérica y Sudamérica. Con el señuelo del libre comercio que todo lo enriquece, ese multilateral tratado era simplemente imponer el credo neoliberal del Consenso de Washington que hoy, tras más de veinte años de sufrirlo, sabemos que</w:t>
      </w:r>
      <w:r>
        <w:rPr>
          <w:rFonts w:ascii="Times New Roman" w:eastAsia="Times New Roman" w:hAnsi="Times New Roman" w:cs="Times New Roman"/>
          <w:sz w:val="24"/>
          <w:szCs w:val="24"/>
          <w:lang w:eastAsia="es-ES"/>
        </w:rPr>
        <w:t xml:space="preserve"> ha conducido al desastre a</w:t>
      </w:r>
      <w:r w:rsidRPr="00DD5CA3">
        <w:rPr>
          <w:rFonts w:ascii="Times New Roman" w:eastAsia="Times New Roman" w:hAnsi="Times New Roman" w:cs="Times New Roman"/>
          <w:sz w:val="24"/>
          <w:szCs w:val="24"/>
          <w:lang w:eastAsia="es-ES"/>
        </w:rPr>
        <w:t xml:space="preserve"> una gran mayoría</w:t>
      </w:r>
      <w:r>
        <w:rPr>
          <w:rFonts w:ascii="Times New Roman" w:eastAsia="Times New Roman" w:hAnsi="Times New Roman" w:cs="Times New Roman"/>
          <w:sz w:val="24"/>
          <w:szCs w:val="24"/>
          <w:lang w:eastAsia="es-ES"/>
        </w:rPr>
        <w:t xml:space="preserve"> de la ciudadanía</w:t>
      </w:r>
      <w:r w:rsidRPr="00DD5CA3">
        <w:rPr>
          <w:rFonts w:ascii="Times New Roman" w:eastAsia="Times New Roman" w:hAnsi="Times New Roman" w:cs="Times New Roman"/>
          <w:sz w:val="24"/>
          <w:szCs w:val="24"/>
          <w:lang w:eastAsia="es-ES"/>
        </w:rPr>
        <w:t xml:space="preserve"> y de la clase trabajadora. Porque </w:t>
      </w:r>
      <w:r w:rsidRPr="00645FD6">
        <w:rPr>
          <w:rFonts w:ascii="Times New Roman" w:eastAsia="Times New Roman" w:hAnsi="Times New Roman" w:cs="Times New Roman"/>
          <w:sz w:val="24"/>
          <w:szCs w:val="24"/>
          <w:lang w:eastAsia="es-ES"/>
        </w:rPr>
        <w:t>lo que pretendía y pretende EEUU, y también la muy neoliberal Unión Europea, es aplicar rígidamente las políticas “liberticidas” de desregulación, ausencia de control, rebajas fiscales y privatización de todo lo público en beneficio de la élite económica y financiera.</w:t>
      </w:r>
    </w:p>
    <w:p w:rsidR="004265B7" w:rsidRPr="00B64A23"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DD5CA3">
        <w:rPr>
          <w:rFonts w:ascii="Times New Roman" w:eastAsia="Times New Roman" w:hAnsi="Times New Roman" w:cs="Times New Roman"/>
          <w:sz w:val="24"/>
          <w:szCs w:val="24"/>
          <w:lang w:eastAsia="es-ES"/>
        </w:rPr>
        <w:t>Cuando EEUU renunció al tratado multilateral con Sudamérica y Centro América, por las protestas, la movilización de activistas y</w:t>
      </w:r>
      <w:r>
        <w:rPr>
          <w:rFonts w:ascii="Times New Roman" w:eastAsia="Times New Roman" w:hAnsi="Times New Roman" w:cs="Times New Roman"/>
          <w:sz w:val="24"/>
          <w:szCs w:val="24"/>
          <w:lang w:eastAsia="es-ES"/>
        </w:rPr>
        <w:t xml:space="preserve"> posturas de algunos gobiernos,</w:t>
      </w:r>
      <w:r w:rsidRPr="00D05A86">
        <w:rPr>
          <w:rFonts w:ascii="Times New Roman" w:eastAsia="Times New Roman" w:hAnsi="Times New Roman" w:cs="Times New Roman"/>
          <w:color w:val="FF0000"/>
          <w:sz w:val="24"/>
          <w:szCs w:val="24"/>
          <w:lang w:eastAsia="es-ES"/>
        </w:rPr>
        <w:t xml:space="preserve"> </w:t>
      </w:r>
      <w:r w:rsidRPr="00DD5CA3">
        <w:rPr>
          <w:rFonts w:ascii="Times New Roman" w:eastAsia="Times New Roman" w:hAnsi="Times New Roman" w:cs="Times New Roman"/>
          <w:sz w:val="24"/>
          <w:szCs w:val="24"/>
          <w:lang w:eastAsia="es-ES"/>
        </w:rPr>
        <w:t>negoció y firmó tratados bilaterales con Colombia, Perú, Chile</w:t>
      </w:r>
      <w:r>
        <w:rPr>
          <w:rFonts w:ascii="Times New Roman" w:eastAsia="Times New Roman" w:hAnsi="Times New Roman" w:cs="Times New Roman"/>
          <w:sz w:val="24"/>
          <w:szCs w:val="24"/>
          <w:lang w:eastAsia="es-ES"/>
        </w:rPr>
        <w:t xml:space="preserve">, y </w:t>
      </w:r>
      <w:r w:rsidRPr="00B64A23">
        <w:rPr>
          <w:rFonts w:ascii="Times New Roman" w:eastAsia="Times New Roman" w:hAnsi="Times New Roman" w:cs="Times New Roman"/>
          <w:sz w:val="24"/>
          <w:szCs w:val="24"/>
          <w:lang w:eastAsia="es-ES"/>
        </w:rPr>
        <w:t>con México y Canadá, el NAFTA. Como dan fe las hemerotecas y archivos, este último tratado tuvo graves consecuencias para la agricultura e industria mexicanas, se destruyeron millones de empleos en México y Estados Unidos y ese tratado solo benefició de verdad a grandes empresas de ambos lados, al tiempo que provocaba una intensa y abundante migración hacia EEUU y limitaba las posibilidades de desarrollo de México.</w:t>
      </w:r>
    </w:p>
    <w:p w:rsidR="004265B7" w:rsidRPr="00B64A23"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B64A23">
        <w:rPr>
          <w:rFonts w:ascii="Times New Roman" w:eastAsia="Times New Roman" w:hAnsi="Times New Roman" w:cs="Times New Roman"/>
          <w:sz w:val="24"/>
          <w:szCs w:val="24"/>
          <w:lang w:eastAsia="es-ES"/>
        </w:rPr>
        <w:t>Según un estudio de Thirlwall y Penelope Pacheco-López “no hay evidencia alguna de que los tratados comerciales hayan mejorado la vida de los ciudadanos de los países firmantes“. Pero sí de lo contrario.</w:t>
      </w:r>
    </w:p>
    <w:p w:rsidR="004265B7" w:rsidRPr="00B64A23"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B64A23">
        <w:rPr>
          <w:rFonts w:ascii="Times New Roman" w:eastAsia="Times New Roman" w:hAnsi="Times New Roman" w:cs="Times New Roman"/>
          <w:sz w:val="24"/>
          <w:szCs w:val="24"/>
          <w:lang w:eastAsia="es-ES"/>
        </w:rPr>
        <w:t>La razón de ser de los tratados, aunque los maquillen o disfracen, es apoyar sin fisuras a las empresas en los países receptores de las inversiones frente a las actuaciones de sus gobiernos. Porque, en realidad, los tratados son sistemas jurídicos paralelos para que las multinacionales incumplan las leyes nacionales. Y, por supuesto, para imponer al país receptor la política económica que convenga a los inversores, es decir, a las corporaciones transnacionales.</w:t>
      </w:r>
    </w:p>
    <w:p w:rsidR="004265B7" w:rsidRPr="00B64A23"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B64A23">
        <w:rPr>
          <w:rFonts w:ascii="Times New Roman" w:eastAsia="Times New Roman" w:hAnsi="Times New Roman" w:cs="Times New Roman"/>
          <w:sz w:val="24"/>
          <w:szCs w:val="24"/>
          <w:lang w:eastAsia="es-ES"/>
        </w:rPr>
        <w:t>Si se aprueba el Tratado se violarán sistemáticamente derechos humanos universales e inalienables desde la alimentación adecuada, agua, salud, derechos sexuales y reproductivos, integridad física y psíquica, ropa, vivienda, educación, protección social, movilidad, cultura, ocio y un medio ambiente limpio, trabajo decente, que permita a la gente tener una vida digna, incluyendo una renta adecuada y derechos laborales… Lo que busca el TTIP es además una amenaza para el empleo y los derechos de los trabajadores. Incluso la Comisión Europea reconoce que muchos puestos de trabajo se verán amenazados por la competencia estadounidense, además de que las normativas laborales en EEUU son menos exigentes, débiles o no existen contagiarán a las europeas.</w:t>
      </w:r>
    </w:p>
    <w:p w:rsidR="004265B7" w:rsidRPr="00B64A23" w:rsidRDefault="004265B7" w:rsidP="004265B7">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sidRPr="00B64A23">
        <w:rPr>
          <w:rFonts w:ascii="Times New Roman" w:eastAsia="Times New Roman" w:hAnsi="Times New Roman" w:cs="Times New Roman"/>
          <w:sz w:val="24"/>
          <w:szCs w:val="24"/>
          <w:lang w:eastAsia="es-ES"/>
        </w:rPr>
        <w:t xml:space="preserve">La regulación europea de salud pública y medio ambiente, que hasta hoy es más garantista que la que hay en Estado Unidos, se verá afectada por el TTIP. Hoy el 70% de los productos alimenticios que se venden en los supermercados estadounidenses contienen ingredientes genéticamente modificados; en Europa, no. Por contra, en Europa funciona el principio de cautela: antes de poner un producto en el mercado hay que probar más allá </w:t>
      </w:r>
      <w:r w:rsidRPr="00B64A23">
        <w:rPr>
          <w:rFonts w:ascii="Times New Roman" w:eastAsia="Times New Roman" w:hAnsi="Times New Roman" w:cs="Times New Roman"/>
          <w:sz w:val="24"/>
          <w:szCs w:val="24"/>
          <w:lang w:eastAsia="es-ES"/>
        </w:rPr>
        <w:lastRenderedPageBreak/>
        <w:t>de dudas razonables que no es perjudicial. En Estados Unidos ocurre lo contrario: para que un producto sea retirado por su peligro potencial, hay que demostrarlo de tal manera que supone en trabajo descomunal. Pesticidas, sustancias químicas que afectan al sistema hormonal humano, pollos y pavos de consumo humano lavados con cloro camparán a su aire según el modo y práctica estadounidenses.</w:t>
      </w:r>
    </w:p>
    <w:p w:rsidR="004265B7"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B64A23">
        <w:rPr>
          <w:rFonts w:ascii="Times New Roman" w:eastAsia="Times New Roman" w:hAnsi="Times New Roman" w:cs="Times New Roman"/>
          <w:bCs/>
          <w:iCs/>
          <w:sz w:val="24"/>
          <w:szCs w:val="24"/>
          <w:lang w:eastAsia="es-ES"/>
        </w:rPr>
        <w:t>L</w:t>
      </w:r>
      <w:r w:rsidRPr="00B64A23">
        <w:rPr>
          <w:rFonts w:ascii="Times New Roman" w:eastAsia="Times New Roman" w:hAnsi="Times New Roman" w:cs="Times New Roman"/>
          <w:sz w:val="24"/>
          <w:szCs w:val="24"/>
          <w:lang w:eastAsia="es-ES"/>
        </w:rPr>
        <w:t>as multinacionales controlarán la producción de semillas y alimentos. Se irán eliminando las pequeñas y medianas explotaciones agrarias, a favor de las grandes explotaciones, imposición a gran escala  de la agricultura industrial y pérdida de producciones ecológicas. Entrada libre de transgénicos y eliminación del etiquetado. Se eliminan las normas europeas de seguridad alimentaria y derechos del consumidor. Se podrán introducir en  los alimentos todo tipo de agrotóxicos que en Europa están prohibidos.</w:t>
      </w:r>
    </w:p>
    <w:p w:rsidR="004265B7" w:rsidRPr="00F84A4A"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29741D">
        <w:rPr>
          <w:rFonts w:ascii="Times New Roman" w:eastAsia="Times New Roman" w:hAnsi="Times New Roman" w:cs="Times New Roman"/>
          <w:sz w:val="24"/>
          <w:szCs w:val="24"/>
          <w:u w:val="single"/>
          <w:lang w:eastAsia="es-ES"/>
        </w:rPr>
        <w:t>Agricultores y consumidores a merced de la agricultura industrial</w:t>
      </w:r>
      <w:r w:rsidRPr="00F84A4A">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 xml:space="preserve">(Fuente: </w:t>
      </w:r>
      <w:r w:rsidRPr="00F84A4A">
        <w:rPr>
          <w:rFonts w:ascii="Times New Roman" w:eastAsia="Times New Roman" w:hAnsi="Times New Roman" w:cs="Times New Roman"/>
          <w:sz w:val="24"/>
          <w:szCs w:val="24"/>
          <w:lang w:eastAsia="es-ES"/>
        </w:rPr>
        <w:t>“A Brave New Transatlantic Partnership”</w:t>
      </w:r>
      <w:r>
        <w:rPr>
          <w:rFonts w:ascii="Times New Roman" w:eastAsia="Times New Roman" w:hAnsi="Times New Roman" w:cs="Times New Roman"/>
          <w:sz w:val="24"/>
          <w:szCs w:val="24"/>
          <w:lang w:eastAsia="es-ES"/>
        </w:rPr>
        <w:t xml:space="preserve"> - ATTAC)</w:t>
      </w: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La llamada “armonización de las normas y estándares” de la UE y EEUU pretende eliminar no sólo los aranceles, sino cualquier tipo de barrera que obstaculice el comercio transatlántico. Esto nos llevaría a tener que aceptar en la UE los alimentos modificados genéticamente, la carne de ternera y el cerdo tratados hormonalmente y el pollo desinfectado con cloro, que se usa para eliminar los microbios en la producción de carne de pollo, ya que el TTIP limitaría el “Principio de Precaución” europeo en el cual se basa la regulación alimentaria y los derechos de los consumidores europeos. </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Además, la reducción o eliminación de los aranceles llevaría a los agricultores europeos a una mayor competición internacional frente a las compañías agrícolas americanas. Si se llevase a cabo y de forma paralela, la eliminación de los aranceles y las barreras no arancelarias, seríamos además testigos de una mayor concentración de poder económico en manos de las corporaciones del negocio agrícola a costa de los agricultores y consumidores. </w:t>
      </w:r>
    </w:p>
    <w:p w:rsidR="004265B7" w:rsidRPr="00F84A4A" w:rsidRDefault="004265B7" w:rsidP="004265B7">
      <w:pPr>
        <w:pStyle w:val="Default"/>
        <w:jc w:val="both"/>
        <w:rPr>
          <w:rFonts w:ascii="Times New Roman" w:hAnsi="Times New Roman" w:cs="Times New Roman"/>
        </w:rPr>
      </w:pPr>
    </w:p>
    <w:p w:rsidR="004265B7" w:rsidRPr="00F84A4A"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En EEUU, la granja media es 13 veces más grande que sus homólogas europeas, y como la concentración del negocio en grandes corporaciones ha sido progresiva, en la actualidad sólo hay 2 millones de granjas americanas frente a los 13 millones de granjas europeas. Además de ser más pequeñas, las granjas europeas deben atenerse a unas regulaciones y normas más estrictas. Si el TTIP se llevara a cabo según está planeado, dañaría peligrosamente los intentos de reformar la política agraria europea sobre un asentamiento sostenible, social, económica y medioambientalmente, pondría también el punto final a los pequeños circuitos que se han creado entre productores y consumidores, así como con el apoyo necesario para los sistemas de alimentación local y regional. En su lugar, la competición con los agricultores americanos nos llevaría a la aceleración de la concentración de la producción agrícola en unas pocas corporaciones, a la reducción de trabajadores del sector agrícola y consecuentemente, a un mayor porcentaje de desempleo, según reconoció el propio estudio de evaluación de la Comisión Europea. </w:t>
      </w:r>
    </w:p>
    <w:p w:rsidR="004265B7" w:rsidRPr="00F84A4A"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F84A4A">
        <w:rPr>
          <w:rFonts w:ascii="Times New Roman" w:hAnsi="Times New Roman" w:cs="Times New Roman"/>
          <w:sz w:val="24"/>
          <w:szCs w:val="24"/>
        </w:rPr>
        <w:t xml:space="preserve">La UE requiere que los productos que se derivan de la biotecnología sean etiquetados, lo que impide la entrada de muchos productos americanos. La Organización de la Industria de la Biotecnología de hecho, está instando para que se normalicen dichos productos, mientras la Comisión Europea (CE) ha asegurado a los consumidores que la ley sobre </w:t>
      </w:r>
      <w:r w:rsidRPr="00F84A4A">
        <w:rPr>
          <w:rFonts w:ascii="Times New Roman" w:hAnsi="Times New Roman" w:cs="Times New Roman"/>
          <w:sz w:val="24"/>
          <w:szCs w:val="24"/>
        </w:rPr>
        <w:lastRenderedPageBreak/>
        <w:t>alimentos modificados genéticamente no se puede negociar. Sin embargo, si la CE va cediendo a la presión de las compañías sobre la Autoridad de Seguridad Alimentaria europea, podríamos ver como se debilitan estas regulaciones para equipararse a las americanas, donde los productos modificados genéticamente no necesitan ser supervisados, no necesitan realizar test de seguridad o ser etiquetados, ya que se asume que estos productos son iguales que la comida no modificada genéticamente.</w:t>
      </w: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De hecho, los consumidores europeos están muy sensibilizados respecto a este tema y se oponen a este tipo de alimentos, lo que podría ser soslayado de aprobarse el TTIP, ya que este acuerdo escapa a una discusión pública abierta. </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Si se legitimara la industria de los alimentos modificados genéticamente, no sólo entrarían rápidamente en el mercado europeo, sino que gracias al “reconocimiento mutuo” de estándares y normas de la UE y EEUU, estos productos importados no tendrían necesidad de etiquetarse, lo que debilitaría los derechos de los consumidores y el “Principio de Precaución” europeo. </w:t>
      </w:r>
    </w:p>
    <w:p w:rsidR="004265B7" w:rsidRPr="00F84A4A" w:rsidRDefault="004265B7" w:rsidP="004265B7">
      <w:pPr>
        <w:pStyle w:val="Default"/>
        <w:jc w:val="both"/>
        <w:rPr>
          <w:rFonts w:ascii="Times New Roman" w:hAnsi="Times New Roman" w:cs="Times New Roman"/>
        </w:rPr>
      </w:pPr>
    </w:p>
    <w:p w:rsidR="004265B7" w:rsidRPr="00F84A4A"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De momento, las grandes corporaciones biotecnológicas como Monsanto, DuPont y Dow Chemical, productores de alimentos y químicos modificados genéticamente, han lanzado una campaña masiva en EEUU para contrarrestar el sentimiento público cada vez más fuerte contra estos productos. Sólo en California, la industria biotecnológica se gastó en 2012, 40 millones de dólares para derrotar una medida que proponía eliminar el etiquetaje de estos productos, hay iniciativas similares en más de 20 estados en la actualidad. El TTIP ofrecería una herramienta útil para frenar y acabar con estas iniciativas llevadas a cabo por los consumidores. </w:t>
      </w:r>
    </w:p>
    <w:p w:rsidR="004265B7" w:rsidRPr="00F84A4A" w:rsidRDefault="004265B7" w:rsidP="004265B7">
      <w:pPr>
        <w:pStyle w:val="Default"/>
        <w:jc w:val="both"/>
        <w:rPr>
          <w:rFonts w:ascii="Times New Roman" w:hAnsi="Times New Roman" w:cs="Times New Roman"/>
        </w:rPr>
      </w:pPr>
    </w:p>
    <w:p w:rsidR="004265B7" w:rsidRPr="00F84A4A" w:rsidRDefault="004265B7" w:rsidP="004265B7">
      <w:pPr>
        <w:pStyle w:val="Default"/>
        <w:jc w:val="both"/>
        <w:rPr>
          <w:rFonts w:ascii="Times New Roman" w:hAnsi="Times New Roman" w:cs="Times New Roman"/>
          <w:bCs/>
        </w:rPr>
      </w:pPr>
      <w:r w:rsidRPr="00F84A4A">
        <w:rPr>
          <w:rFonts w:ascii="Times New Roman" w:hAnsi="Times New Roman" w:cs="Times New Roman"/>
          <w:bCs/>
        </w:rPr>
        <w:t>Carn</w:t>
      </w:r>
      <w:r>
        <w:rPr>
          <w:rFonts w:ascii="Times New Roman" w:hAnsi="Times New Roman" w:cs="Times New Roman"/>
          <w:bCs/>
        </w:rPr>
        <w:t>e tratada con hormonas y cloro</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En los años 80 y 90, la UE introdujo una serie de prohibiciones sobre algunos alimentos americanos como consecuencia de nuestras más estrictas normas de salud en la producción alimentaria y porque estos productos entrañaban algunos riesgos para la salud de los europeos. </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En EEUU los agricultores crían a los terneros y proporcionan a las vacas un tratamiento hormonal para incrementar su productividad, como es el caso de la Somatrotropina Bovina Recombinante, la cual se sospecha que produce cáncer en humanos. A su vez, también se trata a los cerdos con “Clorhidrato de Ractopamina”, lo que refuerza su crecimiento. Sin embargo, esta droga con la que se alimenta a los cerdos justo hasta el momento en que se les sacrifica, ha sido encontrada en la carne de cerdo vendida al consumidor, lo que llevó a su prohibición por la UE. De todos modos, los productores de cerdo americanos sostienen que no aceptarán ninguna otra propuesta que no sea la eliminación de esta prohibición en el uso de la ractopamina en el proceso de producción, la cual creen que es una violación de las ley</w:t>
      </w:r>
      <w:r w:rsidR="00B96388">
        <w:rPr>
          <w:rFonts w:ascii="Times New Roman" w:hAnsi="Times New Roman" w:cs="Times New Roman"/>
        </w:rPr>
        <w:t xml:space="preserve">es del comercio internacional. </w:t>
      </w:r>
      <w:r w:rsidRPr="00F84A4A">
        <w:rPr>
          <w:rFonts w:ascii="Times New Roman" w:hAnsi="Times New Roman" w:cs="Times New Roman"/>
        </w:rPr>
        <w:t>También el pollo americano fue prohibido en Europa debido a que su carne se lava con cloro, siendo además inefectivo para matar las bacterias peligrosas como la salmonella, el cloro todavía se encuentra en la carne de pollo servida al consumidor.</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F84A4A">
        <w:rPr>
          <w:rFonts w:ascii="Times New Roman" w:hAnsi="Times New Roman" w:cs="Times New Roman"/>
        </w:rPr>
        <w:t xml:space="preserve">Dado que el objetivo del TTIP es llegar a la armonización de las normas y estándares a ambos lados del Atlántico, hay serias duda y preocupación por la eliminación de las prohibiciones europeas sin consideración por las preocupaciones y deseos de los </w:t>
      </w:r>
      <w:r w:rsidRPr="00F84A4A">
        <w:rPr>
          <w:rFonts w:ascii="Times New Roman" w:hAnsi="Times New Roman" w:cs="Times New Roman"/>
        </w:rPr>
        <w:lastRenderedPageBreak/>
        <w:t>ciudadanos europeos. Si se llegara a llevar a cabo, el impacto del TTIP afectaría al sector alimentario a todos los niveles, desde la producción al consumo, con las transnacionales teniendo pleno control en cada peldaño del proceso.</w:t>
      </w:r>
    </w:p>
    <w:p w:rsidR="004265B7" w:rsidRPr="00F84A4A" w:rsidRDefault="004265B7" w:rsidP="004265B7">
      <w:pPr>
        <w:pStyle w:val="Default"/>
        <w:jc w:val="both"/>
        <w:rPr>
          <w:rFonts w:ascii="Times New Roman" w:hAnsi="Times New Roman" w:cs="Times New Roman"/>
        </w:rPr>
      </w:pPr>
    </w:p>
    <w:p w:rsidR="004265B7" w:rsidRDefault="004265B7" w:rsidP="004265B7">
      <w:pPr>
        <w:pStyle w:val="NormalWeb"/>
        <w:jc w:val="both"/>
        <w:rPr>
          <w:b/>
        </w:rPr>
      </w:pPr>
      <w:r>
        <w:rPr>
          <w:b/>
        </w:rPr>
        <w:t>5 - Energía (fracking) y medio ambiente</w:t>
      </w:r>
    </w:p>
    <w:p w:rsidR="004265B7" w:rsidRPr="004C501D"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4C501D">
        <w:rPr>
          <w:rFonts w:ascii="Times New Roman" w:eastAsia="Times New Roman" w:hAnsi="Times New Roman" w:cs="Times New Roman"/>
          <w:sz w:val="24"/>
          <w:szCs w:val="24"/>
          <w:lang w:eastAsia="es-ES"/>
        </w:rPr>
        <w:t xml:space="preserve">Una aventurada </w:t>
      </w:r>
      <w:r w:rsidRPr="004C501D">
        <w:rPr>
          <w:rFonts w:ascii="Times New Roman" w:eastAsia="Times New Roman" w:hAnsi="Times New Roman" w:cs="Times New Roman"/>
          <w:bCs/>
          <w:sz w:val="24"/>
          <w:szCs w:val="24"/>
          <w:lang w:eastAsia="es-ES"/>
        </w:rPr>
        <w:t>liberalización de los mercados</w:t>
      </w:r>
      <w:r w:rsidRPr="004C501D">
        <w:rPr>
          <w:rFonts w:ascii="Times New Roman" w:eastAsia="Times New Roman" w:hAnsi="Times New Roman" w:cs="Times New Roman"/>
          <w:sz w:val="24"/>
          <w:szCs w:val="24"/>
          <w:lang w:eastAsia="es-ES"/>
        </w:rPr>
        <w:t xml:space="preserve">, una peligrosa </w:t>
      </w:r>
      <w:r w:rsidRPr="004C501D">
        <w:rPr>
          <w:rFonts w:ascii="Times New Roman" w:eastAsia="Times New Roman" w:hAnsi="Times New Roman" w:cs="Times New Roman"/>
          <w:bCs/>
          <w:sz w:val="24"/>
          <w:szCs w:val="24"/>
          <w:lang w:eastAsia="es-ES"/>
        </w:rPr>
        <w:t xml:space="preserve">desregulación de derechos de los consumidores </w:t>
      </w:r>
      <w:r w:rsidRPr="004C501D">
        <w:rPr>
          <w:rFonts w:ascii="Times New Roman" w:eastAsia="Times New Roman" w:hAnsi="Times New Roman" w:cs="Times New Roman"/>
          <w:sz w:val="24"/>
          <w:szCs w:val="24"/>
          <w:lang w:eastAsia="es-ES"/>
        </w:rPr>
        <w:t xml:space="preserve">ya adquiridos, la enorme </w:t>
      </w:r>
      <w:r w:rsidRPr="004C501D">
        <w:rPr>
          <w:rFonts w:ascii="Times New Roman" w:eastAsia="Times New Roman" w:hAnsi="Times New Roman" w:cs="Times New Roman"/>
          <w:bCs/>
          <w:sz w:val="24"/>
          <w:szCs w:val="24"/>
          <w:lang w:eastAsia="es-ES"/>
        </w:rPr>
        <w:t>pérdida del empleo</w:t>
      </w:r>
      <w:r w:rsidRPr="004C501D">
        <w:rPr>
          <w:rFonts w:ascii="Times New Roman" w:eastAsia="Times New Roman" w:hAnsi="Times New Roman" w:cs="Times New Roman"/>
          <w:sz w:val="24"/>
          <w:szCs w:val="24"/>
          <w:lang w:eastAsia="es-ES"/>
        </w:rPr>
        <w:t xml:space="preserve"> en tiempos de crisis, la </w:t>
      </w:r>
      <w:r w:rsidRPr="004C501D">
        <w:rPr>
          <w:rFonts w:ascii="Times New Roman" w:eastAsia="Times New Roman" w:hAnsi="Times New Roman" w:cs="Times New Roman"/>
          <w:bCs/>
          <w:sz w:val="24"/>
          <w:szCs w:val="24"/>
          <w:lang w:eastAsia="es-ES"/>
        </w:rPr>
        <w:t>destrucción del medioambiente</w:t>
      </w:r>
      <w:r w:rsidRPr="004C501D">
        <w:rPr>
          <w:rFonts w:ascii="Times New Roman" w:eastAsia="Times New Roman" w:hAnsi="Times New Roman" w:cs="Times New Roman"/>
          <w:sz w:val="24"/>
          <w:szCs w:val="24"/>
          <w:lang w:eastAsia="es-ES"/>
        </w:rPr>
        <w:t xml:space="preserve"> o la posibilidad de que grandes multinacionales puedan demandar a los estados si limitan sus beneficios</w:t>
      </w:r>
      <w:r w:rsidRPr="004C501D">
        <w:rPr>
          <w:rFonts w:ascii="Times New Roman" w:eastAsia="Times New Roman" w:hAnsi="Times New Roman" w:cs="Times New Roman"/>
          <w:bCs/>
          <w:sz w:val="24"/>
          <w:szCs w:val="24"/>
          <w:lang w:eastAsia="es-ES"/>
        </w:rPr>
        <w:t>, s</w:t>
      </w:r>
      <w:r w:rsidRPr="004C501D">
        <w:rPr>
          <w:rFonts w:ascii="Times New Roman" w:eastAsia="Times New Roman" w:hAnsi="Times New Roman" w:cs="Times New Roman"/>
          <w:sz w:val="24"/>
          <w:szCs w:val="24"/>
          <w:lang w:eastAsia="es-ES"/>
        </w:rPr>
        <w:t>on algunos de los aspectos más comprometidos que se están negociando en secreto con este tratado internacional.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B64A23">
        <w:rPr>
          <w:rFonts w:ascii="Times New Roman" w:hAnsi="Times New Roman" w:cs="Times New Roman"/>
          <w:sz w:val="24"/>
          <w:szCs w:val="24"/>
          <w:u w:val="single"/>
        </w:rPr>
        <w:t>Energía.</w:t>
      </w:r>
      <w:r w:rsidRPr="00B64A23">
        <w:rPr>
          <w:rFonts w:ascii="Times New Roman" w:hAnsi="Times New Roman" w:cs="Times New Roman"/>
          <w:sz w:val="24"/>
          <w:szCs w:val="24"/>
        </w:rPr>
        <w:t xml:space="preserve"> </w:t>
      </w:r>
      <w:r w:rsidRPr="00A25CCC">
        <w:rPr>
          <w:rFonts w:ascii="Times New Roman" w:hAnsi="Times New Roman" w:cs="Times New Roman"/>
          <w:color w:val="000000"/>
          <w:sz w:val="24"/>
          <w:szCs w:val="24"/>
        </w:rPr>
        <w:t>Una de las principales líneas de negociación es la energía, con la intenció</w:t>
      </w:r>
      <w:r>
        <w:rPr>
          <w:rFonts w:ascii="Times New Roman" w:hAnsi="Times New Roman" w:cs="Times New Roman"/>
          <w:color w:val="000000"/>
          <w:sz w:val="24"/>
          <w:szCs w:val="24"/>
        </w:rPr>
        <w:t>n de la UE de abastecerse de EE</w:t>
      </w:r>
      <w:r w:rsidRPr="00A25CCC">
        <w:rPr>
          <w:rFonts w:ascii="Times New Roman" w:hAnsi="Times New Roman" w:cs="Times New Roman"/>
          <w:color w:val="000000"/>
          <w:sz w:val="24"/>
          <w:szCs w:val="24"/>
        </w:rPr>
        <w:t xml:space="preserve">UU, ya que es el principal productor de gas de fractura hidráulica o fracking, con más de 500.000 pozos, según Ecologistas en Acción. Los críticos temen que esta técnica se extienda por la UE. </w:t>
      </w:r>
    </w:p>
    <w:p w:rsidR="004265B7" w:rsidRPr="0029741D"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29741D">
        <w:rPr>
          <w:rFonts w:ascii="Times New Roman" w:hAnsi="Times New Roman" w:cs="Times New Roman"/>
          <w:sz w:val="24"/>
          <w:szCs w:val="24"/>
        </w:rPr>
        <w:t>El “fracking” ha sido tema de portada en las noticias debido a los impactos negativos de esta técnica sobre la salud y el medio ambiente, los cuales incluyen gas metano que escapa al medio ambiente (con la posibilidad de crear serias explosiones) y agua de los pozos de donde se extrae gas, que retorna a la superficie conteniendo elementos radiactivos y grandes concentraciones de sal (la cual, si se desecha incorrectamente, puede ayudar a provocar pequeños terremotos). Debido a que en EEUU la regulación medioambiental es más débil que en la UE, el “fracking” en EEUU está a la orden del día, con más de 11.400 pozos que se abren cada año para extraer gas natural.</w:t>
      </w:r>
    </w:p>
    <w:p w:rsidR="004265B7" w:rsidRPr="0029741D"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29741D">
        <w:rPr>
          <w:rFonts w:ascii="Times New Roman" w:hAnsi="Times New Roman" w:cs="Times New Roman"/>
          <w:sz w:val="24"/>
          <w:szCs w:val="24"/>
        </w:rPr>
        <w:t>Las compañías de energía americanas tienen los ojos puestos en las reservas de gas europeas, especialmente las de Polonia, Dinamarca y Francia, y utilizaría el TTIP para romper con las prohibiciones y moratorias que protegen a los europeos de dicha práctica. Además, el precio de gas natural americano es mucho más barato que el europeo (3$ frente a los 11-13€ por unidad). Si las compañías americanas consiguieran exportarlo a la UE a través de un acuerdo de libre comercio, aumentaría exponencialmente la práctica de la fractura hidráulica en los EEUU.</w:t>
      </w:r>
    </w:p>
    <w:p w:rsidR="004265B7" w:rsidRPr="007071C4"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7071C4">
        <w:rPr>
          <w:rFonts w:ascii="Times New Roman" w:hAnsi="Times New Roman" w:cs="Times New Roman"/>
          <w:sz w:val="24"/>
          <w:szCs w:val="24"/>
        </w:rPr>
        <w:t>El TTIP podría amenazar la moratoria europea sobre la extracción de gas de pizar</w:t>
      </w:r>
      <w:r>
        <w:rPr>
          <w:rFonts w:ascii="Times New Roman" w:hAnsi="Times New Roman" w:cs="Times New Roman"/>
          <w:sz w:val="24"/>
          <w:szCs w:val="24"/>
        </w:rPr>
        <w:t>ra (gas de esquito)</w:t>
      </w:r>
      <w:r w:rsidRPr="007071C4">
        <w:rPr>
          <w:rFonts w:ascii="Times New Roman" w:hAnsi="Times New Roman" w:cs="Times New Roman"/>
          <w:sz w:val="24"/>
          <w:szCs w:val="24"/>
        </w:rPr>
        <w:t>, y podría debilitar también la regulación europea llamada REACH, soslayando, de esta manera, los requisitos de pruebas para miles de q</w:t>
      </w:r>
      <w:r>
        <w:rPr>
          <w:rFonts w:ascii="Times New Roman" w:hAnsi="Times New Roman" w:cs="Times New Roman"/>
          <w:sz w:val="24"/>
          <w:szCs w:val="24"/>
        </w:rPr>
        <w:t>uímicos tóxicos</w:t>
      </w:r>
      <w:r w:rsidRPr="007071C4">
        <w:rPr>
          <w:rFonts w:ascii="Times New Roman" w:hAnsi="Times New Roman" w:cs="Times New Roman"/>
          <w:sz w:val="24"/>
          <w:szCs w:val="24"/>
        </w:rPr>
        <w:t>.</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7D7A33">
        <w:rPr>
          <w:rFonts w:ascii="Times New Roman" w:hAnsi="Times New Roman" w:cs="Times New Roman"/>
          <w:sz w:val="24"/>
          <w:szCs w:val="24"/>
          <w:u w:val="single"/>
        </w:rPr>
        <w:t>Protección medi</w:t>
      </w:r>
      <w:r>
        <w:rPr>
          <w:rFonts w:ascii="Times New Roman" w:hAnsi="Times New Roman" w:cs="Times New Roman"/>
          <w:sz w:val="24"/>
          <w:szCs w:val="24"/>
          <w:u w:val="single"/>
        </w:rPr>
        <w:t>o</w:t>
      </w:r>
      <w:r w:rsidRPr="007D7A33">
        <w:rPr>
          <w:rFonts w:ascii="Times New Roman" w:hAnsi="Times New Roman" w:cs="Times New Roman"/>
          <w:sz w:val="24"/>
          <w:szCs w:val="24"/>
          <w:u w:val="single"/>
        </w:rPr>
        <w:t>ambiental.</w:t>
      </w:r>
      <w:r w:rsidRPr="007D7A33">
        <w:rPr>
          <w:rFonts w:ascii="Times New Roman" w:hAnsi="Times New Roman" w:cs="Times New Roman"/>
          <w:sz w:val="24"/>
          <w:szCs w:val="24"/>
        </w:rPr>
        <w:t xml:space="preserve"> </w:t>
      </w:r>
      <w:r w:rsidRPr="00A25CCC">
        <w:rPr>
          <w:rFonts w:ascii="Times New Roman" w:hAnsi="Times New Roman" w:cs="Times New Roman"/>
          <w:color w:val="000000"/>
          <w:sz w:val="24"/>
          <w:szCs w:val="24"/>
        </w:rPr>
        <w:t>Los tribunales arbitrales podrían servir a las empresas para demandar</w:t>
      </w:r>
      <w:r>
        <w:rPr>
          <w:rFonts w:ascii="Times New Roman" w:hAnsi="Times New Roman" w:cs="Times New Roman"/>
          <w:color w:val="000000"/>
          <w:sz w:val="24"/>
          <w:szCs w:val="24"/>
        </w:rPr>
        <w:t xml:space="preserve"> </w:t>
      </w:r>
      <w:r w:rsidRPr="00A25CCC">
        <w:rPr>
          <w:rFonts w:ascii="Times New Roman" w:hAnsi="Times New Roman" w:cs="Times New Roman"/>
          <w:color w:val="000000"/>
          <w:sz w:val="24"/>
          <w:szCs w:val="24"/>
        </w:rPr>
        <w:t xml:space="preserve">a los Estados si estos quieren implementar medidas de protección. Son utilizados en casos relacionados con la protección del medioambiente, como cuando Alemania decidió cerrar sus centrales nucleares, o Ecuador multar a Chevron por daño ecológico. </w:t>
      </w:r>
    </w:p>
    <w:p w:rsidR="004265B7"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7D7A33">
        <w:rPr>
          <w:rFonts w:ascii="Times New Roman" w:eastAsia="Times New Roman" w:hAnsi="Times New Roman" w:cs="Times New Roman"/>
          <w:sz w:val="24"/>
          <w:szCs w:val="24"/>
          <w:lang w:eastAsia="es-ES"/>
        </w:rPr>
        <w:t xml:space="preserve">La aceptación de un capitalismo más desregulado como supone el TTIP afectaría a campos tan cotidianos como </w:t>
      </w:r>
      <w:r w:rsidRPr="007D7A33">
        <w:rPr>
          <w:rFonts w:ascii="Times New Roman" w:eastAsia="Times New Roman" w:hAnsi="Times New Roman" w:cs="Times New Roman"/>
          <w:bCs/>
          <w:sz w:val="24"/>
          <w:szCs w:val="24"/>
          <w:lang w:eastAsia="es-ES"/>
        </w:rPr>
        <w:t>la alimentación</w:t>
      </w:r>
      <w:r w:rsidRPr="007D7A33">
        <w:rPr>
          <w:rFonts w:ascii="Times New Roman" w:eastAsia="Times New Roman" w:hAnsi="Times New Roman" w:cs="Times New Roman"/>
          <w:sz w:val="24"/>
          <w:szCs w:val="24"/>
          <w:lang w:eastAsia="es-ES"/>
        </w:rPr>
        <w:t xml:space="preserve">, (donde entrarían productos que ahora están prohibidos, como los transgénicos o el clembuterol), </w:t>
      </w:r>
      <w:r w:rsidRPr="007D7A33">
        <w:rPr>
          <w:rFonts w:ascii="Times New Roman" w:eastAsia="Times New Roman" w:hAnsi="Times New Roman" w:cs="Times New Roman"/>
          <w:bCs/>
          <w:sz w:val="24"/>
          <w:szCs w:val="24"/>
          <w:lang w:eastAsia="es-ES"/>
        </w:rPr>
        <w:t>el empleo</w:t>
      </w:r>
      <w:r w:rsidRPr="007D7A33">
        <w:rPr>
          <w:rFonts w:ascii="Times New Roman" w:eastAsia="Times New Roman" w:hAnsi="Times New Roman" w:cs="Times New Roman"/>
          <w:sz w:val="24"/>
          <w:szCs w:val="24"/>
          <w:lang w:eastAsia="es-ES"/>
        </w:rPr>
        <w:t xml:space="preserve"> (que aunque no lo digan supondría la destrucción de hasta un millón de contratos), </w:t>
      </w:r>
      <w:r w:rsidRPr="007D7A33">
        <w:rPr>
          <w:rFonts w:ascii="Times New Roman" w:eastAsia="Times New Roman" w:hAnsi="Times New Roman" w:cs="Times New Roman"/>
          <w:bCs/>
          <w:sz w:val="24"/>
          <w:szCs w:val="24"/>
          <w:lang w:eastAsia="es-ES"/>
        </w:rPr>
        <w:t>la ecología</w:t>
      </w:r>
      <w:r w:rsidRPr="007D7A33">
        <w:rPr>
          <w:rFonts w:ascii="Times New Roman" w:eastAsia="Times New Roman" w:hAnsi="Times New Roman" w:cs="Times New Roman"/>
          <w:sz w:val="24"/>
          <w:szCs w:val="24"/>
          <w:lang w:eastAsia="es-ES"/>
        </w:rPr>
        <w:t xml:space="preserve"> (con el destrozo de </w:t>
      </w:r>
      <w:r w:rsidRPr="007D7A33">
        <w:rPr>
          <w:rFonts w:ascii="Times New Roman" w:eastAsia="Times New Roman" w:hAnsi="Times New Roman" w:cs="Times New Roman"/>
          <w:sz w:val="24"/>
          <w:szCs w:val="24"/>
          <w:lang w:eastAsia="es-ES"/>
        </w:rPr>
        <w:lastRenderedPageBreak/>
        <w:t xml:space="preserve">tierras que acarrearía el fracking),  </w:t>
      </w:r>
      <w:r w:rsidRPr="007D7A33">
        <w:rPr>
          <w:rFonts w:ascii="Times New Roman" w:eastAsia="Times New Roman" w:hAnsi="Times New Roman" w:cs="Times New Roman"/>
          <w:bCs/>
          <w:sz w:val="24"/>
          <w:szCs w:val="24"/>
          <w:lang w:eastAsia="es-ES"/>
        </w:rPr>
        <w:t>la farmacia</w:t>
      </w:r>
      <w:r w:rsidRPr="007D7A33">
        <w:rPr>
          <w:rFonts w:ascii="Times New Roman" w:eastAsia="Times New Roman" w:hAnsi="Times New Roman" w:cs="Times New Roman"/>
          <w:sz w:val="24"/>
          <w:szCs w:val="24"/>
          <w:lang w:eastAsia="es-ES"/>
        </w:rPr>
        <w:t xml:space="preserve"> (doblando la validez de las patentes y autorizándoles la casi liberalización de precios),  </w:t>
      </w:r>
      <w:r w:rsidRPr="007D7A33">
        <w:rPr>
          <w:rFonts w:ascii="Times New Roman" w:eastAsia="Times New Roman" w:hAnsi="Times New Roman" w:cs="Times New Roman"/>
          <w:bCs/>
          <w:sz w:val="24"/>
          <w:szCs w:val="24"/>
          <w:lang w:eastAsia="es-ES"/>
        </w:rPr>
        <w:t>la cosmética</w:t>
      </w:r>
      <w:r w:rsidRPr="007D7A33">
        <w:rPr>
          <w:rFonts w:ascii="Times New Roman" w:eastAsia="Times New Roman" w:hAnsi="Times New Roman" w:cs="Times New Roman"/>
          <w:sz w:val="24"/>
          <w:szCs w:val="24"/>
          <w:lang w:eastAsia="es-ES"/>
        </w:rPr>
        <w:t xml:space="preserve"> (donde se homologarían más de 1300 sustancias prohibidas en la UE), o </w:t>
      </w:r>
      <w:r w:rsidRPr="007D7A33">
        <w:rPr>
          <w:rFonts w:ascii="Times New Roman" w:eastAsia="Times New Roman" w:hAnsi="Times New Roman" w:cs="Times New Roman"/>
          <w:bCs/>
          <w:sz w:val="24"/>
          <w:szCs w:val="24"/>
          <w:lang w:eastAsia="es-ES"/>
        </w:rPr>
        <w:t>la privacidad</w:t>
      </w:r>
      <w:r w:rsidRPr="007D7A33">
        <w:rPr>
          <w:rFonts w:ascii="Times New Roman" w:eastAsia="Times New Roman" w:hAnsi="Times New Roman" w:cs="Times New Roman"/>
          <w:sz w:val="24"/>
          <w:szCs w:val="24"/>
          <w:lang w:eastAsia="es-ES"/>
        </w:rPr>
        <w:t xml:space="preserve"> (ya que el tratamiento de los datos personales podría estar en manos de las transnacionales). </w:t>
      </w:r>
    </w:p>
    <w:p w:rsidR="004265B7"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167C5A">
        <w:rPr>
          <w:rFonts w:ascii="Times New Roman" w:hAnsi="Times New Roman" w:cs="Times New Roman"/>
          <w:sz w:val="24"/>
          <w:szCs w:val="24"/>
        </w:rPr>
        <w:t>La propia evaluación de la Comisión Europea sobre el TTIP concluyó que este acuerdo, al tener como objetivo prioritario el incremento del comercio transatlántico, tendría como resultado inevitable impactos negativos en el medioambiente. El TTIP aumentaría la polución y el agotamiento de los recursos naturales al incrementar, la producción, el comercio y el consumo. Además, para conseguir este aumento del comercio, el TTIP necesitaría también eliminar algunas normas y regulaciones en nombre de la pretendida “armonización” y “reconocimiento mutuo” entre los estándares de EEUU y la UE. Esto debilitaría ampliamente “el Principio de Precaución” europeo, piedra angular de la política europea medioambiental, teniendo serias consecuencias sobre la salud y la seguridad de las personas y el medioambiente.</w:t>
      </w:r>
    </w:p>
    <w:p w:rsidR="004265B7" w:rsidRDefault="004265B7" w:rsidP="004265B7">
      <w:pPr>
        <w:pStyle w:val="Default"/>
        <w:jc w:val="both"/>
        <w:rPr>
          <w:rFonts w:ascii="Times New Roman" w:hAnsi="Times New Roman" w:cs="Times New Roman"/>
        </w:rPr>
      </w:pPr>
      <w:r w:rsidRPr="00167C5A">
        <w:rPr>
          <w:rFonts w:ascii="Times New Roman" w:hAnsi="Times New Roman" w:cs="Times New Roman"/>
        </w:rPr>
        <w:t xml:space="preserve">La cumbre European Business que se reunió en 2013, y cuenta con algunas de las más grandes corporaciones europeas, echa la culpa a la regulación medioambiental de colocar a las compañías europeas en desventaja con sus homólogas americanas y chinas, y por ello, están haciendo lobby a los reguladores de EEUU y la UE con la intención de que reduzcan el diferencial entre EEUU y UE. </w:t>
      </w:r>
    </w:p>
    <w:p w:rsidR="004265B7" w:rsidRPr="00167C5A"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167C5A">
        <w:rPr>
          <w:rFonts w:ascii="Times New Roman" w:hAnsi="Times New Roman" w:cs="Times New Roman"/>
        </w:rPr>
        <w:t xml:space="preserve">Si esto se consiguiera, muchas de las regulaciones europeas dejarían de ser operativas. Por ejemplo, la Directiva Europea de Energías Renovables tiene muchas fisuras legales, pero al menos en principio, requiere que la materia prima utilizada para conseguir energía cumpla con ciertos objetivos de reducción de emisiones de gas invernadero y otros criterios de sostenibilidad básica. </w:t>
      </w:r>
    </w:p>
    <w:p w:rsidR="004265B7" w:rsidRPr="00167C5A" w:rsidRDefault="004265B7" w:rsidP="004265B7">
      <w:pPr>
        <w:pStyle w:val="Default"/>
        <w:jc w:val="both"/>
        <w:rPr>
          <w:rFonts w:ascii="Times New Roman" w:hAnsi="Times New Roman" w:cs="Times New Roman"/>
        </w:rPr>
      </w:pPr>
    </w:p>
    <w:p w:rsidR="004265B7" w:rsidRPr="00167C5A" w:rsidRDefault="004265B7" w:rsidP="004265B7">
      <w:pPr>
        <w:pStyle w:val="Default"/>
        <w:jc w:val="both"/>
        <w:rPr>
          <w:rFonts w:ascii="Times New Roman" w:hAnsi="Times New Roman" w:cs="Times New Roman"/>
        </w:rPr>
      </w:pPr>
      <w:r w:rsidRPr="00167C5A">
        <w:rPr>
          <w:rFonts w:ascii="Times New Roman" w:hAnsi="Times New Roman" w:cs="Times New Roman"/>
        </w:rPr>
        <w:t xml:space="preserve">El Etanol americano se obtiene de maíz y soja modificada genéticamente, así que no cumple con semejantes requisitos y está excluida de los incentivos relacionados con impuestos de los que se benefician otros combustibles. El etanol americano es menos competitivo en el mercado europeo y por eso, las grandes compañías de la industria agraria están tratando de asegurarse de que estos obstáculos regulatorios desaparecen de escena. </w:t>
      </w:r>
    </w:p>
    <w:p w:rsidR="004265B7"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167C5A">
        <w:rPr>
          <w:rFonts w:ascii="Times New Roman" w:hAnsi="Times New Roman" w:cs="Times New Roman"/>
          <w:sz w:val="24"/>
          <w:szCs w:val="24"/>
        </w:rPr>
        <w:t>Sin embargo, si así fuera, los esfuerzos por evitar impactos dañinos sociales y medioambientales, provenientes de la controvertida producción de biocombustibles, serían baldíos.</w:t>
      </w:r>
    </w:p>
    <w:p w:rsidR="004265B7" w:rsidRPr="0029741D"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971B7E">
        <w:rPr>
          <w:rFonts w:ascii="Times New Roman" w:eastAsia="Times New Roman" w:hAnsi="Times New Roman" w:cs="Times New Roman"/>
          <w:sz w:val="24"/>
          <w:szCs w:val="24"/>
          <w:u w:val="single"/>
          <w:lang w:eastAsia="es-ES"/>
        </w:rPr>
        <w:t>El gozo en un pozo</w:t>
      </w:r>
      <w:r>
        <w:rPr>
          <w:rFonts w:ascii="Times New Roman" w:eastAsia="Times New Roman" w:hAnsi="Times New Roman" w:cs="Times New Roman"/>
          <w:sz w:val="24"/>
          <w:szCs w:val="24"/>
          <w:u w:val="single"/>
          <w:lang w:eastAsia="es-ES"/>
        </w:rPr>
        <w:t xml:space="preserve"> (EEUU + China vs. UE)</w:t>
      </w:r>
    </w:p>
    <w:p w:rsidR="004265B7"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Antes de abrigar falsas ilusiones la UE debería recordar un poco la historia (reciente) y analizar el comportamiento de los EEUU respecto de la protección medioambiental (“has lo que yo digo, pero no lo que yo hago”), además de ver a quien elige como compañero de viaje, para su espectáculo de funambulismo ecológico. Tomar nota:</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i/>
          <w:color w:val="000000"/>
          <w:sz w:val="24"/>
          <w:szCs w:val="24"/>
          <w:lang w:eastAsia="es-ES"/>
        </w:rPr>
        <w:t>“</w:t>
      </w:r>
      <w:r w:rsidRPr="000868F5">
        <w:rPr>
          <w:rFonts w:ascii="Times New Roman" w:eastAsia="Times New Roman" w:hAnsi="Times New Roman" w:cs="Times New Roman"/>
          <w:i/>
          <w:color w:val="000000"/>
          <w:sz w:val="24"/>
          <w:szCs w:val="24"/>
          <w:lang w:eastAsia="es-ES"/>
        </w:rPr>
        <w:t xml:space="preserve">Estados Unidos y China, los mayores contaminantes del mundo, han hecho oficial el fracaso de la conferencia del clima que se celebrará el mes próximo en Copenhague. Los líderes de ambos países, apoyados por algunas de las principales naciones emergentes </w:t>
      </w:r>
      <w:r w:rsidRPr="000868F5">
        <w:rPr>
          <w:rFonts w:ascii="Times New Roman" w:eastAsia="Times New Roman" w:hAnsi="Times New Roman" w:cs="Times New Roman"/>
          <w:i/>
          <w:color w:val="000000"/>
          <w:sz w:val="24"/>
          <w:szCs w:val="24"/>
          <w:lang w:eastAsia="es-ES"/>
        </w:rPr>
        <w:lastRenderedPageBreak/>
        <w:t>del mundo, han comunicado este domingo en Singapur al Gobierno de Dinamarca que no será posible conseguir en esa ocasión un acuerdo vinculante que permita la reducción de emisiones de dióxido de carbono</w:t>
      </w:r>
      <w:r>
        <w:rPr>
          <w:rFonts w:ascii="Times New Roman" w:eastAsia="Times New Roman" w:hAnsi="Times New Roman" w:cs="Times New Roman"/>
          <w:i/>
          <w:color w:val="000000"/>
          <w:sz w:val="24"/>
          <w:szCs w:val="24"/>
          <w:lang w:eastAsia="es-ES"/>
        </w:rPr>
        <w:t>”..</w:t>
      </w:r>
      <w:r w:rsidRPr="000868F5">
        <w:rPr>
          <w:rFonts w:ascii="Times New Roman" w:eastAsia="Times New Roman" w:hAnsi="Times New Roman" w:cs="Times New Roman"/>
          <w:i/>
          <w:color w:val="000000"/>
          <w:sz w:val="24"/>
          <w:szCs w:val="24"/>
          <w:lang w:eastAsia="es-ES"/>
        </w:rPr>
        <w:t>.</w:t>
      </w:r>
      <w:r>
        <w:rPr>
          <w:rFonts w:ascii="Times New Roman" w:eastAsia="Times New Roman" w:hAnsi="Times New Roman" w:cs="Times New Roman"/>
          <w:i/>
          <w:color w:val="000000"/>
          <w:sz w:val="24"/>
          <w:szCs w:val="24"/>
          <w:lang w:eastAsia="es-ES"/>
        </w:rPr>
        <w:t xml:space="preserve"> </w:t>
      </w:r>
      <w:r>
        <w:rPr>
          <w:rFonts w:ascii="Times New Roman" w:eastAsia="Times New Roman" w:hAnsi="Times New Roman" w:cs="Times New Roman"/>
          <w:color w:val="000000"/>
          <w:sz w:val="24"/>
          <w:szCs w:val="24"/>
          <w:u w:val="single"/>
          <w:lang w:eastAsia="es-ES"/>
        </w:rPr>
        <w:t>EE</w:t>
      </w:r>
      <w:r w:rsidRPr="00A27FCB">
        <w:rPr>
          <w:rFonts w:ascii="Times New Roman" w:eastAsia="Times New Roman" w:hAnsi="Times New Roman" w:cs="Times New Roman"/>
          <w:color w:val="000000"/>
          <w:sz w:val="24"/>
          <w:szCs w:val="24"/>
          <w:u w:val="single"/>
          <w:lang w:eastAsia="es-ES"/>
        </w:rPr>
        <w:t>UU y China hacen fracasar Copenhague</w:t>
      </w:r>
      <w:r>
        <w:rPr>
          <w:rFonts w:ascii="Times New Roman" w:eastAsia="Times New Roman" w:hAnsi="Times New Roman" w:cs="Times New Roman"/>
          <w:color w:val="000000"/>
          <w:sz w:val="24"/>
          <w:szCs w:val="24"/>
          <w:lang w:eastAsia="es-ES"/>
        </w:rPr>
        <w:t xml:space="preserve"> (El País - </w:t>
      </w:r>
      <w:r w:rsidRPr="00A27FCB">
        <w:rPr>
          <w:rFonts w:ascii="Times New Roman" w:eastAsia="Times New Roman" w:hAnsi="Times New Roman" w:cs="Times New Roman"/>
          <w:b/>
          <w:color w:val="000000"/>
          <w:sz w:val="24"/>
          <w:szCs w:val="24"/>
          <w:lang w:eastAsia="es-ES"/>
        </w:rPr>
        <w:t>16/11/09</w:t>
      </w:r>
      <w:r>
        <w:rPr>
          <w:rFonts w:ascii="Times New Roman" w:eastAsia="Times New Roman" w:hAnsi="Times New Roman" w:cs="Times New Roman"/>
          <w:color w:val="000000"/>
          <w:sz w:val="24"/>
          <w:szCs w:val="24"/>
          <w:lang w:eastAsia="es-ES"/>
        </w:rPr>
        <w:t>)</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En su lugar, se intentará lo que se ha llamado retóricamente acuerdo en dos etapas, y que, en realidad, consiste en hacer en Copenhague una mera declaración de intenciones, pero se postergarán los compromisos obligatorios para un momento posterior, quizá para otra conferencia que debe de celeb</w:t>
      </w:r>
      <w:r>
        <w:rPr>
          <w:rFonts w:ascii="Times New Roman" w:eastAsia="Times New Roman" w:hAnsi="Times New Roman" w:cs="Times New Roman"/>
          <w:color w:val="000000"/>
          <w:sz w:val="24"/>
          <w:szCs w:val="24"/>
          <w:lang w:eastAsia="es-ES"/>
        </w:rPr>
        <w:t>rarse en México.</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w:t>
      </w:r>
      <w:r w:rsidRPr="00A27FCB">
        <w:rPr>
          <w:rFonts w:ascii="Times New Roman" w:eastAsia="Times New Roman" w:hAnsi="Times New Roman" w:cs="Times New Roman"/>
          <w:color w:val="000000"/>
          <w:sz w:val="24"/>
          <w:szCs w:val="24"/>
          <w:lang w:eastAsia="es-ES"/>
        </w:rPr>
        <w:t>Ha habido una coincidencia entre los líderes de que no es realista esperar que un gran acuerdo internacional completamente vinculante pueda ser negociado entre ahora y Cop</w:t>
      </w:r>
      <w:r>
        <w:rPr>
          <w:rFonts w:ascii="Times New Roman" w:eastAsia="Times New Roman" w:hAnsi="Times New Roman" w:cs="Times New Roman"/>
          <w:color w:val="000000"/>
          <w:sz w:val="24"/>
          <w:szCs w:val="24"/>
          <w:lang w:eastAsia="es-ES"/>
        </w:rPr>
        <w:t>enhague, que empieza en 22 días”</w:t>
      </w:r>
      <w:r w:rsidRPr="00A27FCB">
        <w:rPr>
          <w:rFonts w:ascii="Times New Roman" w:eastAsia="Times New Roman" w:hAnsi="Times New Roman" w:cs="Times New Roman"/>
          <w:color w:val="000000"/>
          <w:sz w:val="24"/>
          <w:szCs w:val="24"/>
          <w:lang w:eastAsia="es-ES"/>
        </w:rPr>
        <w:t>, declaró Michael Froman, viceconsejero nacional de Seguridad de la Casa Blanca, al término de una reunión imprevista celebrada por los países que participan en la asamblea de la Asociación Asia-Pacífico (APEC) con el primer ministro de Di</w:t>
      </w:r>
      <w:r>
        <w:rPr>
          <w:rFonts w:ascii="Times New Roman" w:eastAsia="Times New Roman" w:hAnsi="Times New Roman" w:cs="Times New Roman"/>
          <w:color w:val="000000"/>
          <w:sz w:val="24"/>
          <w:szCs w:val="24"/>
          <w:lang w:eastAsia="es-ES"/>
        </w:rPr>
        <w:t>namarca, Lars Loekke Rasmussen.</w:t>
      </w:r>
    </w:p>
    <w:p w:rsidR="004265B7" w:rsidRPr="00A27FC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Desde hacía tiempo se daba por descontado que la suerte de Copenhague estaba plenamente en manos de Estados Unidos y China, que se habían dado de plazo hasta la actual gira de Obama por Asia para encontrar un arreglo satisfactorio para ambos. Pese a la voluntad manifiesta del presidente norteamericano de avanzar en esta materia, ese arreglo no ha sido, finalmente, posible tanto por la resistencia de China como por la incapacidad del Congreso estadounidense de aprobar una legislación energética compatible co</w:t>
      </w:r>
      <w:r>
        <w:rPr>
          <w:rFonts w:ascii="Times New Roman" w:eastAsia="Times New Roman" w:hAnsi="Times New Roman" w:cs="Times New Roman"/>
          <w:color w:val="000000"/>
          <w:sz w:val="24"/>
          <w:szCs w:val="24"/>
          <w:lang w:eastAsia="es-ES"/>
        </w:rPr>
        <w:t>n los propósitos de Copenhague.</w:t>
      </w:r>
    </w:p>
    <w:p w:rsidR="004265B7" w:rsidRPr="00A27FC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Obama no quiere firmar ningún acuerdo que, como ocurrió con el de Kioto, suscrito por Bill Clinton, no sea después refrendado por el Congreso. China, por su parte, no está dispuesta a hacer movimientos relevantes en ese campo que no vayan acompasados por Washington. Lo mismo puede decirse del tercer mayor contaminante, Indonesia. Y Japón, cuyo nuevo Gobierno había anunciado recientemente la voluntad de reducir las emisiones de gases, tampoco quiere hacerlo sin acciones recíprocas por p</w:t>
      </w:r>
      <w:r>
        <w:rPr>
          <w:rFonts w:ascii="Times New Roman" w:eastAsia="Times New Roman" w:hAnsi="Times New Roman" w:cs="Times New Roman"/>
          <w:color w:val="000000"/>
          <w:sz w:val="24"/>
          <w:szCs w:val="24"/>
          <w:lang w:eastAsia="es-ES"/>
        </w:rPr>
        <w:t>arte de China y Estados Unidos.</w:t>
      </w:r>
    </w:p>
    <w:p w:rsidR="004265B7" w:rsidRPr="00A27FC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De esta manera, con toda probabilidad, otras grandes naciones en desarrollo, como India y Brasil, se negarán a respaldar acuerdos que no estén apoyados por esos cuatro países, y Copenhague puede quedar reducido a un ejemplo m</w:t>
      </w:r>
      <w:r>
        <w:rPr>
          <w:rFonts w:ascii="Times New Roman" w:eastAsia="Times New Roman" w:hAnsi="Times New Roman" w:cs="Times New Roman"/>
          <w:color w:val="000000"/>
          <w:sz w:val="24"/>
          <w:szCs w:val="24"/>
          <w:lang w:eastAsia="es-ES"/>
        </w:rPr>
        <w:t>ás de voluntarismo infructuoso.</w:t>
      </w:r>
    </w:p>
    <w:p w:rsidR="004265B7" w:rsidRPr="00A27FC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El presidente de EE</w:t>
      </w:r>
      <w:r w:rsidRPr="00A27FCB">
        <w:rPr>
          <w:rFonts w:ascii="Times New Roman" w:eastAsia="Times New Roman" w:hAnsi="Times New Roman" w:cs="Times New Roman"/>
          <w:color w:val="000000"/>
          <w:sz w:val="24"/>
          <w:szCs w:val="24"/>
          <w:lang w:eastAsia="es-ES"/>
        </w:rPr>
        <w:t xml:space="preserve">UU, Barack Obama, ha </w:t>
      </w:r>
      <w:r>
        <w:rPr>
          <w:rFonts w:ascii="Times New Roman" w:eastAsia="Times New Roman" w:hAnsi="Times New Roman" w:cs="Times New Roman"/>
          <w:color w:val="000000"/>
          <w:sz w:val="24"/>
          <w:szCs w:val="24"/>
          <w:lang w:eastAsia="es-ES"/>
        </w:rPr>
        <w:t xml:space="preserve">asegurado </w:t>
      </w:r>
      <w:r w:rsidRPr="00A27FCB">
        <w:rPr>
          <w:rFonts w:ascii="Times New Roman" w:eastAsia="Times New Roman" w:hAnsi="Times New Roman" w:cs="Times New Roman"/>
          <w:color w:val="000000"/>
          <w:sz w:val="24"/>
          <w:szCs w:val="24"/>
          <w:lang w:eastAsia="es-ES"/>
        </w:rPr>
        <w:t xml:space="preserve">ante una audiencia de universitarios chinos en </w:t>
      </w:r>
      <w:r w:rsidR="001C59BE" w:rsidRPr="00A27FCB">
        <w:rPr>
          <w:rFonts w:ascii="Times New Roman" w:eastAsia="Times New Roman" w:hAnsi="Times New Roman" w:cs="Times New Roman"/>
          <w:color w:val="000000"/>
          <w:sz w:val="24"/>
          <w:szCs w:val="24"/>
          <w:lang w:eastAsia="es-ES"/>
        </w:rPr>
        <w:t>Shanghái</w:t>
      </w:r>
      <w:r w:rsidRPr="00A27FCB">
        <w:rPr>
          <w:rFonts w:ascii="Times New Roman" w:eastAsia="Times New Roman" w:hAnsi="Times New Roman" w:cs="Times New Roman"/>
          <w:color w:val="000000"/>
          <w:sz w:val="24"/>
          <w:szCs w:val="24"/>
          <w:lang w:eastAsia="es-ES"/>
        </w:rPr>
        <w:t xml:space="preserve"> que tanto su país como China -principales emisores de gases de efecto inverna</w:t>
      </w:r>
      <w:r>
        <w:rPr>
          <w:rFonts w:ascii="Times New Roman" w:eastAsia="Times New Roman" w:hAnsi="Times New Roman" w:cs="Times New Roman"/>
          <w:color w:val="000000"/>
          <w:sz w:val="24"/>
          <w:szCs w:val="24"/>
          <w:lang w:eastAsia="es-ES"/>
        </w:rPr>
        <w:t>dero a la atmósfera- deben dar “pasos decisivos”</w:t>
      </w:r>
      <w:r w:rsidRPr="00A27FCB">
        <w:rPr>
          <w:rFonts w:ascii="Times New Roman" w:eastAsia="Times New Roman" w:hAnsi="Times New Roman" w:cs="Times New Roman"/>
          <w:color w:val="000000"/>
          <w:sz w:val="24"/>
          <w:szCs w:val="24"/>
          <w:lang w:eastAsia="es-ES"/>
        </w:rPr>
        <w:t xml:space="preserve"> contra el calentamiento global y ha defendido la libertad de expresión y de participac</w:t>
      </w:r>
      <w:r>
        <w:rPr>
          <w:rFonts w:ascii="Times New Roman" w:eastAsia="Times New Roman" w:hAnsi="Times New Roman" w:cs="Times New Roman"/>
          <w:color w:val="000000"/>
          <w:sz w:val="24"/>
          <w:szCs w:val="24"/>
          <w:lang w:eastAsia="es-ES"/>
        </w:rPr>
        <w:t>ión como “valores universales”.</w:t>
      </w:r>
    </w:p>
    <w:p w:rsidR="004265B7" w:rsidRPr="00A27FC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En este encuentro con jóvenes universitarios en el Museo de Ciencia y Tecnología en la capital financi</w:t>
      </w:r>
      <w:r>
        <w:rPr>
          <w:rFonts w:ascii="Times New Roman" w:eastAsia="Times New Roman" w:hAnsi="Times New Roman" w:cs="Times New Roman"/>
          <w:color w:val="000000"/>
          <w:sz w:val="24"/>
          <w:szCs w:val="24"/>
          <w:lang w:eastAsia="es-ES"/>
        </w:rPr>
        <w:t>era china, Obama ha asegurado: “</w:t>
      </w:r>
      <w:r w:rsidRPr="00A27FCB">
        <w:rPr>
          <w:rFonts w:ascii="Times New Roman" w:eastAsia="Times New Roman" w:hAnsi="Times New Roman" w:cs="Times New Roman"/>
          <w:color w:val="000000"/>
          <w:sz w:val="24"/>
          <w:szCs w:val="24"/>
          <w:lang w:eastAsia="es-ES"/>
        </w:rPr>
        <w:t>no buscamos imponer esos valores, pero tampoco creemos que son sólo de un p</w:t>
      </w:r>
      <w:r>
        <w:rPr>
          <w:rFonts w:ascii="Times New Roman" w:eastAsia="Times New Roman" w:hAnsi="Times New Roman" w:cs="Times New Roman"/>
          <w:color w:val="000000"/>
          <w:sz w:val="24"/>
          <w:szCs w:val="24"/>
          <w:lang w:eastAsia="es-ES"/>
        </w:rPr>
        <w:t>aís. Son derechos universales”.</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A27FCB">
        <w:rPr>
          <w:rFonts w:ascii="Times New Roman" w:eastAsia="Times New Roman" w:hAnsi="Times New Roman" w:cs="Times New Roman"/>
          <w:color w:val="000000"/>
          <w:sz w:val="24"/>
          <w:szCs w:val="24"/>
          <w:lang w:eastAsia="es-ES"/>
        </w:rPr>
        <w:t xml:space="preserve">Los dos países no deben ser rivales, ha expresado, sino cooperar para resolver problemas globales como la no proliferación </w:t>
      </w:r>
      <w:r>
        <w:rPr>
          <w:rFonts w:ascii="Times New Roman" w:eastAsia="Times New Roman" w:hAnsi="Times New Roman" w:cs="Times New Roman"/>
          <w:color w:val="000000"/>
          <w:sz w:val="24"/>
          <w:szCs w:val="24"/>
          <w:lang w:eastAsia="es-ES"/>
        </w:rPr>
        <w:t>nuclear o el cambio climático. “</w:t>
      </w:r>
      <w:r w:rsidRPr="00A27FCB">
        <w:rPr>
          <w:rFonts w:ascii="Times New Roman" w:eastAsia="Times New Roman" w:hAnsi="Times New Roman" w:cs="Times New Roman"/>
          <w:color w:val="000000"/>
          <w:sz w:val="24"/>
          <w:szCs w:val="24"/>
          <w:lang w:eastAsia="es-ES"/>
        </w:rPr>
        <w:t xml:space="preserve">A menos que China y </w:t>
      </w:r>
      <w:r w:rsidRPr="00A27FCB">
        <w:rPr>
          <w:rFonts w:ascii="Times New Roman" w:eastAsia="Times New Roman" w:hAnsi="Times New Roman" w:cs="Times New Roman"/>
          <w:color w:val="000000"/>
          <w:sz w:val="24"/>
          <w:szCs w:val="24"/>
          <w:lang w:eastAsia="es-ES"/>
        </w:rPr>
        <w:lastRenderedPageBreak/>
        <w:t xml:space="preserve">EEUU estén de acuerdo, se podrán resolver muy </w:t>
      </w:r>
      <w:r>
        <w:rPr>
          <w:rFonts w:ascii="Times New Roman" w:eastAsia="Times New Roman" w:hAnsi="Times New Roman" w:cs="Times New Roman"/>
          <w:color w:val="000000"/>
          <w:sz w:val="24"/>
          <w:szCs w:val="24"/>
          <w:lang w:eastAsia="es-ES"/>
        </w:rPr>
        <w:t>pocos problemas internacionales”</w:t>
      </w:r>
      <w:r w:rsidRPr="00A27FCB">
        <w:rPr>
          <w:rFonts w:ascii="Times New Roman" w:eastAsia="Times New Roman" w:hAnsi="Times New Roman" w:cs="Times New Roman"/>
          <w:color w:val="000000"/>
          <w:sz w:val="24"/>
          <w:szCs w:val="24"/>
          <w:lang w:eastAsia="es-ES"/>
        </w:rPr>
        <w:t>, ha declarado.</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9D1C9A">
        <w:rPr>
          <w:rFonts w:ascii="Times New Roman" w:eastAsia="Times New Roman" w:hAnsi="Times New Roman" w:cs="Times New Roman"/>
          <w:i/>
          <w:color w:val="000000"/>
          <w:sz w:val="24"/>
          <w:szCs w:val="24"/>
          <w:lang w:eastAsia="es-ES"/>
        </w:rPr>
        <w:t>“La misión de aclarar si el Acuerdo de Copenhague es blanco o negro le correspondió al secretario general de la ONU, Ban Ki-Moon. Él lo vio de color gris: “Para mí está claro que es necesario mucho más para abandonar la senda del calentamiento climático, pero es un paso en la dirección correcta. Por fin tenemos un compromiso””...</w:t>
      </w:r>
      <w:r>
        <w:rPr>
          <w:rFonts w:ascii="Times New Roman" w:eastAsia="Times New Roman" w:hAnsi="Times New Roman" w:cs="Times New Roman"/>
          <w:i/>
          <w:color w:val="000000"/>
          <w:sz w:val="24"/>
          <w:szCs w:val="24"/>
          <w:lang w:eastAsia="es-ES"/>
        </w:rPr>
        <w:t xml:space="preserve"> </w:t>
      </w:r>
      <w:r>
        <w:rPr>
          <w:rFonts w:ascii="Times New Roman" w:eastAsia="Times New Roman" w:hAnsi="Times New Roman" w:cs="Times New Roman"/>
          <w:color w:val="000000"/>
          <w:sz w:val="24"/>
          <w:szCs w:val="24"/>
          <w:u w:val="single"/>
          <w:lang w:eastAsia="es-ES"/>
        </w:rPr>
        <w:t>Copenhague se queda en una “declaración de intenciones”</w:t>
      </w:r>
      <w:r>
        <w:rPr>
          <w:rFonts w:ascii="Times New Roman" w:eastAsia="Times New Roman" w:hAnsi="Times New Roman" w:cs="Times New Roman"/>
          <w:color w:val="000000"/>
          <w:sz w:val="24"/>
          <w:szCs w:val="24"/>
          <w:lang w:eastAsia="es-ES"/>
        </w:rPr>
        <w:t xml:space="preserve"> (El Mundo - </w:t>
      </w:r>
      <w:r w:rsidRPr="00F527F5">
        <w:rPr>
          <w:rFonts w:ascii="Times New Roman" w:eastAsia="Times New Roman" w:hAnsi="Times New Roman" w:cs="Times New Roman"/>
          <w:b/>
          <w:color w:val="000000"/>
          <w:sz w:val="24"/>
          <w:szCs w:val="24"/>
          <w:lang w:eastAsia="es-ES"/>
        </w:rPr>
        <w:t>17/1/10</w:t>
      </w:r>
      <w:r>
        <w:rPr>
          <w:rFonts w:ascii="Times New Roman" w:eastAsia="Times New Roman" w:hAnsi="Times New Roman" w:cs="Times New Roman"/>
          <w:color w:val="000000"/>
          <w:sz w:val="24"/>
          <w:szCs w:val="24"/>
          <w:lang w:eastAsia="es-ES"/>
        </w:rPr>
        <w:t>)</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Todas las organizaciones ecologistas internacionales han coincidido, por el contrario, en su negativo análisis del resultado. Greenpeace, WWF, Amigos de la Tierra o la española Ecologistas en Acción entienden que los líderes han fallado en el objetivo de iniciar una batalla efectiva contra el</w:t>
      </w:r>
      <w:r>
        <w:rPr>
          <w:rFonts w:ascii="Times New Roman" w:eastAsia="Times New Roman" w:hAnsi="Times New Roman" w:cs="Times New Roman"/>
          <w:color w:val="000000"/>
          <w:sz w:val="24"/>
          <w:szCs w:val="24"/>
          <w:lang w:eastAsia="es-ES"/>
        </w:rPr>
        <w:t xml:space="preserve"> cambio climático basada en un “</w:t>
      </w:r>
      <w:r w:rsidRPr="00F527F5">
        <w:rPr>
          <w:rFonts w:ascii="Times New Roman" w:eastAsia="Times New Roman" w:hAnsi="Times New Roman" w:cs="Times New Roman"/>
          <w:color w:val="000000"/>
          <w:sz w:val="24"/>
          <w:szCs w:val="24"/>
          <w:lang w:eastAsia="es-ES"/>
        </w:rPr>
        <w:t>acuerdo legalment</w:t>
      </w:r>
      <w:r>
        <w:rPr>
          <w:rFonts w:ascii="Times New Roman" w:eastAsia="Times New Roman" w:hAnsi="Times New Roman" w:cs="Times New Roman"/>
          <w:color w:val="000000"/>
          <w:sz w:val="24"/>
          <w:szCs w:val="24"/>
          <w:lang w:eastAsia="es-ES"/>
        </w:rPr>
        <w:t xml:space="preserve">e vinculante, ambicioso y justo”, y tildaron </w:t>
      </w:r>
      <w:r w:rsidRPr="00F527F5">
        <w:rPr>
          <w:rFonts w:ascii="Times New Roman" w:eastAsia="Times New Roman" w:hAnsi="Times New Roman" w:cs="Times New Roman"/>
          <w:color w:val="000000"/>
          <w:sz w:val="24"/>
          <w:szCs w:val="24"/>
          <w:lang w:eastAsia="es-ES"/>
        </w:rPr>
        <w:t xml:space="preserve"> el ac</w:t>
      </w:r>
      <w:r>
        <w:rPr>
          <w:rFonts w:ascii="Times New Roman" w:eastAsia="Times New Roman" w:hAnsi="Times New Roman" w:cs="Times New Roman"/>
          <w:color w:val="000000"/>
          <w:sz w:val="24"/>
          <w:szCs w:val="24"/>
          <w:lang w:eastAsia="es-ES"/>
        </w:rPr>
        <w:t>uerdo de “vergüenza climática”.</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El acuerdo provocó el rechazo rotundo y general de las organizaciones no gubernamentales. Joaquín Nieto, presidente de honor de Sustain Labour y representante de los sindicatos españoles en la cu</w:t>
      </w:r>
      <w:r>
        <w:rPr>
          <w:rFonts w:ascii="Times New Roman" w:eastAsia="Times New Roman" w:hAnsi="Times New Roman" w:cs="Times New Roman"/>
          <w:color w:val="000000"/>
          <w:sz w:val="24"/>
          <w:szCs w:val="24"/>
          <w:lang w:eastAsia="es-ES"/>
        </w:rPr>
        <w:t>mbre, consideró que el acuerdo “</w:t>
      </w:r>
      <w:r w:rsidRPr="00F527F5">
        <w:rPr>
          <w:rFonts w:ascii="Times New Roman" w:eastAsia="Times New Roman" w:hAnsi="Times New Roman" w:cs="Times New Roman"/>
          <w:color w:val="000000"/>
          <w:sz w:val="24"/>
          <w:szCs w:val="24"/>
          <w:lang w:eastAsia="es-ES"/>
        </w:rPr>
        <w:t xml:space="preserve">incumple los compromisos que los gobiernos </w:t>
      </w:r>
      <w:r>
        <w:rPr>
          <w:rFonts w:ascii="Times New Roman" w:eastAsia="Times New Roman" w:hAnsi="Times New Roman" w:cs="Times New Roman"/>
          <w:color w:val="000000"/>
          <w:sz w:val="24"/>
          <w:szCs w:val="24"/>
          <w:lang w:eastAsia="es-ES"/>
        </w:rPr>
        <w:t>se impusieron en 2007 en Bali”.</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w:t>
      </w:r>
      <w:r w:rsidRPr="00F527F5">
        <w:rPr>
          <w:rFonts w:ascii="Times New Roman" w:eastAsia="Times New Roman" w:hAnsi="Times New Roman" w:cs="Times New Roman"/>
          <w:color w:val="000000"/>
          <w:sz w:val="24"/>
          <w:szCs w:val="24"/>
          <w:lang w:eastAsia="es-ES"/>
        </w:rPr>
        <w:t>Tenía que ser un tratado legalmente vinculante que diera un mensaje claro de reducción de emisiones para evitar un cambio cl</w:t>
      </w:r>
      <w:r>
        <w:rPr>
          <w:rFonts w:ascii="Times New Roman" w:eastAsia="Times New Roman" w:hAnsi="Times New Roman" w:cs="Times New Roman"/>
          <w:color w:val="000000"/>
          <w:sz w:val="24"/>
          <w:szCs w:val="24"/>
          <w:lang w:eastAsia="es-ES"/>
        </w:rPr>
        <w:t>imático catastrófico y no lo es”, afirmó. Según Nieto, “</w:t>
      </w:r>
      <w:r w:rsidRPr="00F527F5">
        <w:rPr>
          <w:rFonts w:ascii="Times New Roman" w:eastAsia="Times New Roman" w:hAnsi="Times New Roman" w:cs="Times New Roman"/>
          <w:color w:val="000000"/>
          <w:sz w:val="24"/>
          <w:szCs w:val="24"/>
          <w:lang w:eastAsia="es-ES"/>
        </w:rPr>
        <w:t>lo fundamental de un acuerdo es cuánto se van a reducir las emisiones. Todos los demás asuntos son complementarios. Y éste acuerdo fa</w:t>
      </w:r>
      <w:r>
        <w:rPr>
          <w:rFonts w:ascii="Times New Roman" w:eastAsia="Times New Roman" w:hAnsi="Times New Roman" w:cs="Times New Roman"/>
          <w:color w:val="000000"/>
          <w:sz w:val="24"/>
          <w:szCs w:val="24"/>
          <w:lang w:eastAsia="es-ES"/>
        </w:rPr>
        <w:t>lla en lo fundamental”, añadió.</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Des</w:t>
      </w:r>
      <w:r>
        <w:rPr>
          <w:rFonts w:ascii="Times New Roman" w:eastAsia="Times New Roman" w:hAnsi="Times New Roman" w:cs="Times New Roman"/>
          <w:color w:val="000000"/>
          <w:sz w:val="24"/>
          <w:szCs w:val="24"/>
          <w:lang w:eastAsia="es-ES"/>
        </w:rPr>
        <w:t>de WWF, Kim Carstensen afirmó: “</w:t>
      </w:r>
      <w:r w:rsidRPr="00F527F5">
        <w:rPr>
          <w:rFonts w:ascii="Times New Roman" w:eastAsia="Times New Roman" w:hAnsi="Times New Roman" w:cs="Times New Roman"/>
          <w:color w:val="000000"/>
          <w:sz w:val="24"/>
          <w:szCs w:val="24"/>
          <w:lang w:eastAsia="es-ES"/>
        </w:rPr>
        <w:t xml:space="preserve">Los líderes dicen que la Cumbre ha acabado, pero no es así. Después de años de negociaciones, hay una declaración que no vincula a nadie y que no garantiza el futuro </w:t>
      </w:r>
      <w:r>
        <w:rPr>
          <w:rFonts w:ascii="Times New Roman" w:eastAsia="Times New Roman" w:hAnsi="Times New Roman" w:cs="Times New Roman"/>
          <w:color w:val="000000"/>
          <w:sz w:val="24"/>
          <w:szCs w:val="24"/>
          <w:lang w:eastAsia="es-ES"/>
        </w:rPr>
        <w:t>de las generaciones venideras”.</w:t>
      </w:r>
    </w:p>
    <w:p w:rsidR="004265B7"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 xml:space="preserve">La ONG cree que los objetivos sobre el clima no se pueden cumplir </w:t>
      </w:r>
      <w:r>
        <w:rPr>
          <w:rFonts w:ascii="Times New Roman" w:eastAsia="Times New Roman" w:hAnsi="Times New Roman" w:cs="Times New Roman"/>
          <w:color w:val="000000"/>
          <w:sz w:val="24"/>
          <w:szCs w:val="24"/>
          <w:lang w:eastAsia="es-ES"/>
        </w:rPr>
        <w:t>con lo decidido en Copenhague: “</w:t>
      </w:r>
      <w:r w:rsidRPr="00F527F5">
        <w:rPr>
          <w:rFonts w:ascii="Times New Roman" w:eastAsia="Times New Roman" w:hAnsi="Times New Roman" w:cs="Times New Roman"/>
          <w:color w:val="000000"/>
          <w:sz w:val="24"/>
          <w:szCs w:val="24"/>
          <w:lang w:eastAsia="es-ES"/>
        </w:rPr>
        <w:t>Políticamente, se está de acuerdo en mantener el aumento de la temperatura por debajo del peligroso umbral de los 2º C, pero lo que hasta ahora hay sobre la mesa conduce al Planeta a un incremento de 3º</w:t>
      </w:r>
      <w:r w:rsidR="00B96388">
        <w:rPr>
          <w:rFonts w:ascii="Times New Roman" w:eastAsia="Times New Roman" w:hAnsi="Times New Roman" w:cs="Times New Roman"/>
          <w:color w:val="000000"/>
          <w:sz w:val="24"/>
          <w:szCs w:val="24"/>
          <w:lang w:eastAsia="es-ES"/>
        </w:rPr>
        <w:t xml:space="preserve"> </w:t>
      </w:r>
      <w:r w:rsidRPr="00F527F5">
        <w:rPr>
          <w:rFonts w:ascii="Times New Roman" w:eastAsia="Times New Roman" w:hAnsi="Times New Roman" w:cs="Times New Roman"/>
          <w:color w:val="000000"/>
          <w:sz w:val="24"/>
          <w:szCs w:val="24"/>
          <w:lang w:eastAsia="es-ES"/>
        </w:rPr>
        <w:t xml:space="preserve">C o más. Esta diferencia entre la retórica y la realidad </w:t>
      </w:r>
      <w:r>
        <w:rPr>
          <w:rFonts w:ascii="Times New Roman" w:eastAsia="Times New Roman" w:hAnsi="Times New Roman" w:cs="Times New Roman"/>
          <w:color w:val="000000"/>
          <w:sz w:val="24"/>
          <w:szCs w:val="24"/>
          <w:lang w:eastAsia="es-ES"/>
        </w:rPr>
        <w:t>podría costar millones de vidas”</w:t>
      </w:r>
      <w:r w:rsidRPr="00F527F5">
        <w:rPr>
          <w:rFonts w:ascii="Times New Roman" w:eastAsia="Times New Roman" w:hAnsi="Times New Roman" w:cs="Times New Roman"/>
          <w:color w:val="000000"/>
          <w:sz w:val="24"/>
          <w:szCs w:val="24"/>
          <w:lang w:eastAsia="es-ES"/>
        </w:rPr>
        <w:t xml:space="preserve">, añadió Kirstensen. </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Desde Oxfam internacional consideraron que el acuerdo no asegura que los países pobres vayan a recibir el dinero que necesitan para adaptarse al aumento de temp</w:t>
      </w:r>
      <w:r>
        <w:rPr>
          <w:rFonts w:ascii="Times New Roman" w:eastAsia="Times New Roman" w:hAnsi="Times New Roman" w:cs="Times New Roman"/>
          <w:color w:val="000000"/>
          <w:sz w:val="24"/>
          <w:szCs w:val="24"/>
          <w:lang w:eastAsia="es-ES"/>
        </w:rPr>
        <w:t>eraturas.</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Y Green</w:t>
      </w:r>
      <w:r>
        <w:rPr>
          <w:rFonts w:ascii="Times New Roman" w:eastAsia="Times New Roman" w:hAnsi="Times New Roman" w:cs="Times New Roman"/>
          <w:color w:val="000000"/>
          <w:sz w:val="24"/>
          <w:szCs w:val="24"/>
          <w:lang w:eastAsia="es-ES"/>
        </w:rPr>
        <w:t>peace consideró que el acuerdo “</w:t>
      </w:r>
      <w:r w:rsidRPr="00F527F5">
        <w:rPr>
          <w:rFonts w:ascii="Times New Roman" w:eastAsia="Times New Roman" w:hAnsi="Times New Roman" w:cs="Times New Roman"/>
          <w:color w:val="000000"/>
          <w:sz w:val="24"/>
          <w:szCs w:val="24"/>
          <w:lang w:eastAsia="es-ES"/>
        </w:rPr>
        <w:t>no es justo, no es legalmen</w:t>
      </w:r>
      <w:r>
        <w:rPr>
          <w:rFonts w:ascii="Times New Roman" w:eastAsia="Times New Roman" w:hAnsi="Times New Roman" w:cs="Times New Roman"/>
          <w:color w:val="000000"/>
          <w:sz w:val="24"/>
          <w:szCs w:val="24"/>
          <w:lang w:eastAsia="es-ES"/>
        </w:rPr>
        <w:t>te vinculante y no es ambicioso”</w:t>
      </w:r>
      <w:r w:rsidRPr="00F527F5">
        <w:rPr>
          <w:rFonts w:ascii="Times New Roman" w:eastAsia="Times New Roman" w:hAnsi="Times New Roman" w:cs="Times New Roman"/>
          <w:color w:val="000000"/>
          <w:sz w:val="24"/>
          <w:szCs w:val="24"/>
          <w:lang w:eastAsia="es-ES"/>
        </w:rPr>
        <w:t>. En una not</w:t>
      </w:r>
      <w:r>
        <w:rPr>
          <w:rFonts w:ascii="Times New Roman" w:eastAsia="Times New Roman" w:hAnsi="Times New Roman" w:cs="Times New Roman"/>
          <w:color w:val="000000"/>
          <w:sz w:val="24"/>
          <w:szCs w:val="24"/>
          <w:lang w:eastAsia="es-ES"/>
        </w:rPr>
        <w:t>a, el grupo ecologista afirma: “</w:t>
      </w:r>
      <w:r w:rsidRPr="00F527F5">
        <w:rPr>
          <w:rFonts w:ascii="Times New Roman" w:eastAsia="Times New Roman" w:hAnsi="Times New Roman" w:cs="Times New Roman"/>
          <w:color w:val="000000"/>
          <w:sz w:val="24"/>
          <w:szCs w:val="24"/>
          <w:lang w:eastAsia="es-ES"/>
        </w:rPr>
        <w:t>Copenhague es hoy el escenario de un crimen climático, con los hombres y mujeres culpables corriendo hacia el aero</w:t>
      </w:r>
      <w:r>
        <w:rPr>
          <w:rFonts w:ascii="Times New Roman" w:eastAsia="Times New Roman" w:hAnsi="Times New Roman" w:cs="Times New Roman"/>
          <w:color w:val="000000"/>
          <w:sz w:val="24"/>
          <w:szCs w:val="24"/>
          <w:lang w:eastAsia="es-ES"/>
        </w:rPr>
        <w:t>puerto cubiertos de vergüenza”.</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t>Desde Ecologistas en Acción, Pablo Cota</w:t>
      </w:r>
      <w:r>
        <w:rPr>
          <w:rFonts w:ascii="Times New Roman" w:eastAsia="Times New Roman" w:hAnsi="Times New Roman" w:cs="Times New Roman"/>
          <w:color w:val="000000"/>
          <w:sz w:val="24"/>
          <w:szCs w:val="24"/>
          <w:lang w:eastAsia="es-ES"/>
        </w:rPr>
        <w:t>relo consideró el acuerdo como “</w:t>
      </w:r>
      <w:r w:rsidRPr="00F527F5">
        <w:rPr>
          <w:rFonts w:ascii="Times New Roman" w:eastAsia="Times New Roman" w:hAnsi="Times New Roman" w:cs="Times New Roman"/>
          <w:color w:val="000000"/>
          <w:sz w:val="24"/>
          <w:szCs w:val="24"/>
          <w:lang w:eastAsia="es-ES"/>
        </w:rPr>
        <w:t>un fracaso y una vergüenza para los líderes mundiales. Supone una decepción y el riesgo de la supervivencia de millones de personas. Algunos de los países más poderosos han r</w:t>
      </w:r>
      <w:r>
        <w:rPr>
          <w:rFonts w:ascii="Times New Roman" w:eastAsia="Times New Roman" w:hAnsi="Times New Roman" w:cs="Times New Roman"/>
          <w:color w:val="000000"/>
          <w:sz w:val="24"/>
          <w:szCs w:val="24"/>
          <w:lang w:eastAsia="es-ES"/>
        </w:rPr>
        <w:t>esuelto las cosas por su cuenta”</w:t>
      </w:r>
      <w:r w:rsidRPr="00F527F5">
        <w:rPr>
          <w:rFonts w:ascii="Times New Roman" w:eastAsia="Times New Roman" w:hAnsi="Times New Roman" w:cs="Times New Roman"/>
          <w:color w:val="000000"/>
          <w:sz w:val="24"/>
          <w:szCs w:val="24"/>
          <w:lang w:eastAsia="es-ES"/>
        </w:rPr>
        <w:t>. La organización internacional Amigos de la Ti</w:t>
      </w:r>
      <w:r>
        <w:rPr>
          <w:rFonts w:ascii="Times New Roman" w:eastAsia="Times New Roman" w:hAnsi="Times New Roman" w:cs="Times New Roman"/>
          <w:color w:val="000000"/>
          <w:sz w:val="24"/>
          <w:szCs w:val="24"/>
          <w:lang w:eastAsia="es-ES"/>
        </w:rPr>
        <w:t>erra considera que se trata de “</w:t>
      </w:r>
      <w:r w:rsidRPr="00F527F5">
        <w:rPr>
          <w:rFonts w:ascii="Times New Roman" w:eastAsia="Times New Roman" w:hAnsi="Times New Roman" w:cs="Times New Roman"/>
          <w:color w:val="000000"/>
          <w:sz w:val="24"/>
          <w:szCs w:val="24"/>
          <w:lang w:eastAsia="es-ES"/>
        </w:rPr>
        <w:t>un falso acuerdo que no requier</w:t>
      </w:r>
      <w:r>
        <w:rPr>
          <w:rFonts w:ascii="Times New Roman" w:eastAsia="Times New Roman" w:hAnsi="Times New Roman" w:cs="Times New Roman"/>
          <w:color w:val="000000"/>
          <w:sz w:val="24"/>
          <w:szCs w:val="24"/>
          <w:lang w:eastAsia="es-ES"/>
        </w:rPr>
        <w:t>e nada y que no consigue nada”.</w:t>
      </w:r>
    </w:p>
    <w:p w:rsidR="004265B7" w:rsidRPr="00F527F5"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F527F5">
        <w:rPr>
          <w:rFonts w:ascii="Times New Roman" w:eastAsia="Times New Roman" w:hAnsi="Times New Roman" w:cs="Times New Roman"/>
          <w:color w:val="000000"/>
          <w:sz w:val="24"/>
          <w:szCs w:val="24"/>
          <w:lang w:eastAsia="es-ES"/>
        </w:rPr>
        <w:lastRenderedPageBreak/>
        <w:t>Así las cosas, el resultado de Copenhague ha sido reducir las expectativas hasta el mínimo común denominador</w:t>
      </w:r>
      <w:r>
        <w:rPr>
          <w:rFonts w:ascii="Times New Roman" w:eastAsia="Times New Roman" w:hAnsi="Times New Roman" w:cs="Times New Roman"/>
          <w:color w:val="000000"/>
          <w:sz w:val="24"/>
          <w:szCs w:val="24"/>
          <w:lang w:eastAsia="es-ES"/>
        </w:rPr>
        <w:t xml:space="preserve"> </w:t>
      </w:r>
      <w:r w:rsidRPr="00F527F5">
        <w:rPr>
          <w:rFonts w:ascii="Times New Roman" w:eastAsia="Times New Roman" w:hAnsi="Times New Roman" w:cs="Times New Roman"/>
          <w:color w:val="000000"/>
          <w:sz w:val="24"/>
          <w:szCs w:val="24"/>
          <w:lang w:eastAsia="es-ES"/>
        </w:rPr>
        <w:t>para conseguir que al menos entraran todos los países. El Protocolo de Kioto comprometió en 1997 a 37 de ellos, pero dejó fuera a los grand</w:t>
      </w:r>
      <w:r>
        <w:rPr>
          <w:rFonts w:ascii="Times New Roman" w:eastAsia="Times New Roman" w:hAnsi="Times New Roman" w:cs="Times New Roman"/>
          <w:color w:val="000000"/>
          <w:sz w:val="24"/>
          <w:szCs w:val="24"/>
          <w:lang w:eastAsia="es-ES"/>
        </w:rPr>
        <w:t xml:space="preserve">es emisores, como EEUU y China. </w:t>
      </w:r>
      <w:r w:rsidRPr="00F527F5">
        <w:rPr>
          <w:rFonts w:ascii="Times New Roman" w:eastAsia="Times New Roman" w:hAnsi="Times New Roman" w:cs="Times New Roman"/>
          <w:color w:val="000000"/>
          <w:sz w:val="24"/>
          <w:szCs w:val="24"/>
          <w:lang w:eastAsia="es-ES"/>
        </w:rPr>
        <w:t xml:space="preserve">Ahora se ha conseguido incorporarlos a la causa climática internacional, pero a costa de bajar las ambiciones. Y ni siquiera se ha </w:t>
      </w:r>
      <w:r>
        <w:rPr>
          <w:rFonts w:ascii="Times New Roman" w:eastAsia="Times New Roman" w:hAnsi="Times New Roman" w:cs="Times New Roman"/>
          <w:color w:val="000000"/>
          <w:sz w:val="24"/>
          <w:szCs w:val="24"/>
          <w:lang w:eastAsia="es-ES"/>
        </w:rPr>
        <w:t>conseguido el consenso general.</w:t>
      </w:r>
    </w:p>
    <w:p w:rsidR="004265B7" w:rsidRDefault="004265B7" w:rsidP="004265B7">
      <w:pPr>
        <w:pStyle w:val="NormalWeb"/>
        <w:jc w:val="both"/>
        <w:rPr>
          <w:b/>
        </w:rPr>
      </w:pPr>
      <w:r>
        <w:rPr>
          <w:b/>
        </w:rPr>
        <w:t>6 - La Cláusula de Solución de Controversias entre Inversores y Estados (ISDS)</w:t>
      </w:r>
    </w:p>
    <w:p w:rsidR="004265B7" w:rsidRPr="00905B09"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7D7A33">
        <w:rPr>
          <w:rFonts w:ascii="Times New Roman" w:hAnsi="Times New Roman" w:cs="Times New Roman"/>
          <w:sz w:val="24"/>
          <w:szCs w:val="24"/>
          <w:u w:val="single"/>
        </w:rPr>
        <w:t>Tribunales de disputas privados</w:t>
      </w:r>
      <w:r>
        <w:rPr>
          <w:rFonts w:ascii="Times New Roman" w:hAnsi="Times New Roman" w:cs="Times New Roman"/>
          <w:color w:val="000000"/>
          <w:sz w:val="24"/>
          <w:szCs w:val="24"/>
        </w:rPr>
        <w:t xml:space="preserve">. </w:t>
      </w:r>
      <w:r w:rsidRPr="00A25CCC">
        <w:rPr>
          <w:rFonts w:ascii="Times New Roman" w:hAnsi="Times New Roman" w:cs="Times New Roman"/>
          <w:color w:val="000000"/>
          <w:sz w:val="24"/>
          <w:szCs w:val="24"/>
        </w:rPr>
        <w:t xml:space="preserve">Se trata de crear tribunales ad hoc privados que capacitan a las multinacionales a demandar a los Estados, y sin instancia superior. La Unión Europea, después de una consulta pública, dice buscar el medio para hacerlos transparentes y asegurar el derecho a legislar. </w:t>
      </w:r>
    </w:p>
    <w:p w:rsidR="004265B7" w:rsidRPr="007D7A33"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7D7A33">
        <w:rPr>
          <w:rFonts w:ascii="Times New Roman" w:hAnsi="Times New Roman" w:cs="Times New Roman"/>
          <w:sz w:val="24"/>
          <w:szCs w:val="24"/>
        </w:rPr>
        <w:t>La técnica jurídica utilizada por el TTIP no es neutral: es una arquitectura construida a favor de las empresas multinacionales y del capital. La desigualdad y la asimetría son elementos constitutivos del Tratado; además de su opacidad, su falta de transparencia y la reinterpretación de los elementos formales que constituyen el Estado de Derecho.</w:t>
      </w:r>
    </w:p>
    <w:p w:rsidR="004265B7" w:rsidRPr="007D7A33"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7D7A33">
        <w:rPr>
          <w:rFonts w:ascii="Times New Roman" w:hAnsi="Times New Roman" w:cs="Times New Roman"/>
          <w:sz w:val="24"/>
          <w:szCs w:val="24"/>
        </w:rPr>
        <w:t xml:space="preserve">Los derechos de las empresas transnacionales se tutelan por un ordenamiento jurídico global basado en reglas de comercio e inversiones cuyas características son imperativas, coercitivas y ejecutivas -Derecho duro o </w:t>
      </w:r>
      <w:r w:rsidRPr="007D7A33">
        <w:rPr>
          <w:rFonts w:ascii="Times New Roman" w:hAnsi="Times New Roman" w:cs="Times New Roman"/>
          <w:i/>
          <w:sz w:val="24"/>
          <w:szCs w:val="24"/>
        </w:rPr>
        <w:t>Hard law</w:t>
      </w:r>
      <w:r w:rsidRPr="007D7A33">
        <w:rPr>
          <w:rFonts w:ascii="Times New Roman" w:hAnsi="Times New Roman" w:cs="Times New Roman"/>
          <w:sz w:val="24"/>
          <w:szCs w:val="24"/>
        </w:rPr>
        <w:t xml:space="preserve">-, mientras que sus obligaciones se remiten a ordenamientos nacionales sometidos a la lógica neoliberal, a un Derecho Internacional de los Derechos Humanos manifiestamente frágil y a una Responsabilidad Social Corporativa (RSC) voluntaria, unilateral y sin exigibilidad jurídica -Derecho blando o </w:t>
      </w:r>
      <w:r w:rsidRPr="007D7A33">
        <w:rPr>
          <w:rStyle w:val="nfasis"/>
          <w:rFonts w:ascii="Times New Roman" w:hAnsi="Times New Roman" w:cs="Times New Roman"/>
          <w:sz w:val="24"/>
          <w:szCs w:val="24"/>
        </w:rPr>
        <w:t>Soft law-.</w:t>
      </w:r>
    </w:p>
    <w:p w:rsidR="004265B7" w:rsidRPr="007D7A33"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7D7A33">
        <w:rPr>
          <w:rFonts w:ascii="Times New Roman" w:hAnsi="Times New Roman" w:cs="Times New Roman"/>
          <w:sz w:val="24"/>
          <w:szCs w:val="24"/>
        </w:rPr>
        <w:t>La lógica jurídica contractual asimétrica se impone en las transacciones económicas internacionales. Las relaciones de fuerza impregnan los núcleos esenciales de los contratos formalmente bilaterales, tratados regionales y bilaterales, donde la conformación de voluntades se produce desde la mera adhesión a cláusulas que tutelan, fundamentalmente, los intereses de las empresas transnacionales.</w:t>
      </w:r>
    </w:p>
    <w:p w:rsidR="004265B7" w:rsidRPr="007D7A33" w:rsidRDefault="004265B7" w:rsidP="004265B7">
      <w:pPr>
        <w:pStyle w:val="NormalWeb"/>
        <w:jc w:val="both"/>
      </w:pPr>
      <w:r w:rsidRPr="007D7A33">
        <w:t>La cláusula sobre Solución de Controversias entre Inversores y Estados, más conocida por sus siglas en inglés, ISDS, es un requerimiento imprescindible de Washington. Este mecanismo prevé fijar por ley que los inversores extranjeros puedan llevar a un Estado ante un tribunal internacional de arbitraje si consideran que su gobierno ha tomado decisiones que perjudican sus intereses. Originalmente, se trataba de condiciones impuestas por los países ricos a las naciones en desarrollo para evitar que una empresa pudiera verse perjudicada por decisiones como una nacionalización de los activos. Pero muchos inversores se han aprovechado de estos mecanismos para reclamar compensación porque los gobiernos elevaron el salario mínimo o introdujeron normas medioambientales más estrictas.</w:t>
      </w:r>
    </w:p>
    <w:p w:rsidR="004265B7" w:rsidRPr="00103DD9" w:rsidRDefault="004265B7" w:rsidP="004265B7">
      <w:pPr>
        <w:pStyle w:val="NormalWeb"/>
        <w:jc w:val="both"/>
        <w:rPr>
          <w:color w:val="FF0000"/>
        </w:rPr>
      </w:pPr>
    </w:p>
    <w:p w:rsidR="004265B7" w:rsidRPr="009F0004" w:rsidRDefault="004265B7" w:rsidP="004265B7">
      <w:pPr>
        <w:pStyle w:val="NormalWeb"/>
        <w:jc w:val="both"/>
      </w:pPr>
      <w:r w:rsidRPr="009F0004">
        <w:t xml:space="preserve">Ya existe un tribunal de arbitraje, el Ciadi, que depende del Banco Mundial en Washington y es reconocido por la gran mayoría de países miembros de la ONU. El Estado español, por ejemplo, está acumulando demandas de inversores extranjeros por el recorte de las subvenciones a las energías renovables. Pero, con el TTIP, este proceso sería vinculante y los demandantes podrían acudir a otros tribunales de arbitraje de carácter puramente privado. Normalmente, las dos partes del litigio, el Estado y el </w:t>
      </w:r>
      <w:r w:rsidRPr="009F0004">
        <w:lastRenderedPageBreak/>
        <w:t xml:space="preserve">inversor, nombran cada una a un miembro del panel y se ponen de acuerdo para elegir un tercero. Los tres juristas que dirimen el contencioso suelen ser abogados comerciales de despachos privados en vez de jueces. </w:t>
      </w:r>
    </w:p>
    <w:p w:rsidR="004265B7" w:rsidRPr="009F0004" w:rsidRDefault="004265B7" w:rsidP="004265B7">
      <w:pPr>
        <w:pStyle w:val="NormalWeb"/>
        <w:jc w:val="both"/>
      </w:pPr>
    </w:p>
    <w:p w:rsidR="004265B7" w:rsidRPr="009F0004" w:rsidRDefault="004265B7" w:rsidP="004265B7">
      <w:pPr>
        <w:pStyle w:val="NormalWeb"/>
        <w:jc w:val="both"/>
      </w:pPr>
      <w:r w:rsidRPr="009F0004">
        <w:t>La falta de transparencia es otra crítica de estos mecanismos. Los defensores del ISDS y el lobby empresarial alegan que los inversores deben tener garantías que les protejan de decisiones arbitrarias en su perjuicio y destacan que estas cláusulas existen ya en otros tratados como el CETA con Canadá, que aún no ha entrado en vigor. La ONG Traidcraft quita hierro a este argumento y pone el ejemplo de Brasil, que se opuso a firmar cláusulas de este tipo, sin que se haya resentido la inversión extranjera en el gigante suramericano.</w:t>
      </w:r>
    </w:p>
    <w:p w:rsidR="004265B7" w:rsidRPr="009F0004" w:rsidRDefault="004265B7" w:rsidP="004265B7">
      <w:pPr>
        <w:pStyle w:val="NormalWeb"/>
        <w:jc w:val="both"/>
      </w:pPr>
    </w:p>
    <w:p w:rsidR="004265B7" w:rsidRPr="009F0004" w:rsidRDefault="004265B7" w:rsidP="004265B7">
      <w:pPr>
        <w:pStyle w:val="NormalWeb"/>
        <w:jc w:val="both"/>
      </w:pPr>
      <w:r w:rsidRPr="009F0004">
        <w:t>Pero lo más controvertido es que el ISDS socavaría la soberanía de los Estados y sus sistemas de Justicia. Y mucha gente no quiere aceptar esto. “Digo muy claramente: no necesitamos los tribunales de arbitraje”, afirmó el ministro de Justicia alemán, Heiko Maas, en una entrevista con el diario</w:t>
      </w:r>
      <w:r>
        <w:t xml:space="preserve"> </w:t>
      </w:r>
      <w:r w:rsidRPr="009F0004">
        <w:t xml:space="preserve">Frankfurter Allgemeine Sonntagszeitung en junio (2014). “La posición del Gobierno federal en este punto es firme y así se lo hemos transmitido a la Comisión”, dijo el dirigente socialdemócrata. Su partido, el SPD, tiene un papel clave para el futuro del TTIP, ya que forma gobierno junto con los democristianos de la canciller Angela Merkel, que está muy preocupada con que el tratado llegue a buen puerto. </w:t>
      </w:r>
    </w:p>
    <w:p w:rsidR="004265B7" w:rsidRPr="009F0004" w:rsidRDefault="004265B7" w:rsidP="004265B7">
      <w:pPr>
        <w:pStyle w:val="NormalWeb"/>
        <w:jc w:val="both"/>
      </w:pPr>
    </w:p>
    <w:p w:rsidR="004265B7" w:rsidRPr="009F0004" w:rsidRDefault="004265B7" w:rsidP="004265B7">
      <w:pPr>
        <w:pStyle w:val="NormalWeb"/>
        <w:jc w:val="both"/>
      </w:pPr>
      <w:r w:rsidRPr="009F0004">
        <w:t>En un congreso del año 2014, las bases socialdemócratas votaron una moción en contra del ISDS. Con eso pusieron en aprietos a su presidente Sigmar Gabriel, quien, como vicecanciller y ministro de Economía, es el responsable de temas de comercio en la gran coalición. Gabriel no comparte muchos de los reparos de sus compañeros de partido y está a favor de llegar a un acuerdo con EEUU, aunque en otros términos. Para vencer la resistencia a los tribunales de arbitraje, el líder de los socialdemócratas alemanes está pensando en crear un tipo de corte internacional para el comercio, con jueces que provienen de los sistemas de Justicia nacionales y con todas las garantías de transparencia para la sociedad.</w:t>
      </w:r>
    </w:p>
    <w:p w:rsidR="004265B7" w:rsidRPr="009F0004" w:rsidRDefault="004265B7" w:rsidP="004265B7">
      <w:pPr>
        <w:pStyle w:val="NormalWeb"/>
        <w:jc w:val="both"/>
      </w:pPr>
    </w:p>
    <w:p w:rsidR="004265B7" w:rsidRPr="009F0004" w:rsidRDefault="004265B7" w:rsidP="004265B7">
      <w:pPr>
        <w:pStyle w:val="NormalWeb"/>
        <w:jc w:val="both"/>
      </w:pPr>
      <w:r w:rsidRPr="009F0004">
        <w:t>El rechazo al mecanismo de arbitraje se ha manifestado también en los parlamentos de Francia y Holanda, que han aprobado sendas mociones en su contra. Y el ministro de Comercio francés, Matthias Fekl, declaró en noviembre (2014) que París no firmará un tratado que incluya el ISDS. “Tenemos que preservar el derecho del Estado para establecer y aplicar sus propios estándares, mantener la imparcialidad del sistema de Justicia y permitir al pueblo de Francia y del resto del mundo reafirmar sus valores”, dijo el ministro socialista.</w:t>
      </w:r>
    </w:p>
    <w:p w:rsidR="004265B7" w:rsidRPr="009F0004" w:rsidRDefault="004265B7" w:rsidP="004265B7">
      <w:pPr>
        <w:pStyle w:val="NormalWeb"/>
        <w:jc w:val="both"/>
      </w:pPr>
    </w:p>
    <w:p w:rsidR="004265B7" w:rsidRPr="009F0004" w:rsidRDefault="004265B7" w:rsidP="004265B7">
      <w:pPr>
        <w:pStyle w:val="NormalWeb"/>
        <w:jc w:val="both"/>
      </w:pPr>
      <w:r w:rsidRPr="009F0004">
        <w:t>La comisaria Malmström ha entendido el mensaje y comprende que debe actuar para vencer los recelos. Con este objetivo, ya está preparando un “ISDS reformado”, según consta en el memorándum de un eurodiputado que participó en una de las exclusivas reuniones de consulta con la responsable europea de Comercio. En ese encuentro, Malmström también dio a entender que prefiere posponer la firma del CETA para no entorpecer las negociaciones del TTIP. Y es que el tratado de libre comercio con Canadá, que ya está aprobado, aunque todavía no ratificado por el Consejo y el Parlamento Europeo, contiene la polémica cláusula ISDS, que tanto rechazo despierta en Alemania, Francia, Holanda y otros países. “El ISDS es la piedra en el zapato del TTIP”, comenta Luis Rico, coordinador de Ecologistas en Acción de la campaña contra el tratado en España.</w:t>
      </w:r>
    </w:p>
    <w:p w:rsidR="004265B7" w:rsidRDefault="004265B7" w:rsidP="004265B7">
      <w:pPr>
        <w:pStyle w:val="NormalWeb"/>
        <w:jc w:val="both"/>
        <w:rPr>
          <w:color w:val="FF0000"/>
        </w:rPr>
      </w:pPr>
    </w:p>
    <w:p w:rsidR="004265B7" w:rsidRPr="008862CB" w:rsidRDefault="004265B7" w:rsidP="004265B7">
      <w:pPr>
        <w:pStyle w:val="NormalWeb"/>
        <w:jc w:val="both"/>
      </w:pPr>
      <w:r w:rsidRPr="008862CB">
        <w:t>En el Capitolio de Washington también están en contra de que el tratado incluya la cláusula ISDS para los mecanismos de arbitraje. Temen que bancos europeos puedan demandar a Washington por los daños que le provoquen las reformas de Obama en los balances de sus sucursales en Nueva York. “Incluir estas cláusulas en el TTIP podría exponer a los contribuyentes americanos a pérdidas de miles de millones de dólares y disuadir al Gobierno de introducir normas financieras que afecten a bancos extranjeros. La consecuencia sería quitarle a nuestros reguladores los medios para prevenir la próxima crisis”, reza una carta al Departamento de Comercio, firmada por Warren, a la que algunos observadores barajan como candidata presidencial de los demócratas, y otros parlamentarios. Como suele ocurrir en el sistema político estadounidense, donde la representación es directa y los senadores y diputados a menudo se debe más a los votantes en sus Estados que a la disciplina de partido, la oposición al ISDS y otros aspectos del TTIP reúne a demócratas progresistas como Warren y a algunos republicanos, aunque la mayoría de la oposición conservadora, muy pro comercio libre, está en línea con Obama respecto a este asunto. No sorprende, pues, que los negociadores europeos y estadounidenses hayan excluido los dos temas más controvertidos, el ISDS y los servicios financieros, de las próximas rondas y que las dejen para el final.</w:t>
      </w:r>
    </w:p>
    <w:p w:rsidR="004265B7" w:rsidRDefault="004265B7" w:rsidP="004265B7">
      <w:pPr>
        <w:pStyle w:val="NormalWeb"/>
        <w:jc w:val="both"/>
        <w:rPr>
          <w:color w:val="FF0000"/>
        </w:rPr>
      </w:pPr>
    </w:p>
    <w:p w:rsidR="004265B7" w:rsidRDefault="004265B7" w:rsidP="004265B7">
      <w:pPr>
        <w:pStyle w:val="NormalWeb"/>
        <w:jc w:val="both"/>
        <w:rPr>
          <w:b/>
        </w:rPr>
      </w:pPr>
      <w:r>
        <w:rPr>
          <w:b/>
        </w:rPr>
        <w:t>7 - El Consejo de Cooperación Reguladora</w:t>
      </w:r>
    </w:p>
    <w:p w:rsidR="004265B7" w:rsidRDefault="004265B7" w:rsidP="004265B7">
      <w:pPr>
        <w:pStyle w:val="NormalWeb"/>
        <w:jc w:val="both"/>
        <w:rPr>
          <w:b/>
        </w:rPr>
      </w:pPr>
    </w:p>
    <w:p w:rsidR="004265B7" w:rsidRPr="008862CB" w:rsidRDefault="004265B7" w:rsidP="004265B7">
      <w:pPr>
        <w:pStyle w:val="NormalWeb"/>
        <w:jc w:val="both"/>
      </w:pPr>
      <w:r w:rsidRPr="008862CB">
        <w:t>Pero para el gran capital transnacional lo anterior no parece suficiente, y para asegurarse de que posibles cambios de políticas y gobiernos no le agüen la fiesta, incluye dentro de los términos del TTIP la creación de un organismo para la institucionalización y profundización de los términos del Tratado: el Consejo de Cooperación Regulatoria. Esta idea supone un fenómeno nuevo porque reclama para los grandes lobbies corporativos una silla en la mesa donde se dará el visto bueno a las leyes antes siquiera de que se discutan en los parlamentos, y convertirá nuestras ya maltrechas -si no vacías- democracias, en la nada más absoluta.</w:t>
      </w:r>
    </w:p>
    <w:p w:rsidR="004265B7" w:rsidRPr="008862CB" w:rsidRDefault="004265B7" w:rsidP="004265B7">
      <w:pPr>
        <w:pStyle w:val="NormalWeb"/>
        <w:jc w:val="both"/>
      </w:pPr>
    </w:p>
    <w:p w:rsidR="004265B7" w:rsidRPr="008862CB" w:rsidRDefault="004265B7" w:rsidP="004265B7">
      <w:pPr>
        <w:pStyle w:val="NormalWeb"/>
        <w:jc w:val="both"/>
      </w:pPr>
      <w:r w:rsidRPr="008862CB">
        <w:t>La propuesta que hizo la propia Comisión Europea en diciembre de 2013 y que fue filtrada incluía características y competencias como: negociación y diál</w:t>
      </w:r>
      <w:r>
        <w:t>ogo permanente (sector privado/UE/</w:t>
      </w:r>
      <w:r w:rsidRPr="008862CB">
        <w:t>EEUU) lo que de facto significa Tratado vivo y en continuo crecimiento e implica que si algo como la cláusula ISDS no se incluye inicialmente se pueda añadir de forma posterior a la firma del propio Tratado; mecanismo de alerta anticipada sobre cualquier proyecto legislativo que además podrá ser paralizado; la posibilidad de modificar leyes, normativas y reglamentos anteriores al Tratado que supone que ningún derecho, ninguna protección que creemos hoy consolidada esté realmente a salvo; la vigilancia de los Estados miembros en todos los niveles de gobierno pudiendo amonestar desde a la UE a un modesto ayuntamiento; y el derecho de los lobistas a participar directamente en las propuestas de elaboración de las regulaciones.</w:t>
      </w:r>
    </w:p>
    <w:p w:rsidR="004265B7" w:rsidRPr="008862CB" w:rsidRDefault="004265B7" w:rsidP="004265B7">
      <w:pPr>
        <w:pStyle w:val="NormalWeb"/>
        <w:jc w:val="both"/>
      </w:pPr>
    </w:p>
    <w:p w:rsidR="004265B7" w:rsidRPr="008862CB" w:rsidRDefault="004265B7" w:rsidP="004265B7">
      <w:pPr>
        <w:pStyle w:val="NormalWeb"/>
        <w:jc w:val="both"/>
      </w:pPr>
      <w:r w:rsidRPr="008862CB">
        <w:t xml:space="preserve">Altos funcionarios no elegidos y lobistas de las grandes corporaciones, constituirían por tanto un gobierno en la sombra que condicionaría y se impondría a la actuación de los gobiernos elegidos por los pueblos europeos democráticamente. La soberanía nacional, estado de derecho, separación de poderes y cualquier forma de legitimidad democrática se convertirán automáticamente en conceptos para los libros de historia. </w:t>
      </w:r>
    </w:p>
    <w:p w:rsidR="004265B7" w:rsidRPr="008862CB"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8862CB">
        <w:rPr>
          <w:rFonts w:ascii="Times New Roman" w:hAnsi="Times New Roman" w:cs="Times New Roman"/>
          <w:sz w:val="24"/>
          <w:szCs w:val="24"/>
        </w:rPr>
        <w:t xml:space="preserve">Además de la armonización de regulaciones por el método de la desregulación antes mencionado, los </w:t>
      </w:r>
      <w:r w:rsidRPr="00355FA6">
        <w:rPr>
          <w:rStyle w:val="nfasis"/>
          <w:rFonts w:ascii="Times New Roman" w:hAnsi="Times New Roman" w:cs="Times New Roman"/>
          <w:sz w:val="24"/>
          <w:szCs w:val="24"/>
        </w:rPr>
        <w:t>lobbie</w:t>
      </w:r>
      <w:r w:rsidRPr="00355FA6">
        <w:rPr>
          <w:rFonts w:ascii="Times New Roman" w:hAnsi="Times New Roman" w:cs="Times New Roman"/>
          <w:i/>
          <w:sz w:val="24"/>
          <w:szCs w:val="24"/>
        </w:rPr>
        <w:t>s</w:t>
      </w:r>
      <w:r w:rsidRPr="008862CB">
        <w:rPr>
          <w:rFonts w:ascii="Times New Roman" w:hAnsi="Times New Roman" w:cs="Times New Roman"/>
          <w:sz w:val="24"/>
          <w:szCs w:val="24"/>
        </w:rPr>
        <w:t xml:space="preserve"> transnacionales adquieren por medio del TTIP una presencia </w:t>
      </w:r>
      <w:r w:rsidRPr="008862CB">
        <w:rPr>
          <w:rFonts w:ascii="Times New Roman" w:hAnsi="Times New Roman" w:cs="Times New Roman"/>
          <w:sz w:val="24"/>
          <w:szCs w:val="24"/>
        </w:rPr>
        <w:lastRenderedPageBreak/>
        <w:t>insospechada. El Consejo de Cooperación Reguladora -formado por los responsables que establezcan las agencias de EEUU y la Comisión de la UE- es un filtro regulatorio de todas las normas comunita</w:t>
      </w:r>
      <w:r>
        <w:rPr>
          <w:rFonts w:ascii="Times New Roman" w:hAnsi="Times New Roman" w:cs="Times New Roman"/>
          <w:sz w:val="24"/>
          <w:szCs w:val="24"/>
        </w:rPr>
        <w:t>rias -</w:t>
      </w:r>
      <w:r w:rsidRPr="008862CB">
        <w:rPr>
          <w:rFonts w:ascii="Times New Roman" w:hAnsi="Times New Roman" w:cs="Times New Roman"/>
          <w:sz w:val="24"/>
          <w:szCs w:val="24"/>
        </w:rPr>
        <w:t xml:space="preserve">pasadas, presentes y futuras- que colisionen con el Tratado y que implica la presencia directa e indirecta de los </w:t>
      </w:r>
      <w:r w:rsidRPr="00355FA6">
        <w:rPr>
          <w:rStyle w:val="nfasis"/>
          <w:rFonts w:ascii="Times New Roman" w:hAnsi="Times New Roman" w:cs="Times New Roman"/>
          <w:sz w:val="24"/>
          <w:szCs w:val="24"/>
        </w:rPr>
        <w:t>lobbies</w:t>
      </w:r>
      <w:r w:rsidRPr="008862CB">
        <w:rPr>
          <w:rStyle w:val="nfasis"/>
          <w:rFonts w:ascii="Times New Roman" w:hAnsi="Times New Roman" w:cs="Times New Roman"/>
          <w:sz w:val="24"/>
          <w:szCs w:val="24"/>
        </w:rPr>
        <w:t xml:space="preserve"> </w:t>
      </w:r>
      <w:r w:rsidRPr="008862CB">
        <w:rPr>
          <w:rFonts w:ascii="Times New Roman" w:hAnsi="Times New Roman" w:cs="Times New Roman"/>
          <w:sz w:val="24"/>
          <w:szCs w:val="24"/>
        </w:rPr>
        <w:t>transnacionales. Actúa al margen de los Estados e instituciones; es un poder legislativo supranacional fuera de todo control democrático.</w:t>
      </w:r>
    </w:p>
    <w:p w:rsidR="004265B7" w:rsidRPr="008862CB"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8862CB">
        <w:rPr>
          <w:rFonts w:ascii="Times New Roman" w:hAnsi="Times New Roman" w:cs="Times New Roman"/>
          <w:sz w:val="24"/>
          <w:szCs w:val="24"/>
        </w:rPr>
        <w:t xml:space="preserve">Las empresas transnacionales se introducen en los procesos normativos y penetran en el marco regulatorio abierto a fórmulas de cooperación reguladora y generadora de coescritura de legislación; fenómeno conocido en la elaboración de normas tipo. Además del poder fáctico, los </w:t>
      </w:r>
      <w:r w:rsidRPr="00355FA6">
        <w:rPr>
          <w:rStyle w:val="nfasis"/>
          <w:rFonts w:ascii="Times New Roman" w:hAnsi="Times New Roman" w:cs="Times New Roman"/>
          <w:sz w:val="24"/>
          <w:szCs w:val="24"/>
        </w:rPr>
        <w:t>lobbies</w:t>
      </w:r>
      <w:r w:rsidRPr="008862CB">
        <w:rPr>
          <w:rStyle w:val="nfasis"/>
          <w:rFonts w:ascii="Times New Roman" w:hAnsi="Times New Roman" w:cs="Times New Roman"/>
          <w:sz w:val="24"/>
          <w:szCs w:val="24"/>
        </w:rPr>
        <w:t xml:space="preserve"> </w:t>
      </w:r>
      <w:r w:rsidRPr="008862CB">
        <w:rPr>
          <w:rFonts w:ascii="Times New Roman" w:hAnsi="Times New Roman" w:cs="Times New Roman"/>
          <w:sz w:val="24"/>
          <w:szCs w:val="24"/>
        </w:rPr>
        <w:t>tendrán presencia directa o indirecta en la elaboración de las normas.</w:t>
      </w:r>
    </w:p>
    <w:p w:rsidR="004265B7" w:rsidRPr="008862CB"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8862CB">
        <w:rPr>
          <w:rFonts w:ascii="Times New Roman" w:hAnsi="Times New Roman" w:cs="Times New Roman"/>
          <w:sz w:val="24"/>
          <w:szCs w:val="24"/>
        </w:rPr>
        <w:t>La convergencia regulatoria afecta, además, a todas la Administraciones Públicas (locales, autonómicas y centrales); a la legislación básica, a la ejecución de la misma y a los actos delegados. Las excepciones y defensas genéricas de los derechos sociales que el TTIP prevé quedan subordinadas a “que no comprometan las ventajas derivadas del acuerdo”; la coherencia regulatoria implica que todo tipo de estudio de impacto medioambiental o social, toda evaluación de daños… no debe establecer más “rigor del estrictamente necesario”, es decir, deben ser coherentes con los derechos de las empresas transnacionales.</w:t>
      </w:r>
    </w:p>
    <w:p w:rsidR="004265B7"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sidRPr="008862CB">
        <w:rPr>
          <w:rFonts w:ascii="Times New Roman" w:hAnsi="Times New Roman" w:cs="Times New Roman"/>
          <w:sz w:val="24"/>
          <w:szCs w:val="24"/>
        </w:rPr>
        <w:t>Por otra parte, la transparencia requiere consultar toda medida potencial a proveedores e inversionistas como si fueran “representantes públicos”, y por último, se pueden ampliar temas no incluidos en el tratado por la vía del nexo normativo al margen del procedimiento de aprobación del mismo; es un texto abierto al servicio de las transnacionales.</w:t>
      </w:r>
    </w:p>
    <w:p w:rsidR="004265B7" w:rsidRPr="008862CB" w:rsidRDefault="004265B7" w:rsidP="004265B7">
      <w:pPr>
        <w:shd w:val="clear" w:color="auto" w:fill="FFFFFF"/>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Son principios normativos demoledores -</w:t>
      </w:r>
      <w:r w:rsidRPr="008862CB">
        <w:rPr>
          <w:rFonts w:ascii="Times New Roman" w:hAnsi="Times New Roman" w:cs="Times New Roman"/>
          <w:sz w:val="24"/>
          <w:szCs w:val="24"/>
        </w:rPr>
        <w:t>abiertos a la interpretación creativa y expansiva de despachos de abogados y árbitros favorables al poder corporativo- para los intereses de las mayorías sociales y que dotan de una gran fortaleza a los derechos de las empresas transnacionales. Además, otros principios jurídicos como el abuso de derecho, el enriquecimiento injusto… quedan subordinados al carácter imperativo de los principios recogidos en el TTIP.</w:t>
      </w:r>
    </w:p>
    <w:p w:rsidR="004265B7" w:rsidRDefault="004265B7" w:rsidP="004265B7">
      <w:pPr>
        <w:pStyle w:val="NormalWeb"/>
        <w:jc w:val="both"/>
        <w:rPr>
          <w:b/>
        </w:rPr>
      </w:pPr>
      <w:r>
        <w:rPr>
          <w:b/>
        </w:rPr>
        <w:t>8 - El mercado de servicios (servicios y obra pública, “Buy America</w:t>
      </w:r>
      <w:r w:rsidR="00B96388">
        <w:rPr>
          <w:b/>
        </w:rPr>
        <w:t>n</w:t>
      </w:r>
      <w:r>
        <w:rPr>
          <w:b/>
        </w:rPr>
        <w:t>”, aviación)</w:t>
      </w:r>
    </w:p>
    <w:p w:rsidR="004265B7" w:rsidRPr="00840173"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B32EA1">
        <w:rPr>
          <w:rFonts w:ascii="Times New Roman" w:hAnsi="Times New Roman" w:cs="Times New Roman"/>
          <w:sz w:val="24"/>
          <w:szCs w:val="24"/>
          <w:u w:val="single"/>
        </w:rPr>
        <w:t>Liberalización.</w:t>
      </w:r>
      <w:r w:rsidRPr="00A25CCC">
        <w:rPr>
          <w:rFonts w:ascii="Times New Roman" w:hAnsi="Times New Roman" w:cs="Times New Roman"/>
          <w:color w:val="000000"/>
          <w:sz w:val="24"/>
          <w:szCs w:val="24"/>
        </w:rPr>
        <w:t xml:space="preserve"> El 80% de las ganancias del TTIP podrían proveni</w:t>
      </w:r>
      <w:r>
        <w:rPr>
          <w:rFonts w:ascii="Times New Roman" w:hAnsi="Times New Roman" w:cs="Times New Roman"/>
          <w:color w:val="000000"/>
          <w:sz w:val="24"/>
          <w:szCs w:val="24"/>
        </w:rPr>
        <w:t>r tanto de la reducción de los “costes”</w:t>
      </w:r>
      <w:r w:rsidRPr="00A25CCC">
        <w:rPr>
          <w:rFonts w:ascii="Times New Roman" w:hAnsi="Times New Roman" w:cs="Times New Roman"/>
          <w:color w:val="000000"/>
          <w:sz w:val="24"/>
          <w:szCs w:val="24"/>
        </w:rPr>
        <w:t xml:space="preserve"> impuestos por la burocracia y las regulaciones, como de la liberalización del comercio en servicios y en la contratación pública. </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4C501D">
        <w:rPr>
          <w:rFonts w:ascii="Times New Roman" w:hAnsi="Times New Roman" w:cs="Times New Roman"/>
          <w:sz w:val="24"/>
          <w:szCs w:val="24"/>
          <w:u w:val="single"/>
        </w:rPr>
        <w:t>Contratos públicos</w:t>
      </w:r>
      <w:r>
        <w:rPr>
          <w:rFonts w:ascii="Times New Roman" w:hAnsi="Times New Roman" w:cs="Times New Roman"/>
          <w:color w:val="FF0000"/>
          <w:sz w:val="24"/>
          <w:szCs w:val="24"/>
        </w:rPr>
        <w:t>.</w:t>
      </w:r>
      <w:r>
        <w:rPr>
          <w:rFonts w:ascii="Times New Roman" w:hAnsi="Times New Roman" w:cs="Times New Roman"/>
          <w:color w:val="000000"/>
          <w:sz w:val="24"/>
          <w:szCs w:val="24"/>
        </w:rPr>
        <w:t xml:space="preserve"> El TTIP prevé que empresas </w:t>
      </w:r>
      <w:r w:rsidRPr="00A25CCC">
        <w:rPr>
          <w:rFonts w:ascii="Times New Roman" w:hAnsi="Times New Roman" w:cs="Times New Roman"/>
          <w:color w:val="000000"/>
          <w:sz w:val="24"/>
          <w:szCs w:val="24"/>
        </w:rPr>
        <w:t>de ambos lados puedan optar a licitaciones públicas de los Estados. Los críticos consideran que las multinacionales apartará</w:t>
      </w:r>
      <w:r>
        <w:rPr>
          <w:rFonts w:ascii="Times New Roman" w:hAnsi="Times New Roman" w:cs="Times New Roman"/>
          <w:color w:val="000000"/>
          <w:sz w:val="24"/>
          <w:szCs w:val="24"/>
        </w:rPr>
        <w:t>n a las empresas locales. En EE</w:t>
      </w:r>
      <w:r w:rsidRPr="00A25CCC">
        <w:rPr>
          <w:rFonts w:ascii="Times New Roman" w:hAnsi="Times New Roman" w:cs="Times New Roman"/>
          <w:color w:val="000000"/>
          <w:sz w:val="24"/>
          <w:szCs w:val="24"/>
        </w:rPr>
        <w:t>UU se han encontrado con una gran oposición a retirar la Ley Buy</w:t>
      </w:r>
      <w:r>
        <w:rPr>
          <w:rFonts w:ascii="Times New Roman" w:hAnsi="Times New Roman" w:cs="Times New Roman"/>
          <w:color w:val="000000"/>
          <w:sz w:val="24"/>
          <w:szCs w:val="24"/>
        </w:rPr>
        <w:t xml:space="preserve"> </w:t>
      </w:r>
      <w:r w:rsidRPr="00A25CCC">
        <w:rPr>
          <w:rFonts w:ascii="Times New Roman" w:hAnsi="Times New Roman" w:cs="Times New Roman"/>
          <w:color w:val="000000"/>
          <w:sz w:val="24"/>
          <w:szCs w:val="24"/>
        </w:rPr>
        <w:t xml:space="preserve">America, que da prioridad a compañías nacionales. </w:t>
      </w:r>
    </w:p>
    <w:p w:rsidR="004265B7" w:rsidRDefault="004265B7" w:rsidP="004265B7">
      <w:pPr>
        <w:pStyle w:val="Default"/>
        <w:jc w:val="both"/>
        <w:rPr>
          <w:rFonts w:ascii="Times New Roman" w:hAnsi="Times New Roman" w:cs="Times New Roman"/>
        </w:rPr>
      </w:pPr>
      <w:r w:rsidRPr="0029741D">
        <w:rPr>
          <w:rFonts w:ascii="Times New Roman" w:hAnsi="Times New Roman" w:cs="Times New Roman"/>
        </w:rPr>
        <w:t xml:space="preserve">Otra de las demandas típicas en los acuerdos de libre comercio, suele ser asegurar que la contratación pública está abierta a la competición extranjera, especialmente ahora, que hay muchas medidas estatales para favorecer la contratación pública de compañías </w:t>
      </w:r>
      <w:r w:rsidRPr="0029741D">
        <w:rPr>
          <w:rFonts w:ascii="Times New Roman" w:hAnsi="Times New Roman" w:cs="Times New Roman"/>
        </w:rPr>
        <w:lastRenderedPageBreak/>
        <w:t xml:space="preserve">nacionales frente a las extranjeras, como medida para apoyar la economía local y recuperarse de la crisis financiera. </w:t>
      </w:r>
    </w:p>
    <w:p w:rsidR="004265B7" w:rsidRPr="0029741D" w:rsidRDefault="004265B7" w:rsidP="004265B7">
      <w:pPr>
        <w:pStyle w:val="Default"/>
        <w:jc w:val="both"/>
        <w:rPr>
          <w:rFonts w:ascii="Times New Roman" w:hAnsi="Times New Roman" w:cs="Times New Roman"/>
        </w:rPr>
      </w:pPr>
    </w:p>
    <w:p w:rsidR="004265B7" w:rsidRPr="0029741D" w:rsidRDefault="004265B7" w:rsidP="004265B7">
      <w:pPr>
        <w:pStyle w:val="Default"/>
        <w:jc w:val="both"/>
        <w:rPr>
          <w:rFonts w:ascii="Times New Roman" w:hAnsi="Times New Roman" w:cs="Times New Roman"/>
        </w:rPr>
      </w:pPr>
      <w:r w:rsidRPr="0029741D">
        <w:rPr>
          <w:rFonts w:ascii="Times New Roman" w:hAnsi="Times New Roman" w:cs="Times New Roman"/>
        </w:rPr>
        <w:t xml:space="preserve">Un ejemplo de lo que esto podría significar lo encontramos en el caso de Japón. Este país llevó a la provincia canadiense de Ontario ante la Organización Mundial del Comercio en 2010 por haber introducido una Ley de Energía Verde que tenía como objetivo expandir la producción de energía verde renovable, y crear miles de puestos de trabajo a nivel local. Bajo esta ley, todas las compañías, sean nacionales o extranjeras, deben garantizar que al menos el 60% del valor de las partes y servicios contratados deben tener su fuente original en Ontario, de modo que se estimule y apoye la economía local. Esta ley creó más de 31.000 puestos de trabajo y billones de dólares en inversión. Sin embargo, la Organización Mundial del Comercio dictaminó que esta ley era ilegal porque la condición de “comprar localmente” violaba las leyes de comercio internacional. </w:t>
      </w:r>
    </w:p>
    <w:p w:rsidR="004265B7" w:rsidRPr="0029741D"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29741D">
        <w:rPr>
          <w:rFonts w:ascii="Times New Roman" w:hAnsi="Times New Roman" w:cs="Times New Roman"/>
          <w:sz w:val="24"/>
          <w:szCs w:val="24"/>
        </w:rPr>
        <w:t>Si el TTIP incluyera un capítulo sobre la contratación pública, como así intenta. Cualquier autoridad pública que quisiera explorar modelos económicos alternativos al internacional de libre comercio correría el riesgo de enfrentarse al mismo tipo de situación con costes legales, no importa si las medidas son beneficiosas y necesarias para las comunidades locales y el medioambiente.</w:t>
      </w:r>
    </w:p>
    <w:p w:rsidR="004265B7" w:rsidRPr="004C501D" w:rsidRDefault="004265B7" w:rsidP="004265B7">
      <w:pPr>
        <w:pStyle w:val="NormalWeb"/>
        <w:spacing w:line="240" w:lineRule="atLeast"/>
        <w:jc w:val="both"/>
        <w:rPr>
          <w:rStyle w:val="Textoennegrita"/>
          <w:rFonts w:eastAsiaTheme="majorEastAsia"/>
        </w:rPr>
      </w:pPr>
      <w:r w:rsidRPr="004C501D">
        <w:t>Uno de los puntos previstos por el TTIP es la “cooperación regulatoria”, que, en palabras de la Comisión Europea, es “una importante herramienta para ayudar a desmantelar las barreras regulatorias existentes y a evitar que surjan nuevas”. En la práctica, esta “cooperación”, como denuncian las organizaciones de la sociedad civil, provocará por un lado una regulación a la baja a nivel social o medioambiental, al armonizarse las legislaciones según el interés de las corporaciones. Pero además permitirá a las multinacionales y los lobbies, a través de su participación en el Consejo de Cooperación Regulatoria, p</w:t>
      </w:r>
      <w:r w:rsidRPr="004C501D">
        <w:rPr>
          <w:rStyle w:val="Textoennegrita"/>
          <w:rFonts w:eastAsiaTheme="majorEastAsia"/>
        </w:rPr>
        <w:t>resionar permanentemente, una vez aprobado el TTIP, para modificar regulaciones a lo largo de los años.</w:t>
      </w:r>
    </w:p>
    <w:p w:rsidR="004265B7"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4C501D">
        <w:rPr>
          <w:rFonts w:ascii="Times New Roman" w:hAnsi="Times New Roman" w:cs="Times New Roman"/>
          <w:sz w:val="24"/>
          <w:szCs w:val="24"/>
        </w:rPr>
        <w:t xml:space="preserve">La apertura de los servicios sanitarios y de educación o el agua (y su posible privatización), las políticas de protección de datos (comercializar con la privacidad de los consumidores), el aumento del poder de las patentes y de la propiedad intelectual, o el hecho de que en protección laboral Estados Unidos no haya ratificado 70 convenios, algunos fundamentales, de la Organización Mundial del Trabajo, entre otras aristas, siguen siendo asuntos espinosos. </w:t>
      </w:r>
    </w:p>
    <w:p w:rsidR="004265B7" w:rsidRPr="00966F65" w:rsidRDefault="004265B7" w:rsidP="004265B7">
      <w:pPr>
        <w:pStyle w:val="Default"/>
        <w:jc w:val="both"/>
        <w:rPr>
          <w:rFonts w:ascii="Times New Roman" w:hAnsi="Times New Roman" w:cs="Times New Roman"/>
        </w:rPr>
      </w:pPr>
      <w:r w:rsidRPr="00966F65">
        <w:rPr>
          <w:rFonts w:ascii="Times New Roman" w:hAnsi="Times New Roman" w:cs="Times New Roman"/>
        </w:rPr>
        <w:t xml:space="preserve">La crisis financiera y las políticas de austeridad en Europa han puesto en riesgo el derecho a una sanidad pública asequible y de calidad. Contamos ya con algunos ejemplos, como los enfermos de cáncer en Grecia que no pueden acceder a las medicinas necesarias para vivir tras los recortes llevados a cabo y exigidos por los prestadores, mientras en España, se están cuestionando los tratamientos para el SIDA de los inmigrantes. </w:t>
      </w:r>
    </w:p>
    <w:p w:rsidR="004265B7" w:rsidRPr="00966F65"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966F65">
        <w:rPr>
          <w:rFonts w:ascii="Times New Roman" w:hAnsi="Times New Roman" w:cs="Times New Roman"/>
          <w:sz w:val="24"/>
          <w:szCs w:val="24"/>
        </w:rPr>
        <w:t>Podemos suponer que el TTIP sólo contribuirá a empeorar esta situación, puesto que la armonización de las normas y estándares a ambos lados del Atlántico se hará a la baja, degradando las más exigentes, ya que esta es la única manera de profundizar la liberalización comercial y de inversión. A la vez que la competición transatlántica entre corporaciones y el reforzamiento de las leyes sobre patentes incrementarán los precios de las medicinas y los servicios de salud, haciéndolos menos asequibles al público.</w:t>
      </w:r>
    </w:p>
    <w:p w:rsidR="004265B7" w:rsidRPr="00966F65" w:rsidRDefault="004265B7" w:rsidP="004265B7">
      <w:pPr>
        <w:pStyle w:val="Default"/>
        <w:jc w:val="both"/>
        <w:rPr>
          <w:rFonts w:ascii="Times New Roman" w:hAnsi="Times New Roman" w:cs="Times New Roman"/>
        </w:rPr>
      </w:pPr>
      <w:r w:rsidRPr="00966F65">
        <w:rPr>
          <w:rFonts w:ascii="Times New Roman" w:hAnsi="Times New Roman" w:cs="Times New Roman"/>
        </w:rPr>
        <w:lastRenderedPageBreak/>
        <w:t xml:space="preserve">La pretendida “armonización” de los estándares y regulaciones a ambos lados del Atlántico, podría poner en peligro la seguridad pública e incrementar la contaminación medioambiental. En la Unión Europea existe un Principio de Precaución que exige hacer pruebas científicas de los productos antes de ser comercializados, y una ley (REACH) que permite a la Agencia Europea de Químicos poner restricciones sobre cómo se producen los productos químicos, cómo son vendidos y usados para proteger la salud pública y el medio ambiente. En EEUU, las normas sobre los productos químicos son más débiles y ofrecen poco margen de maniobra a la Agencia de Protección Medioambiental. Así nos encontramos con que unos 30.000 productos químicos que están asociados con el incremento de cáncer mamario y testicular, infertilidad masculina, diabetes y obesidad, todavía se comercializan en EEUU. Este acuerdo podría degradar la regulación europea y abrir el camino al flujo de químicos potencialmente peligrosos y sin testar de EEUU a la UE. </w:t>
      </w:r>
    </w:p>
    <w:p w:rsidR="004265B7" w:rsidRPr="00966F65"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966F65">
        <w:rPr>
          <w:rFonts w:ascii="Times New Roman" w:hAnsi="Times New Roman" w:cs="Times New Roman"/>
        </w:rPr>
        <w:t xml:space="preserve">Otro aspecto controvertido es la intención de abrir la contratación pública de servicios de salud a la competición extranjera. La norma sería abrir el acceso de las corporaciones a todo el mercado y garantizar que se ofrece a las corporaciones extranjeras el mismo trato que a las compañías nacionales. Esto podría constreñir la capacidad de los estados para controlar el número y el tamaño de los proveedores privados extranjeros que entran en el mercado europeo y que dirigen los sistemas de salud europeos. </w:t>
      </w:r>
    </w:p>
    <w:p w:rsidR="004265B7" w:rsidRPr="00966F65"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966F65">
        <w:rPr>
          <w:rFonts w:ascii="Times New Roman" w:hAnsi="Times New Roman" w:cs="Times New Roman"/>
        </w:rPr>
        <w:t xml:space="preserve">Como además, son las grandes compañías y corporaciones la que buscarán la expansión de sus actividades a través de las fronteras, es de suponer que las ONGs locales, las empresas sociales o las nacionales quedarán relegadas por los grandes competidores extranjeros. En un momento además, en el cual sería necesario promover el desarrollo local y el empleo a través de la contratación de empresas nacionales como medida para hacer frente a la crisis, ésta parece más que una medida totalmente contraproducente. Además, como consecuencia de todo esto, nos podríamos encontrar con que los contribuyentes estamos financiando la adquisición de nuestros sistemas de salud por las corporaciones. </w:t>
      </w:r>
    </w:p>
    <w:p w:rsidR="004265B7" w:rsidRPr="00966F65"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966F65">
        <w:rPr>
          <w:rFonts w:ascii="Times New Roman" w:hAnsi="Times New Roman" w:cs="Times New Roman"/>
        </w:rPr>
        <w:t>El acuerdo TTIP no sólo</w:t>
      </w:r>
      <w:r>
        <w:rPr>
          <w:rFonts w:ascii="Times New Roman" w:hAnsi="Times New Roman" w:cs="Times New Roman"/>
        </w:rPr>
        <w:t xml:space="preserve"> ofrecería la venta de los </w:t>
      </w:r>
      <w:r w:rsidRPr="00966F65">
        <w:rPr>
          <w:rFonts w:ascii="Times New Roman" w:hAnsi="Times New Roman" w:cs="Times New Roman"/>
        </w:rPr>
        <w:t>servicios públicos</w:t>
      </w:r>
      <w:r>
        <w:rPr>
          <w:rFonts w:ascii="Times New Roman" w:hAnsi="Times New Roman" w:cs="Times New Roman"/>
        </w:rPr>
        <w:t xml:space="preserve"> europeos</w:t>
      </w:r>
      <w:r w:rsidRPr="00966F65">
        <w:rPr>
          <w:rFonts w:ascii="Times New Roman" w:hAnsi="Times New Roman" w:cs="Times New Roman"/>
        </w:rPr>
        <w:t xml:space="preserve"> a inversores transatlánticos, también quiere reforzar los Derechos de Propiedad Intelectual, al alargar la duración de las patentes se podría provocar una disminución del derecho de los pacientes a adquirir medicinas a un precio razonable. Impediría que entraran medicinas genéricas en los merca</w:t>
      </w:r>
      <w:r>
        <w:rPr>
          <w:rFonts w:ascii="Times New Roman" w:hAnsi="Times New Roman" w:cs="Times New Roman"/>
        </w:rPr>
        <w:t>d</w:t>
      </w:r>
      <w:r w:rsidRPr="00966F65">
        <w:rPr>
          <w:rFonts w:ascii="Times New Roman" w:hAnsi="Times New Roman" w:cs="Times New Roman"/>
        </w:rPr>
        <w:t xml:space="preserve">os y reduciría la competición para producir medicinas más baratas y efectivas. En un momento en el que las demandas fiscales sobre los servicios públicos europeos se están incrementando, los genéricos son de gran beneficio a la sociedad, ya que aseguran que los pacientes pueden acceder a medicinas de calidad a la vez que se reducen los costes. Así que permitir la competición entre las farmacéuticas y que las patentes expiren es crucial para mantener los gastos farmacéuticos bajos. Por ejemplo, en el 2000 el tratamiento anti-retroviral del VIH costaba 15.000 dólares por persona, en la actualidad el coste ha caído a 150 $ por persona, lo que es una reducción del 99% en coste. </w:t>
      </w:r>
    </w:p>
    <w:p w:rsidR="004265B7" w:rsidRPr="00966F65" w:rsidRDefault="004265B7" w:rsidP="004265B7">
      <w:pPr>
        <w:pStyle w:val="Default"/>
        <w:jc w:val="both"/>
        <w:rPr>
          <w:rFonts w:ascii="Times New Roman" w:hAnsi="Times New Roman" w:cs="Times New Roman"/>
        </w:rPr>
      </w:pPr>
    </w:p>
    <w:p w:rsidR="004265B7" w:rsidRPr="00966F65" w:rsidRDefault="004265B7" w:rsidP="004265B7">
      <w:pPr>
        <w:pStyle w:val="Default"/>
        <w:jc w:val="both"/>
        <w:rPr>
          <w:rFonts w:ascii="Times New Roman" w:hAnsi="Times New Roman" w:cs="Times New Roman"/>
        </w:rPr>
      </w:pPr>
      <w:r w:rsidRPr="00966F65">
        <w:rPr>
          <w:rFonts w:ascii="Times New Roman" w:hAnsi="Times New Roman" w:cs="Times New Roman"/>
        </w:rPr>
        <w:t xml:space="preserve">Por otro lado, las grandes farmacéuticas usan las normas establecidas en este tipo de acuerdos para amenazar el sistema de patentes de los gobiernos. Por ejemplo, en 2012, Eli Lilly, una de las compañías farmacéuticas más grandes de EEUU, inició una demanda legal contra Canadá amparándose en las provisiones del NAFTA (Acuerdo Norteamericano de Libre Comercio que incluye a los países de EEUU, Canadá y Méjico). </w:t>
      </w:r>
      <w:r w:rsidRPr="00966F65">
        <w:rPr>
          <w:rFonts w:ascii="Times New Roman" w:hAnsi="Times New Roman" w:cs="Times New Roman"/>
        </w:rPr>
        <w:lastRenderedPageBreak/>
        <w:t xml:space="preserve">Este acuerdo garantiza una serie de privilegios a las firmas privadas cuando ven sus “futuros beneficios” amenazados, pudiendo llevar a los gobiernos a tribunales internacionales para defender sus intereses y que no mermen los beneficios esperados. </w:t>
      </w:r>
    </w:p>
    <w:p w:rsidR="004265B7" w:rsidRPr="00966F65" w:rsidRDefault="004265B7" w:rsidP="004265B7">
      <w:pPr>
        <w:shd w:val="clear" w:color="auto" w:fill="FAFAFA"/>
        <w:spacing w:before="100" w:beforeAutospacing="1" w:after="360" w:line="240" w:lineRule="auto"/>
        <w:jc w:val="both"/>
        <w:rPr>
          <w:rFonts w:ascii="Times New Roman" w:hAnsi="Times New Roman" w:cs="Times New Roman"/>
          <w:sz w:val="24"/>
          <w:szCs w:val="24"/>
        </w:rPr>
      </w:pPr>
      <w:r w:rsidRPr="00966F65">
        <w:rPr>
          <w:rFonts w:ascii="Times New Roman" w:hAnsi="Times New Roman" w:cs="Times New Roman"/>
          <w:sz w:val="24"/>
          <w:szCs w:val="24"/>
        </w:rPr>
        <w:t>Eli Lilly ha sido el primer intento de una corporación farmacéutica para usar los extraordinarios privilegios que les otorgan este tipo de acuerdos internacionales como herramienta para asegurarse una mayor protección del monopolio de patentes, que en esta ocasión ha desembocado en una demanda por compensación de 100 millones de dólares a la vez que pone en riesgo a todo el sistema legal de patentes de Canadá, e incrementará el coste de los productos farmacéuticos de los consumidores y gobiernos.</w:t>
      </w:r>
    </w:p>
    <w:p w:rsidR="004265B7" w:rsidRDefault="004265B7" w:rsidP="004265B7">
      <w:pPr>
        <w:pStyle w:val="NormalWeb"/>
        <w:jc w:val="both"/>
        <w:rPr>
          <w:b/>
        </w:rPr>
      </w:pPr>
      <w:r>
        <w:rPr>
          <w:b/>
        </w:rPr>
        <w:t>9 -  Servicios financieros (mayor control vs. mayor desregulación)</w:t>
      </w:r>
    </w:p>
    <w:p w:rsidR="004265B7"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4C501D">
        <w:rPr>
          <w:rFonts w:ascii="Times New Roman" w:hAnsi="Times New Roman" w:cs="Times New Roman"/>
          <w:sz w:val="24"/>
          <w:szCs w:val="24"/>
          <w:u w:val="single"/>
        </w:rPr>
        <w:t>Regulación financiera</w:t>
      </w:r>
      <w:r w:rsidRPr="00A25CCC">
        <w:rPr>
          <w:rFonts w:ascii="Times New Roman" w:hAnsi="Times New Roman" w:cs="Times New Roman"/>
          <w:color w:val="000000"/>
          <w:sz w:val="24"/>
          <w:szCs w:val="24"/>
        </w:rPr>
        <w:t xml:space="preserve">. Por el momento todo apunta a que Estados Unidos ha querido excluir de las negociaciones al sector financiero para no tener que modificar la Ley Dodd-Frank (norma aprobada en 2010 que establece medidas de control bancario). Por su parte, Europa ha querido dejar fuera a las empresas del sector audiovisual. </w:t>
      </w:r>
    </w:p>
    <w:p w:rsidR="004265B7" w:rsidRPr="00167C5A" w:rsidRDefault="004265B7" w:rsidP="004265B7">
      <w:pPr>
        <w:shd w:val="clear" w:color="auto" w:fill="FAFAFA"/>
        <w:spacing w:before="100" w:beforeAutospacing="1" w:after="360" w:line="240" w:lineRule="auto"/>
        <w:jc w:val="both"/>
        <w:rPr>
          <w:rFonts w:ascii="Times New Roman" w:hAnsi="Times New Roman" w:cs="Times New Roman"/>
          <w:color w:val="000000"/>
          <w:sz w:val="24"/>
          <w:szCs w:val="24"/>
        </w:rPr>
      </w:pPr>
      <w:r w:rsidRPr="00167C5A">
        <w:rPr>
          <w:rFonts w:ascii="Times New Roman" w:hAnsi="Times New Roman" w:cs="Times New Roman"/>
          <w:sz w:val="24"/>
          <w:szCs w:val="24"/>
        </w:rPr>
        <w:t>La regulación financiera estadounidense podría estar en peligro, puesto que en la actualidad es más estricta y ejerce más control que la europea, justo en un momento en el que hasta el FMI y el BM han empezado a reconocer que el control del capital puede ayudar a prevenir y prevenir la fuga especulativa y desestabilizadora de capitales. Mientras tanto, el TTIP aboga por la liberalización de todos los servicios, incluyendo los financieros, lo que podría reforzar y promover, más que prevenir, otra crisis financiera internacional.</w:t>
      </w:r>
    </w:p>
    <w:p w:rsidR="004265B7" w:rsidRDefault="004265B7" w:rsidP="004265B7">
      <w:pPr>
        <w:pStyle w:val="NormalWeb"/>
        <w:jc w:val="both"/>
      </w:pPr>
      <w:r w:rsidRPr="004C501D">
        <w:t>En este aspecto, es EEUU quien tiene reglas mucho más estrictas que la UE. Tras la crisis financiera, que originó en Wall Street, la administración Obama ha ido mucho más allá en limitar los poderes de los grandes bancos para la especulación que provocó el colapso. Nuevas leyes, como el acta Dodd-Frank, han introducido una regulación más rigurosa que en Europa. Lógicamente, las instituciones financieras de Wall Street ahora ven en el TTIP una gran oportunidad para librarse de estas ataduras si ambas partes se ponen de acuerdo sobre la base de las normas europeas, mucho más laxas. Los bancos de este lado del Atlántico, obviamente, tampoco quieren que con el tratado se introduzcan las reformas de Obama en el Viejo Continente. No cuesta mucho imaginarse la presión del lobby combinado del sector financiero de ambos bloques sobre los negociadores.</w:t>
      </w:r>
    </w:p>
    <w:p w:rsidR="004265B7" w:rsidRDefault="004265B7" w:rsidP="004265B7">
      <w:pPr>
        <w:pStyle w:val="NormalWeb"/>
        <w:jc w:val="both"/>
      </w:pPr>
    </w:p>
    <w:p w:rsidR="004265B7" w:rsidRPr="00966F65" w:rsidRDefault="004265B7" w:rsidP="004265B7">
      <w:pPr>
        <w:pStyle w:val="NormalWeb"/>
        <w:jc w:val="both"/>
      </w:pPr>
      <w:r w:rsidRPr="00966F65">
        <w:t>Con el apoyo de la UE y el Reino Unido, el sector de los servicios financieros está pidiendo una mayor libertad de mercado y que se eliminen todas aquellas regulaciones que pueden interponerse en el camino</w:t>
      </w:r>
      <w:r>
        <w:t xml:space="preserve"> a los potenciales beneficios -</w:t>
      </w:r>
      <w:r w:rsidRPr="00966F65">
        <w:t xml:space="preserve">tales como las restricciones sobre el total del valor de las transacciones financieras o la </w:t>
      </w:r>
      <w:r>
        <w:t>forma legal de sus operaciones-</w:t>
      </w:r>
      <w:r w:rsidRPr="00966F65">
        <w:t xml:space="preserve"> las cuales protegen a los ciudadanos de futuros y costosos recates económicos.</w:t>
      </w:r>
    </w:p>
    <w:p w:rsidR="004265B7" w:rsidRPr="00966F65" w:rsidRDefault="004265B7" w:rsidP="004265B7">
      <w:pPr>
        <w:pStyle w:val="NormalWeb"/>
        <w:jc w:val="both"/>
      </w:pPr>
    </w:p>
    <w:p w:rsidR="004265B7" w:rsidRDefault="004265B7" w:rsidP="004265B7">
      <w:pPr>
        <w:pStyle w:val="NormalWeb"/>
        <w:jc w:val="both"/>
      </w:pPr>
      <w:r w:rsidRPr="004C501D">
        <w:t>En el Capitolio de Washington se está movilizando la resistencia al TTIP. La senadora por Massachusetts, Elisabeth Warren, del ala progresista de los demócratas, lidera las voces críticas en el Congreso. Junto con otros parlamentarios, tanto senadores como de la Cámara de Representantes, ha enviado varias cartas a la Casa Blanca para advertir del peligro de rebajar la regulación financiera de Wall Street.</w:t>
      </w:r>
    </w:p>
    <w:p w:rsidR="004265B7" w:rsidRPr="00966F65" w:rsidRDefault="004265B7" w:rsidP="004265B7">
      <w:pPr>
        <w:shd w:val="clear" w:color="auto" w:fill="FAFAFA"/>
        <w:spacing w:before="100" w:beforeAutospacing="1" w:after="360" w:line="240" w:lineRule="auto"/>
        <w:jc w:val="both"/>
        <w:rPr>
          <w:rFonts w:ascii="Times New Roman" w:eastAsia="Times New Roman" w:hAnsi="Times New Roman" w:cs="Times New Roman"/>
          <w:sz w:val="24"/>
          <w:szCs w:val="24"/>
          <w:lang w:eastAsia="es-ES"/>
        </w:rPr>
      </w:pPr>
      <w:r w:rsidRPr="00966F65">
        <w:rPr>
          <w:rFonts w:ascii="Times New Roman" w:hAnsi="Times New Roman" w:cs="Times New Roman"/>
          <w:bCs/>
          <w:sz w:val="24"/>
          <w:szCs w:val="24"/>
          <w:u w:val="single"/>
        </w:rPr>
        <w:lastRenderedPageBreak/>
        <w:t>La manera de prevenir</w:t>
      </w:r>
      <w:r>
        <w:rPr>
          <w:rFonts w:ascii="Times New Roman" w:hAnsi="Times New Roman" w:cs="Times New Roman"/>
          <w:bCs/>
          <w:sz w:val="24"/>
          <w:szCs w:val="24"/>
          <w:u w:val="single"/>
        </w:rPr>
        <w:t xml:space="preserve"> la intervención de reguladores</w:t>
      </w:r>
      <w:r>
        <w:rPr>
          <w:rFonts w:ascii="Times New Roman" w:hAnsi="Times New Roman" w:cs="Times New Roman"/>
          <w:bCs/>
          <w:sz w:val="24"/>
          <w:szCs w:val="24"/>
        </w:rPr>
        <w:t xml:space="preserve"> </w:t>
      </w:r>
      <w:r w:rsidRPr="00966F65">
        <w:rPr>
          <w:rFonts w:ascii="Times New Roman" w:eastAsia="Times New Roman" w:hAnsi="Times New Roman" w:cs="Times New Roman"/>
          <w:sz w:val="24"/>
          <w:szCs w:val="24"/>
          <w:lang w:eastAsia="es-ES"/>
        </w:rPr>
        <w:t>(Fuente: “A Brave New Transatlantic Partnership” - ATTAC)</w:t>
      </w: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Para asegurarse de que no se practican regulaciones financieras, la industria de este sector está demandando una “disciplina regulatoria”. Veamos en qué consiste. Primero, ésta se introduciría a través de normas específicas que limitarían la cantidad, alcance y vigencia en el tiempo de las regulaciones (y de los mismos procesos regulatorios) de manera que el sector permita y favorezca el flujo de operaciones financieras a través del Atlántico. Estas normas específicas, por ejemplo, dañarían seriamente los esfuerzos que se han hecho para reducir y regular “los bancos demasiado grandes para caer”. Segundo, la industria financiera está demandando que las negociaciones incluyan una cláusula llamada “transparencia regulatoria”, la cual aseguraría que cualquier borrador de regulación pudiera llegar a las partes interesadas para que las pudieran comentar, lo cual transformaría la cláusula de transparencia, automáticamente, en un derecho legal de la industria de este sector para hacer lobby. Tercero, el lobby de servicios europeo y americano, el European Services Forum (ESF) y la Coalición de Servicios de la Industria de EEUU (CSI), están exigiendo que el TTIP acoja una “lista negativa”, esto es, una lista donde de escriban qué sectores ( y qué servicios y productos de los mismos) no se incluirían en la privatización, es decir, au</w:t>
      </w:r>
      <w:r>
        <w:rPr>
          <w:rFonts w:ascii="Times New Roman" w:hAnsi="Times New Roman" w:cs="Times New Roman"/>
          <w:color w:val="auto"/>
        </w:rPr>
        <w:t>tomáticamente inscribiendo todos los servicios y todos</w:t>
      </w:r>
      <w:r w:rsidRPr="00966F65">
        <w:rPr>
          <w:rFonts w:ascii="Times New Roman" w:hAnsi="Times New Roman" w:cs="Times New Roman"/>
          <w:color w:val="auto"/>
        </w:rPr>
        <w:t xml:space="preserve"> los productos no listados en la privatización, incluyendo así mismo todos los que se puedan desarrollar en el futuro. </w:t>
      </w:r>
    </w:p>
    <w:p w:rsidR="004265B7" w:rsidRPr="00966F65" w:rsidRDefault="004265B7" w:rsidP="004265B7">
      <w:pPr>
        <w:pStyle w:val="Default"/>
        <w:jc w:val="both"/>
        <w:rPr>
          <w:rFonts w:ascii="Times New Roman" w:hAnsi="Times New Roman" w:cs="Times New Roman"/>
          <w:color w:val="auto"/>
        </w:rPr>
      </w:pP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 xml:space="preserve">Si además tenemos en cuenta lo persistente que es esta crisis financiera, y cómo se originó a través de productos financieros muy complejos, una lista negativa como estrategia hacia la liberalización podría ser una catástrofe, si tales productos no fueran automáticamente prohibidos o sujetos a estrictas regulaciones como resultado de su inclusión directa en el TTIP. </w:t>
      </w:r>
    </w:p>
    <w:p w:rsidR="004265B7" w:rsidRPr="00966F65" w:rsidRDefault="004265B7" w:rsidP="004265B7">
      <w:pPr>
        <w:pStyle w:val="Default"/>
        <w:jc w:val="both"/>
        <w:rPr>
          <w:rFonts w:ascii="Times New Roman" w:hAnsi="Times New Roman" w:cs="Times New Roman"/>
          <w:color w:val="auto"/>
        </w:rPr>
      </w:pP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 xml:space="preserve">Por otro lado, si hubiera una armonización y reconocimiento de todos los acuerdos entre dos partes sobre servicios financieros, como así están demandando los bancos, éstos podrían asentarse allí donde el marco legal les fuera más conveniente, y como consecuencia, cualquier nueva propuesta regulatoria tanto en los EEUU como en la UE sobre los servicios financieros sería inefectiva, pues los bancos podrían elegir dónde operar de acuerdo con la legislación más débil que beneficie a sus intereses. </w:t>
      </w:r>
    </w:p>
    <w:p w:rsidR="004265B7" w:rsidRPr="00966F65" w:rsidRDefault="004265B7" w:rsidP="004265B7">
      <w:pPr>
        <w:pStyle w:val="Default"/>
        <w:jc w:val="both"/>
        <w:rPr>
          <w:rFonts w:ascii="Times New Roman" w:hAnsi="Times New Roman" w:cs="Times New Roman"/>
          <w:color w:val="auto"/>
        </w:rPr>
      </w:pP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 xml:space="preserve">A su vez, la Reserva Federal ha pedido más garantías que aseguren la estabilidad de los bancos americanos y otras firmas que operan en el extranjero y que están involucradas en el comercio muy arriesgado de derivados que cuestan trillones de dólares. Sin embargo, estas propuestas se han encontrado con la firme oposición del sector bancario, apoyado por las autoridades europeas que quieren proteger los intereses comerciales de los grandes bancos, y el poderoso lobby de la industria financiera. </w:t>
      </w:r>
    </w:p>
    <w:p w:rsidR="004265B7" w:rsidRPr="00966F65" w:rsidRDefault="004265B7" w:rsidP="004265B7">
      <w:pPr>
        <w:pStyle w:val="Default"/>
        <w:jc w:val="both"/>
        <w:rPr>
          <w:rFonts w:ascii="Times New Roman" w:hAnsi="Times New Roman" w:cs="Times New Roman"/>
          <w:color w:val="auto"/>
        </w:rPr>
      </w:pP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 xml:space="preserve">Aunque a través del TTIP filtrado, la Comisión Europea afirma que desea cooperar con EEUU para establecer una “regulación prudencial”, de la cual, la propuesta de la Reserva Federal es un ejemplo, en realidad, tanto la UE como sus estados miembros (especialmente Reino Unido y Alemania), se han opuesto a todas las medidas propuestas. </w:t>
      </w:r>
    </w:p>
    <w:p w:rsidR="004265B7" w:rsidRPr="00966F65" w:rsidRDefault="004265B7" w:rsidP="004265B7">
      <w:pPr>
        <w:pStyle w:val="Default"/>
        <w:jc w:val="both"/>
        <w:rPr>
          <w:rFonts w:ascii="Times New Roman" w:hAnsi="Times New Roman" w:cs="Times New Roman"/>
          <w:color w:val="auto"/>
        </w:rPr>
      </w:pPr>
    </w:p>
    <w:p w:rsidR="004265B7" w:rsidRDefault="004265B7" w:rsidP="004265B7">
      <w:pPr>
        <w:pStyle w:val="Default"/>
        <w:jc w:val="both"/>
        <w:rPr>
          <w:rFonts w:ascii="Times New Roman" w:hAnsi="Times New Roman" w:cs="Times New Roman"/>
          <w:color w:val="auto"/>
        </w:rPr>
      </w:pPr>
      <w:r w:rsidRPr="00966F65">
        <w:rPr>
          <w:rFonts w:ascii="Times New Roman" w:hAnsi="Times New Roman" w:cs="Times New Roman"/>
          <w:color w:val="auto"/>
        </w:rPr>
        <w:t xml:space="preserve">El TTIP además, quiere incluir un capítulo para que se liberalicen todos los pagos por cuenta corriente y todas las transferencias de grandes inversiones sin casi excepciones. Esto significa que sería muy difícil restringir el flujo masivo de capitales, y que todos los </w:t>
      </w:r>
      <w:r w:rsidRPr="00966F65">
        <w:rPr>
          <w:rFonts w:ascii="Times New Roman" w:hAnsi="Times New Roman" w:cs="Times New Roman"/>
          <w:color w:val="auto"/>
        </w:rPr>
        <w:lastRenderedPageBreak/>
        <w:t xml:space="preserve">controles sobre los pagos transatlánticos, tanto de bienes como de servicios, royalties y dividendos, e importantes sumas de dinero relacionadas con los servicios financieros, serían eliminados. Ahora que incluso el Fondo Monetario Internacional y el Banco Mundial han empezado a reconocer la necesidad de controlar el capital para evitar y parar el flujo de capital especulativo y desestabilizador, hay un riesgo real de que, a través del TTIP, los grandes bancos pongan freno a la regulación que restringiría el flujo de capital. </w:t>
      </w:r>
    </w:p>
    <w:p w:rsidR="004265B7" w:rsidRPr="00966F65" w:rsidRDefault="004265B7" w:rsidP="004265B7">
      <w:pPr>
        <w:pStyle w:val="Default"/>
        <w:jc w:val="both"/>
        <w:rPr>
          <w:rFonts w:ascii="Times New Roman" w:hAnsi="Times New Roman" w:cs="Times New Roman"/>
          <w:color w:val="auto"/>
        </w:rPr>
      </w:pPr>
    </w:p>
    <w:p w:rsidR="004265B7" w:rsidRPr="006B7B80" w:rsidRDefault="004265B7" w:rsidP="004265B7">
      <w:pPr>
        <w:pStyle w:val="NormalWeb"/>
        <w:jc w:val="both"/>
      </w:pPr>
      <w:r w:rsidRPr="00966F65">
        <w:t>Como vemos, se teme que la industria de servicios financieros intentará usar el TTIP para conseguir concesiones regulatorias a las que ningún regulador financiero hubiera accedido. Si todas las propuestas de los lobbies y este sector se incluyeran, los reguladores no tendrían casi</w:t>
      </w:r>
      <w:r>
        <w:t xml:space="preserve"> </w:t>
      </w:r>
      <w:r w:rsidRPr="006B7B80">
        <w:t>espacio para intervenir en los mercados financieros, su papel se vería perjudicado seriamente en el futuro, y las poblaciones estarían sujetas y expuestas a futuras crisis financieras y nuevos rescates.</w:t>
      </w:r>
    </w:p>
    <w:p w:rsidR="004265B7" w:rsidRPr="00966F65" w:rsidRDefault="004265B7" w:rsidP="004265B7">
      <w:pPr>
        <w:pStyle w:val="NormalWeb"/>
        <w:jc w:val="both"/>
        <w:rPr>
          <w:color w:val="FF0000"/>
        </w:rPr>
      </w:pPr>
    </w:p>
    <w:p w:rsidR="004265B7" w:rsidRDefault="004265B7" w:rsidP="004265B7">
      <w:pPr>
        <w:pStyle w:val="NormalWeb"/>
        <w:jc w:val="both"/>
        <w:rPr>
          <w:b/>
        </w:rPr>
      </w:pPr>
      <w:r>
        <w:rPr>
          <w:b/>
        </w:rPr>
        <w:t>10 - Aspectos estratégicos (las relaciones carnales entre el elefante y la hormiga)</w:t>
      </w:r>
    </w:p>
    <w:p w:rsidR="004265B7" w:rsidRDefault="004265B7" w:rsidP="004265B7">
      <w:pPr>
        <w:pStyle w:val="NormalWeb"/>
        <w:jc w:val="both"/>
        <w:rPr>
          <w:b/>
        </w:rPr>
      </w:pPr>
    </w:p>
    <w:p w:rsidR="004265B7" w:rsidRPr="004C501D" w:rsidRDefault="004265B7" w:rsidP="004265B7">
      <w:pPr>
        <w:pStyle w:val="NormalWeb"/>
        <w:jc w:val="both"/>
      </w:pPr>
      <w:r w:rsidRPr="004C501D">
        <w:t>Para convencer a los ciudadanos de los beneficios de crear un área común con EEUU, además del supuesto impacto económico positivo, se recurre a argumentos geoestratégicos. Merkel aprovechó la asistencia a la cumbre del G-20 en Australia en noviembre (2014) para dar un espaldarazo al TTIP y pedir que se aceleren las negociaciones. “Un viaje a esta región nos enseña que el mundo no se queda esperándonos”, afirmó la canciller. “Debemos tener cuidado para no quedarnos detrás”. Según esta argumentación, si Europa y EEUU consiguen ponerse de acuerdo podrán marcar los estándares y normas para el resto del mundo. De lo contrario, serán las naciones emergentes, con China a la cabeza, las que marcarán las reglas de juego.</w:t>
      </w:r>
    </w:p>
    <w:p w:rsidR="004265B7" w:rsidRPr="004C501D" w:rsidRDefault="004265B7" w:rsidP="004265B7">
      <w:pPr>
        <w:pStyle w:val="NormalWeb"/>
        <w:jc w:val="both"/>
      </w:pPr>
    </w:p>
    <w:p w:rsidR="004265B7" w:rsidRPr="004C501D" w:rsidRDefault="004265B7" w:rsidP="004265B7">
      <w:pPr>
        <w:pStyle w:val="NormalWeb"/>
        <w:jc w:val="both"/>
      </w:pPr>
      <w:r w:rsidRPr="004C501D">
        <w:t>Los defensores del TTIP en Europa alegan que, si fracasan las negociaciones, EEUU miraría hacía el otro lado, hacia Asia. El proceso paralelo para crear una gran área de libre comercio del Pacífico, el TPP, está mucho más avanzado. Este argumento no convence a todos. “Los americanos que quieren comprar un BMW o un Mercedes seguirían haciéndolo. Seguro que no se comprarían un coche chino sólo porque exista un acuerdo de libre comercio entre EEUU y China”, afirmó el diputado socialdemócrata alemán Sascha Raabe a Der Spiegel.</w:t>
      </w:r>
    </w:p>
    <w:p w:rsidR="004265B7" w:rsidRPr="004C501D" w:rsidRDefault="004265B7" w:rsidP="004265B7">
      <w:pPr>
        <w:pStyle w:val="NormalWeb"/>
        <w:jc w:val="both"/>
      </w:pPr>
    </w:p>
    <w:p w:rsidR="004265B7" w:rsidRPr="004C501D" w:rsidRDefault="004265B7" w:rsidP="004265B7">
      <w:pPr>
        <w:pStyle w:val="NormalWeb"/>
        <w:jc w:val="both"/>
      </w:pPr>
      <w:r w:rsidRPr="004C501D">
        <w:t>En una economía globalizada, los países industrializados, con altos estándares medioambientales y derechos laborales, compiten con otros en el mundo en desarrollo, donde las condiciones laborales son a menudo penosas y el respeto a la naturaleza deja mucho que desear. Estos defectos son el precio que pagan países como China, Bangladesh o India para atraer la inversión extranjera que les permite superar el subdesarrollo. “Si en Europa estamos tan orgullosos de nuestros logros en derechos laborales, derechos humanos y protección del medio ambiente, deberíamos tener interés en que otros nos sigan. Y qué mejor manera que empezar por el primo norteamericano”, opina Miguel Otero, investigador del Real Instituto Elcano.</w:t>
      </w:r>
    </w:p>
    <w:p w:rsidR="004265B7" w:rsidRPr="004C501D" w:rsidRDefault="004265B7" w:rsidP="004265B7">
      <w:pPr>
        <w:pStyle w:val="NormalWeb"/>
        <w:jc w:val="both"/>
      </w:pPr>
    </w:p>
    <w:p w:rsidR="004265B7" w:rsidRPr="004C501D" w:rsidRDefault="004265B7" w:rsidP="004265B7">
      <w:pPr>
        <w:pStyle w:val="NormalWeb"/>
        <w:jc w:val="both"/>
      </w:pPr>
      <w:r w:rsidRPr="004C501D">
        <w:t xml:space="preserve">También en Washington son muy conscientes de la función geoestratégica del TTIP, que va más allá de lo puramente económico. “El comercio es la expresión de nuestro liderazgo diplomático y estratégico en el mundo. El país más fuerte que existe hoy en el mundo aprovecha el comercio, junto con medios diplomáticos y militares convencionales, para conseguir sus principales objetivos estratégicos”, dijo el subsecretario de Estado para el </w:t>
      </w:r>
      <w:r w:rsidRPr="004C501D">
        <w:lastRenderedPageBreak/>
        <w:t>Comercio de EEUU, Stefan M. Selig, en una conferencia en Washington en noviembre (2014).</w:t>
      </w:r>
    </w:p>
    <w:p w:rsidR="004265B7" w:rsidRDefault="004265B7" w:rsidP="004265B7">
      <w:pPr>
        <w:pStyle w:val="NormalWeb"/>
        <w:jc w:val="both"/>
        <w:rPr>
          <w:color w:val="FF0000"/>
        </w:rPr>
      </w:pPr>
    </w:p>
    <w:p w:rsidR="004265B7" w:rsidRDefault="004265B7" w:rsidP="004265B7">
      <w:pPr>
        <w:pStyle w:val="NormalWeb"/>
        <w:jc w:val="both"/>
        <w:rPr>
          <w:b/>
        </w:rPr>
      </w:pPr>
      <w:r w:rsidRPr="004B4742">
        <w:rPr>
          <w:b/>
        </w:rPr>
        <w:t xml:space="preserve">A </w:t>
      </w:r>
      <w:r>
        <w:rPr>
          <w:b/>
        </w:rPr>
        <w:t>menos qué</w:t>
      </w:r>
      <w:r w:rsidRPr="004B4742">
        <w:rPr>
          <w:b/>
        </w:rPr>
        <w:t>…</w:t>
      </w:r>
      <w:r>
        <w:rPr>
          <w:b/>
        </w:rPr>
        <w:t xml:space="preserve"> (el “poder indispensable” pase a ser el “socio indispensable”)</w:t>
      </w:r>
    </w:p>
    <w:p w:rsidR="004265B7" w:rsidRDefault="004265B7" w:rsidP="004265B7">
      <w:pPr>
        <w:pStyle w:val="NormalWeb"/>
        <w:jc w:val="both"/>
        <w:rPr>
          <w:b/>
        </w:rPr>
      </w:pP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02470C">
        <w:rPr>
          <w:rFonts w:ascii="Times New Roman" w:eastAsia="Times New Roman" w:hAnsi="Times New Roman" w:cs="Times New Roman"/>
          <w:color w:val="000000"/>
          <w:sz w:val="24"/>
          <w:szCs w:val="24"/>
          <w:lang w:eastAsia="es-ES"/>
        </w:rPr>
        <w:t xml:space="preserve">- </w:t>
      </w:r>
      <w:r w:rsidRPr="0002470C">
        <w:rPr>
          <w:rFonts w:ascii="Times New Roman" w:eastAsia="Times New Roman" w:hAnsi="Times New Roman" w:cs="Times New Roman"/>
          <w:color w:val="000000"/>
          <w:sz w:val="24"/>
          <w:szCs w:val="24"/>
          <w:u w:val="single"/>
          <w:lang w:eastAsia="es-ES"/>
        </w:rPr>
        <w:t>Un guante de seda para el puño de hierro chino</w:t>
      </w:r>
      <w:r>
        <w:rPr>
          <w:rFonts w:ascii="Times New Roman" w:eastAsia="Times New Roman" w:hAnsi="Times New Roman" w:cs="Times New Roman"/>
          <w:color w:val="000000"/>
          <w:sz w:val="24"/>
          <w:szCs w:val="24"/>
          <w:lang w:eastAsia="es-ES"/>
        </w:rPr>
        <w:t xml:space="preserve"> (Project Syndicate - </w:t>
      </w:r>
      <w:r w:rsidRPr="0002470C">
        <w:rPr>
          <w:rFonts w:ascii="Times New Roman" w:eastAsia="Times New Roman" w:hAnsi="Times New Roman" w:cs="Times New Roman"/>
          <w:b/>
          <w:color w:val="000000"/>
          <w:sz w:val="24"/>
          <w:szCs w:val="24"/>
          <w:lang w:eastAsia="es-ES"/>
        </w:rPr>
        <w:t>4/3/15</w:t>
      </w:r>
      <w:r>
        <w:rPr>
          <w:rFonts w:ascii="Times New Roman" w:eastAsia="Times New Roman" w:hAnsi="Times New Roman" w:cs="Times New Roman"/>
          <w:color w:val="000000"/>
          <w:sz w:val="24"/>
          <w:szCs w:val="24"/>
          <w:lang w:eastAsia="es-ES"/>
        </w:rPr>
        <w:t>) Lectura recomendada</w:t>
      </w: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Nueva Delhi.-</w:t>
      </w:r>
      <w:r w:rsidRPr="0002470C">
        <w:rPr>
          <w:rFonts w:ascii="Times New Roman" w:eastAsia="Times New Roman" w:hAnsi="Times New Roman" w:cs="Times New Roman"/>
          <w:color w:val="000000"/>
          <w:sz w:val="24"/>
          <w:szCs w:val="24"/>
          <w:lang w:eastAsia="es-ES"/>
        </w:rPr>
        <w:t xml:space="preserve"> </w:t>
      </w:r>
      <w:r w:rsidRPr="005A728B">
        <w:rPr>
          <w:rFonts w:ascii="Times New Roman" w:eastAsia="Times New Roman" w:hAnsi="Times New Roman" w:cs="Times New Roman"/>
          <w:color w:val="000000"/>
          <w:sz w:val="24"/>
          <w:szCs w:val="24"/>
          <w:u w:val="single"/>
          <w:lang w:eastAsia="es-ES"/>
        </w:rPr>
        <w:t>Durante años China ha procurado</w:t>
      </w:r>
      <w:r>
        <w:rPr>
          <w:rFonts w:ascii="Times New Roman" w:eastAsia="Times New Roman" w:hAnsi="Times New Roman" w:cs="Times New Roman"/>
          <w:color w:val="000000"/>
          <w:sz w:val="24"/>
          <w:szCs w:val="24"/>
          <w:u w:val="single"/>
          <w:lang w:eastAsia="es-ES"/>
        </w:rPr>
        <w:t xml:space="preserve"> rodear al sur asiático con un “collar de perlas”</w:t>
      </w:r>
      <w:r w:rsidRPr="005A728B">
        <w:rPr>
          <w:rFonts w:ascii="Times New Roman" w:eastAsia="Times New Roman" w:hAnsi="Times New Roman" w:cs="Times New Roman"/>
          <w:color w:val="000000"/>
          <w:sz w:val="24"/>
          <w:szCs w:val="24"/>
          <w:u w:val="single"/>
          <w:lang w:eastAsia="es-ES"/>
        </w:rPr>
        <w:t>: una red de puertos que conecte su costa este con Oriente Medio para aumentar su influencia estratégica y acceso marítimo</w:t>
      </w:r>
      <w:r w:rsidRPr="0002470C">
        <w:rPr>
          <w:rFonts w:ascii="Times New Roman" w:eastAsia="Times New Roman" w:hAnsi="Times New Roman" w:cs="Times New Roman"/>
          <w:color w:val="000000"/>
          <w:sz w:val="24"/>
          <w:szCs w:val="24"/>
          <w:lang w:eastAsia="es-ES"/>
        </w:rPr>
        <w:t>. No sorprende que la India y otros países se hayan pre</w:t>
      </w:r>
      <w:r>
        <w:rPr>
          <w:rFonts w:ascii="Times New Roman" w:eastAsia="Times New Roman" w:hAnsi="Times New Roman" w:cs="Times New Roman"/>
          <w:color w:val="000000"/>
          <w:sz w:val="24"/>
          <w:szCs w:val="24"/>
          <w:lang w:eastAsia="es-ES"/>
        </w:rPr>
        <w:t>ocupado mucho por este proceso.</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5A728B">
        <w:rPr>
          <w:rFonts w:ascii="Times New Roman" w:eastAsia="Times New Roman" w:hAnsi="Times New Roman" w:cs="Times New Roman"/>
          <w:color w:val="000000"/>
          <w:sz w:val="24"/>
          <w:szCs w:val="24"/>
          <w:u w:val="single"/>
          <w:lang w:eastAsia="es-ES"/>
        </w:rPr>
        <w:t>Ahora, sin embargo, China busca disfrazar su estrategia y afirma que desea crear la Ruta de la Seda marítima del siglo XXI para mejorar el comercio y el intercambio cultural. Pero la retórica amistosa difícilmente pueda evitar que Asia y otros sitios se preocupen porque el objetivo estratégico chino sea dominar la región.</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02470C">
        <w:rPr>
          <w:rFonts w:ascii="Times New Roman" w:eastAsia="Times New Roman" w:hAnsi="Times New Roman" w:cs="Times New Roman"/>
          <w:color w:val="000000"/>
          <w:sz w:val="24"/>
          <w:szCs w:val="24"/>
          <w:lang w:eastAsia="es-ES"/>
        </w:rPr>
        <w:t xml:space="preserve">Esa preocupación está bien fundada. </w:t>
      </w:r>
      <w:r w:rsidRPr="005A728B">
        <w:rPr>
          <w:rFonts w:ascii="Times New Roman" w:eastAsia="Times New Roman" w:hAnsi="Times New Roman" w:cs="Times New Roman"/>
          <w:color w:val="FF0000"/>
          <w:sz w:val="24"/>
          <w:szCs w:val="24"/>
          <w:u w:val="single"/>
          <w:lang w:eastAsia="es-ES"/>
        </w:rPr>
        <w:t>En términos simples, la iniciativa de la Ruta de la Seda está diseñada para que China sea el nodo de un nuevo orden en Asia y la región del Océano Índico. De hecho, con acciones para establecer su dominio en las principales arterias comerciales mientras instiga disputas territoriales y marítimas con diversos vecinos, China intenta redibujar el mapa geopolítico de Asia.</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5A728B">
        <w:rPr>
          <w:rFonts w:ascii="Times New Roman" w:eastAsia="Times New Roman" w:hAnsi="Times New Roman" w:cs="Times New Roman"/>
          <w:color w:val="000000"/>
          <w:sz w:val="24"/>
          <w:szCs w:val="24"/>
          <w:u w:val="single"/>
          <w:lang w:eastAsia="es-ES"/>
        </w:rPr>
        <w:t>La dimensión estratégica de la Ruta de la Seda marítima</w:t>
      </w:r>
      <w:r w:rsidRPr="0002470C">
        <w:rPr>
          <w:rFonts w:ascii="Times New Roman" w:eastAsia="Times New Roman" w:hAnsi="Times New Roman" w:cs="Times New Roman"/>
          <w:color w:val="000000"/>
          <w:sz w:val="24"/>
          <w:szCs w:val="24"/>
          <w:lang w:eastAsia="es-ES"/>
        </w:rPr>
        <w:t xml:space="preserve"> queda resaltada por el hecho de que el Ejército Popular de Liberación (EPL) ha liderado el debate sobre el tema. El general de división de la Universidad para la Defensa Nacional del EPL Ji Mingkui </w:t>
      </w:r>
      <w:r w:rsidRPr="005A728B">
        <w:rPr>
          <w:rFonts w:ascii="Times New Roman" w:eastAsia="Times New Roman" w:hAnsi="Times New Roman" w:cs="Times New Roman"/>
          <w:color w:val="FF0000"/>
          <w:sz w:val="24"/>
          <w:szCs w:val="24"/>
          <w:u w:val="single"/>
          <w:lang w:eastAsia="es-ES"/>
        </w:rPr>
        <w:t>sostiene que la iniciativa puede ay</w:t>
      </w:r>
      <w:r>
        <w:rPr>
          <w:rFonts w:ascii="Times New Roman" w:eastAsia="Times New Roman" w:hAnsi="Times New Roman" w:cs="Times New Roman"/>
          <w:color w:val="FF0000"/>
          <w:sz w:val="24"/>
          <w:szCs w:val="24"/>
          <w:u w:val="single"/>
          <w:lang w:eastAsia="es-ES"/>
        </w:rPr>
        <w:t>udar a China a desarrollar una “nueva imagen” y “ganar influencia”, especialmente mientras el “giro” de EEUU hacia Asia “pierde impulso”</w:t>
      </w:r>
      <w:r w:rsidRPr="005A728B">
        <w:rPr>
          <w:rFonts w:ascii="Times New Roman" w:eastAsia="Times New Roman" w:hAnsi="Times New Roman" w:cs="Times New Roman"/>
          <w:color w:val="FF0000"/>
          <w:sz w:val="24"/>
          <w:szCs w:val="24"/>
          <w:u w:val="single"/>
          <w:lang w:eastAsia="es-ES"/>
        </w:rPr>
        <w:t>.</w:t>
      </w: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02470C">
        <w:rPr>
          <w:rFonts w:ascii="Times New Roman" w:eastAsia="Times New Roman" w:hAnsi="Times New Roman" w:cs="Times New Roman"/>
          <w:color w:val="000000"/>
          <w:sz w:val="24"/>
          <w:szCs w:val="24"/>
          <w:lang w:eastAsia="es-ES"/>
        </w:rPr>
        <w:t>Sin embargo, los expertos del EPL continúan ansiosos por negar el vínculo de la inicia</w:t>
      </w:r>
      <w:r>
        <w:rPr>
          <w:rFonts w:ascii="Times New Roman" w:eastAsia="Times New Roman" w:hAnsi="Times New Roman" w:cs="Times New Roman"/>
          <w:color w:val="000000"/>
          <w:sz w:val="24"/>
          <w:szCs w:val="24"/>
          <w:lang w:eastAsia="es-ES"/>
        </w:rPr>
        <w:t>tiva de la Ruta de la Seda con “el collar de perlas”</w:t>
      </w:r>
      <w:r w:rsidRPr="0002470C">
        <w:rPr>
          <w:rFonts w:ascii="Times New Roman" w:eastAsia="Times New Roman" w:hAnsi="Times New Roman" w:cs="Times New Roman"/>
          <w:color w:val="000000"/>
          <w:sz w:val="24"/>
          <w:szCs w:val="24"/>
          <w:lang w:eastAsia="es-ES"/>
        </w:rPr>
        <w:t>. En lugar de eso, la comparan con las expediciones en el siglo XV de Zheng He, un almirante eunuco chino que lideró a una flota de barcos del tesoro hasta África. Según Sun Sijing, miembro de la Comisión Militar Central, Zheng usó la ant</w:t>
      </w:r>
      <w:r>
        <w:rPr>
          <w:rFonts w:ascii="Times New Roman" w:eastAsia="Times New Roman" w:hAnsi="Times New Roman" w:cs="Times New Roman"/>
          <w:color w:val="000000"/>
          <w:sz w:val="24"/>
          <w:szCs w:val="24"/>
          <w:lang w:eastAsia="es-ES"/>
        </w:rPr>
        <w:t>igua Ruta de la Seda sin tomar “</w:t>
      </w:r>
      <w:r w:rsidRPr="0002470C">
        <w:rPr>
          <w:rFonts w:ascii="Times New Roman" w:eastAsia="Times New Roman" w:hAnsi="Times New Roman" w:cs="Times New Roman"/>
          <w:color w:val="000000"/>
          <w:sz w:val="24"/>
          <w:szCs w:val="24"/>
          <w:lang w:eastAsia="es-ES"/>
        </w:rPr>
        <w:t>ni un cent</w:t>
      </w:r>
      <w:r>
        <w:rPr>
          <w:rFonts w:ascii="Times New Roman" w:eastAsia="Times New Roman" w:hAnsi="Times New Roman" w:cs="Times New Roman"/>
          <w:color w:val="000000"/>
          <w:sz w:val="24"/>
          <w:szCs w:val="24"/>
          <w:lang w:eastAsia="es-ES"/>
        </w:rPr>
        <w:t>ímetro de tierra” ni buscar la “hegemonía marítima”</w:t>
      </w:r>
      <w:r w:rsidRPr="0002470C">
        <w:rPr>
          <w:rFonts w:ascii="Times New Roman" w:eastAsia="Times New Roman" w:hAnsi="Times New Roman" w:cs="Times New Roman"/>
          <w:color w:val="000000"/>
          <w:sz w:val="24"/>
          <w:szCs w:val="24"/>
          <w:lang w:eastAsia="es-ES"/>
        </w:rPr>
        <w:t xml:space="preserve"> (aunque la historia da fe </w:t>
      </w:r>
      <w:r>
        <w:rPr>
          <w:rFonts w:ascii="Times New Roman" w:eastAsia="Times New Roman" w:hAnsi="Times New Roman" w:cs="Times New Roman"/>
          <w:color w:val="000000"/>
          <w:sz w:val="24"/>
          <w:szCs w:val="24"/>
          <w:lang w:eastAsia="es-ES"/>
        </w:rPr>
        <w:t>de su uso de la fuerza militar -</w:t>
      </w:r>
      <w:r w:rsidRPr="0002470C">
        <w:rPr>
          <w:rFonts w:ascii="Times New Roman" w:eastAsia="Times New Roman" w:hAnsi="Times New Roman" w:cs="Times New Roman"/>
          <w:color w:val="000000"/>
          <w:sz w:val="24"/>
          <w:szCs w:val="24"/>
          <w:lang w:eastAsia="es-ES"/>
        </w:rPr>
        <w:t>por ejemplo, mediante la e</w:t>
      </w:r>
      <w:r>
        <w:rPr>
          <w:rFonts w:ascii="Times New Roman" w:eastAsia="Times New Roman" w:hAnsi="Times New Roman" w:cs="Times New Roman"/>
          <w:color w:val="000000"/>
          <w:sz w:val="24"/>
          <w:szCs w:val="24"/>
          <w:lang w:eastAsia="es-ES"/>
        </w:rPr>
        <w:t>jecución de gobernantes locales-</w:t>
      </w:r>
      <w:r w:rsidRPr="0002470C">
        <w:rPr>
          <w:rFonts w:ascii="Times New Roman" w:eastAsia="Times New Roman" w:hAnsi="Times New Roman" w:cs="Times New Roman"/>
          <w:color w:val="000000"/>
          <w:sz w:val="24"/>
          <w:szCs w:val="24"/>
          <w:lang w:eastAsia="es-ES"/>
        </w:rPr>
        <w:t xml:space="preserve"> para controlar</w:t>
      </w:r>
      <w:r>
        <w:rPr>
          <w:rFonts w:ascii="Times New Roman" w:eastAsia="Times New Roman" w:hAnsi="Times New Roman" w:cs="Times New Roman"/>
          <w:color w:val="000000"/>
          <w:sz w:val="24"/>
          <w:szCs w:val="24"/>
          <w:lang w:eastAsia="es-ES"/>
        </w:rPr>
        <w:t xml:space="preserve"> cuellos de botella marítimos).</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5A728B">
        <w:rPr>
          <w:rFonts w:ascii="Times New Roman" w:eastAsia="Times New Roman" w:hAnsi="Times New Roman" w:cs="Times New Roman"/>
          <w:color w:val="FF0000"/>
          <w:sz w:val="24"/>
          <w:szCs w:val="24"/>
          <w:u w:val="single"/>
          <w:lang w:eastAsia="es-ES"/>
        </w:rPr>
        <w:t>En realidad, poco distingue a la Ruta de la Seda marítima del «collar de perlas». Si bien China está empleando tácticas aparentemente pacíficas para lograr progresos en la iniciativa, su objetivo principal no es la cooperación mutuamente beneficiosa sino la supremacía estratégica. De hecho, la Ruta de la Seda es funda</w:t>
      </w:r>
      <w:r>
        <w:rPr>
          <w:rFonts w:ascii="Times New Roman" w:eastAsia="Times New Roman" w:hAnsi="Times New Roman" w:cs="Times New Roman"/>
          <w:color w:val="FF0000"/>
          <w:sz w:val="24"/>
          <w:szCs w:val="24"/>
          <w:u w:val="single"/>
          <w:lang w:eastAsia="es-ES"/>
        </w:rPr>
        <w:t>mental para las ambiciones del “sueño chino”</w:t>
      </w:r>
      <w:r w:rsidRPr="005A728B">
        <w:rPr>
          <w:rFonts w:ascii="Times New Roman" w:eastAsia="Times New Roman" w:hAnsi="Times New Roman" w:cs="Times New Roman"/>
          <w:color w:val="FF0000"/>
          <w:sz w:val="24"/>
          <w:szCs w:val="24"/>
          <w:u w:val="single"/>
          <w:lang w:eastAsia="es-ES"/>
        </w:rPr>
        <w:t xml:space="preserve"> del presidente Xi Jinping, que implican recuperar la gloria y la jerarquía que China tuvo en el pasado.</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5A728B">
        <w:rPr>
          <w:rFonts w:ascii="Times New Roman" w:eastAsia="Times New Roman" w:hAnsi="Times New Roman" w:cs="Times New Roman"/>
          <w:color w:val="FF0000"/>
          <w:sz w:val="24"/>
          <w:szCs w:val="24"/>
          <w:u w:val="single"/>
          <w:lang w:eastAsia="es-ES"/>
        </w:rPr>
        <w:t>Especialmente bajo el liderazgo de Xi, China a menudo ha usado la asistencia, la inversión y otros apalancamientos económicos para obligar a sus vecinos a profundiz</w:t>
      </w:r>
      <w:r>
        <w:rPr>
          <w:rFonts w:ascii="Times New Roman" w:eastAsia="Times New Roman" w:hAnsi="Times New Roman" w:cs="Times New Roman"/>
          <w:color w:val="FF0000"/>
          <w:sz w:val="24"/>
          <w:szCs w:val="24"/>
          <w:u w:val="single"/>
          <w:lang w:eastAsia="es-ES"/>
        </w:rPr>
        <w:t xml:space="preserve">ar </w:t>
      </w:r>
      <w:r>
        <w:rPr>
          <w:rFonts w:ascii="Times New Roman" w:eastAsia="Times New Roman" w:hAnsi="Times New Roman" w:cs="Times New Roman"/>
          <w:color w:val="FF0000"/>
          <w:sz w:val="24"/>
          <w:szCs w:val="24"/>
          <w:u w:val="single"/>
          <w:lang w:eastAsia="es-ES"/>
        </w:rPr>
        <w:lastRenderedPageBreak/>
        <w:t>su dependencia económica de -</w:t>
      </w:r>
      <w:r w:rsidRPr="005A728B">
        <w:rPr>
          <w:rFonts w:ascii="Times New Roman" w:eastAsia="Times New Roman" w:hAnsi="Times New Roman" w:cs="Times New Roman"/>
          <w:color w:val="FF0000"/>
          <w:sz w:val="24"/>
          <w:szCs w:val="24"/>
          <w:u w:val="single"/>
          <w:lang w:eastAsia="es-ES"/>
        </w:rPr>
        <w:t>y ampliar su coo</w:t>
      </w:r>
      <w:r>
        <w:rPr>
          <w:rFonts w:ascii="Times New Roman" w:eastAsia="Times New Roman" w:hAnsi="Times New Roman" w:cs="Times New Roman"/>
          <w:color w:val="FF0000"/>
          <w:sz w:val="24"/>
          <w:szCs w:val="24"/>
          <w:u w:val="single"/>
          <w:lang w:eastAsia="es-ES"/>
        </w:rPr>
        <w:t>peración para la seguridad con-</w:t>
      </w:r>
      <w:r w:rsidRPr="005A728B">
        <w:rPr>
          <w:rFonts w:ascii="Times New Roman" w:eastAsia="Times New Roman" w:hAnsi="Times New Roman" w:cs="Times New Roman"/>
          <w:color w:val="FF0000"/>
          <w:sz w:val="24"/>
          <w:szCs w:val="24"/>
          <w:u w:val="single"/>
          <w:lang w:eastAsia="es-ES"/>
        </w:rPr>
        <w:t xml:space="preserve"> la República Popular. El uso por Xi del Fondo para la Ruta de la Seda, de 40 mil millones de USD, y el nuevo Banco Asiático de Inversión para Infraestructura patrocinado por China para desarrollar la Ruta de la Seda reflejan este enfoque. </w:t>
      </w: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5A728B">
        <w:rPr>
          <w:rFonts w:ascii="Times New Roman" w:eastAsia="Times New Roman" w:hAnsi="Times New Roman" w:cs="Times New Roman"/>
          <w:color w:val="FF0000"/>
          <w:sz w:val="24"/>
          <w:szCs w:val="24"/>
          <w:u w:val="single"/>
          <w:lang w:eastAsia="es-ES"/>
        </w:rPr>
        <w:t>China ya está construyendo puertos, ferrocarriles, autopistas y ductos en los estados litorales de la región, no solo para facilitar las importaciones de recursos minerales y las exportaciones de productos manufacturados chinos, sino para lograr avances en sus metas militares estratégicas</w:t>
      </w:r>
      <w:r w:rsidRPr="0002470C">
        <w:rPr>
          <w:rFonts w:ascii="Times New Roman" w:eastAsia="Times New Roman" w:hAnsi="Times New Roman" w:cs="Times New Roman"/>
          <w:color w:val="000000"/>
          <w:sz w:val="24"/>
          <w:szCs w:val="24"/>
          <w:lang w:eastAsia="es-ES"/>
        </w:rPr>
        <w:t xml:space="preserve">. Por ejemplo, China cerró un acuerdo por varios miles de millones de dólares con Pakistán para desarrollar el puerto de Gwadar, debido a su ubicación estratégica en la boca del estrecho de Ormuz, que más que compensa el limitado </w:t>
      </w:r>
      <w:r>
        <w:rPr>
          <w:rFonts w:ascii="Times New Roman" w:eastAsia="Times New Roman" w:hAnsi="Times New Roman" w:cs="Times New Roman"/>
          <w:color w:val="000000"/>
          <w:sz w:val="24"/>
          <w:szCs w:val="24"/>
          <w:lang w:eastAsia="es-ES"/>
        </w:rPr>
        <w:t>potencial comercial del puerto.</w:t>
      </w: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02470C">
        <w:rPr>
          <w:rFonts w:ascii="Times New Roman" w:eastAsia="Times New Roman" w:hAnsi="Times New Roman" w:cs="Times New Roman"/>
          <w:color w:val="000000"/>
          <w:sz w:val="24"/>
          <w:szCs w:val="24"/>
          <w:lang w:eastAsia="es-ES"/>
        </w:rPr>
        <w:t xml:space="preserve">Dos veces en el último otoño submarinos chinos de ataque fondearon en la nueva terminal para contenedores de 500 millones de USD del puerto de Colombo en Sri Lanka, construida por empresas estatales chinas que además son sus principales propietarias. China se ha embarcado en un proyecto de 1,4 mil millones de USD para construir un complejo con barrios periféricos con gran crecimiento del tamaño de Mónaco en tierras </w:t>
      </w:r>
      <w:r>
        <w:rPr>
          <w:rFonts w:ascii="Times New Roman" w:eastAsia="Times New Roman" w:hAnsi="Times New Roman" w:cs="Times New Roman"/>
          <w:color w:val="000000"/>
          <w:sz w:val="24"/>
          <w:szCs w:val="24"/>
          <w:lang w:eastAsia="es-ES"/>
        </w:rPr>
        <w:t>ganadas al mar en Colombo, una “</w:t>
      </w:r>
      <w:r w:rsidRPr="0002470C">
        <w:rPr>
          <w:rFonts w:ascii="Times New Roman" w:eastAsia="Times New Roman" w:hAnsi="Times New Roman" w:cs="Times New Roman"/>
          <w:color w:val="000000"/>
          <w:sz w:val="24"/>
          <w:szCs w:val="24"/>
          <w:lang w:eastAsia="es-ES"/>
        </w:rPr>
        <w:t>ciudad</w:t>
      </w:r>
      <w:r>
        <w:rPr>
          <w:rFonts w:ascii="Times New Roman" w:eastAsia="Times New Roman" w:hAnsi="Times New Roman" w:cs="Times New Roman"/>
          <w:color w:val="000000"/>
          <w:sz w:val="24"/>
          <w:szCs w:val="24"/>
          <w:lang w:eastAsia="es-ES"/>
        </w:rPr>
        <w:t xml:space="preserve"> puerto”</w:t>
      </w:r>
      <w:r w:rsidRPr="0002470C">
        <w:rPr>
          <w:rFonts w:ascii="Times New Roman" w:eastAsia="Times New Roman" w:hAnsi="Times New Roman" w:cs="Times New Roman"/>
          <w:color w:val="000000"/>
          <w:sz w:val="24"/>
          <w:szCs w:val="24"/>
          <w:lang w:eastAsia="es-ES"/>
        </w:rPr>
        <w:t xml:space="preserve"> que se convertirá en uno de los puntos principa</w:t>
      </w:r>
      <w:r>
        <w:rPr>
          <w:rFonts w:ascii="Times New Roman" w:eastAsia="Times New Roman" w:hAnsi="Times New Roman" w:cs="Times New Roman"/>
          <w:color w:val="000000"/>
          <w:sz w:val="24"/>
          <w:szCs w:val="24"/>
          <w:lang w:eastAsia="es-ES"/>
        </w:rPr>
        <w:t>les de la “ruta” náutica china.</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5A728B">
        <w:rPr>
          <w:rFonts w:ascii="Times New Roman" w:eastAsia="Times New Roman" w:hAnsi="Times New Roman" w:cs="Times New Roman"/>
          <w:color w:val="000000"/>
          <w:sz w:val="24"/>
          <w:szCs w:val="24"/>
          <w:u w:val="single"/>
          <w:lang w:eastAsia="es-ES"/>
        </w:rPr>
        <w:t>Zhou Bo, un miembro honorario de la Academia de Ciencias Militares del EPL, admit</w:t>
      </w:r>
      <w:r>
        <w:rPr>
          <w:rFonts w:ascii="Times New Roman" w:eastAsia="Times New Roman" w:hAnsi="Times New Roman" w:cs="Times New Roman"/>
          <w:color w:val="000000"/>
          <w:sz w:val="24"/>
          <w:szCs w:val="24"/>
          <w:u w:val="single"/>
          <w:lang w:eastAsia="es-ES"/>
        </w:rPr>
        <w:t>e que los megaproyectos chinos “</w:t>
      </w:r>
      <w:r w:rsidRPr="005A728B">
        <w:rPr>
          <w:rFonts w:ascii="Times New Roman" w:eastAsia="Times New Roman" w:hAnsi="Times New Roman" w:cs="Times New Roman"/>
          <w:color w:val="000000"/>
          <w:sz w:val="24"/>
          <w:szCs w:val="24"/>
          <w:u w:val="single"/>
          <w:lang w:eastAsia="es-ES"/>
        </w:rPr>
        <w:t xml:space="preserve">cambiarán radicalmente el paisaje político y económico </w:t>
      </w:r>
      <w:r>
        <w:rPr>
          <w:rFonts w:ascii="Times New Roman" w:eastAsia="Times New Roman" w:hAnsi="Times New Roman" w:cs="Times New Roman"/>
          <w:color w:val="000000"/>
          <w:sz w:val="24"/>
          <w:szCs w:val="24"/>
          <w:u w:val="single"/>
          <w:lang w:eastAsia="es-ES"/>
        </w:rPr>
        <w:t>del Océano Índico”</w:t>
      </w:r>
      <w:r w:rsidRPr="005A728B">
        <w:rPr>
          <w:rFonts w:ascii="Times New Roman" w:eastAsia="Times New Roman" w:hAnsi="Times New Roman" w:cs="Times New Roman"/>
          <w:color w:val="000000"/>
          <w:sz w:val="24"/>
          <w:szCs w:val="24"/>
          <w:u w:val="single"/>
          <w:lang w:eastAsia="es-ES"/>
        </w:rPr>
        <w:t xml:space="preserve"> al tiempo</w:t>
      </w:r>
      <w:r>
        <w:rPr>
          <w:rFonts w:ascii="Times New Roman" w:eastAsia="Times New Roman" w:hAnsi="Times New Roman" w:cs="Times New Roman"/>
          <w:color w:val="000000"/>
          <w:sz w:val="24"/>
          <w:szCs w:val="24"/>
          <w:u w:val="single"/>
          <w:lang w:eastAsia="es-ES"/>
        </w:rPr>
        <w:t xml:space="preserve"> que presenta a China como una “potencia fuerte, pero benigna”</w:t>
      </w:r>
      <w:r w:rsidRPr="005A728B">
        <w:rPr>
          <w:rFonts w:ascii="Times New Roman" w:eastAsia="Times New Roman" w:hAnsi="Times New Roman" w:cs="Times New Roman"/>
          <w:color w:val="000000"/>
          <w:sz w:val="24"/>
          <w:szCs w:val="24"/>
          <w:u w:val="single"/>
          <w:lang w:eastAsia="es-ES"/>
        </w:rPr>
        <w:t>. Esto es importante, porque nuevo orden asiático será determinado menos por los eventos en el este asiático, donde Japón está decidido a bloquear el ascenso chino, que por lo que ocurra en el Océano Índico, donde China está socavando el prolongado dominio de la India.</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5A728B">
        <w:rPr>
          <w:rFonts w:ascii="Times New Roman" w:eastAsia="Times New Roman" w:hAnsi="Times New Roman" w:cs="Times New Roman"/>
          <w:color w:val="FF0000"/>
          <w:sz w:val="24"/>
          <w:szCs w:val="24"/>
          <w:u w:val="single"/>
          <w:lang w:eastAsia="es-ES"/>
        </w:rPr>
        <w:t>La India ciertamente sospecha del comportamiento de China, pero China avanza con suficiente cuidado como para poder acercarse a sus metas sin asustar a esa cantera que busca explotar</w:t>
      </w:r>
      <w:r w:rsidRPr="0002470C">
        <w:rPr>
          <w:rFonts w:ascii="Times New Roman" w:eastAsia="Times New Roman" w:hAnsi="Times New Roman" w:cs="Times New Roman"/>
          <w:color w:val="000000"/>
          <w:sz w:val="24"/>
          <w:szCs w:val="24"/>
          <w:lang w:eastAsia="es-ES"/>
        </w:rPr>
        <w:t xml:space="preserve">. </w:t>
      </w:r>
      <w:r w:rsidRPr="005A728B">
        <w:rPr>
          <w:rFonts w:ascii="Times New Roman" w:eastAsia="Times New Roman" w:hAnsi="Times New Roman" w:cs="Times New Roman"/>
          <w:color w:val="000000"/>
          <w:sz w:val="24"/>
          <w:szCs w:val="24"/>
          <w:u w:val="single"/>
          <w:lang w:eastAsia="es-ES"/>
        </w:rPr>
        <w:t>El académico estadounidense John Garver describió esto cl</w:t>
      </w:r>
      <w:r>
        <w:rPr>
          <w:rFonts w:ascii="Times New Roman" w:eastAsia="Times New Roman" w:hAnsi="Times New Roman" w:cs="Times New Roman"/>
          <w:color w:val="000000"/>
          <w:sz w:val="24"/>
          <w:szCs w:val="24"/>
          <w:u w:val="single"/>
          <w:lang w:eastAsia="es-ES"/>
        </w:rPr>
        <w:t>aramente con una fábula china: “</w:t>
      </w:r>
      <w:r w:rsidRPr="005A728B">
        <w:rPr>
          <w:rFonts w:ascii="Times New Roman" w:eastAsia="Times New Roman" w:hAnsi="Times New Roman" w:cs="Times New Roman"/>
          <w:color w:val="000000"/>
          <w:sz w:val="24"/>
          <w:szCs w:val="24"/>
          <w:u w:val="single"/>
          <w:lang w:eastAsia="es-ES"/>
        </w:rPr>
        <w:t>Una rana en agua tibia se siente muy cómoda y segura. No se da cuenta de que la temperatura del agua sube lentamente hasta que, al final, mue</w:t>
      </w:r>
      <w:r>
        <w:rPr>
          <w:rFonts w:ascii="Times New Roman" w:eastAsia="Times New Roman" w:hAnsi="Times New Roman" w:cs="Times New Roman"/>
          <w:color w:val="000000"/>
          <w:sz w:val="24"/>
          <w:szCs w:val="24"/>
          <w:u w:val="single"/>
          <w:lang w:eastAsia="es-ES"/>
        </w:rPr>
        <w:t>re y queda completamente cocida”</w:t>
      </w:r>
      <w:r w:rsidRPr="005A728B">
        <w:rPr>
          <w:rFonts w:ascii="Times New Roman" w:eastAsia="Times New Roman" w:hAnsi="Times New Roman" w:cs="Times New Roman"/>
          <w:color w:val="000000"/>
          <w:sz w:val="24"/>
          <w:szCs w:val="24"/>
          <w:u w:val="single"/>
          <w:lang w:eastAsia="es-ES"/>
        </w:rPr>
        <w:t>.</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5A728B">
        <w:rPr>
          <w:rFonts w:ascii="Times New Roman" w:eastAsia="Times New Roman" w:hAnsi="Times New Roman" w:cs="Times New Roman"/>
          <w:color w:val="FF0000"/>
          <w:sz w:val="24"/>
          <w:szCs w:val="24"/>
          <w:u w:val="single"/>
          <w:lang w:eastAsia="es-ES"/>
        </w:rPr>
        <w:t>Desde esta perspectiva, no sorprende que China haya invitado a la India a unirse a la iniciativa de la Ruta de la Seda. El objetivo no es solo calmar a un vecino suspicaz, sino también desacelerar el desarrollo de los vínculos estratégicos de la India con Estados Unidos y Japón.</w:t>
      </w:r>
    </w:p>
    <w:p w:rsidR="004265B7" w:rsidRPr="005A728B"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val="en-US" w:eastAsia="es-ES"/>
        </w:rPr>
      </w:pPr>
      <w:r w:rsidRPr="005A728B">
        <w:rPr>
          <w:rFonts w:ascii="Times New Roman" w:eastAsia="Times New Roman" w:hAnsi="Times New Roman" w:cs="Times New Roman"/>
          <w:b/>
          <w:color w:val="FF0000"/>
          <w:sz w:val="24"/>
          <w:szCs w:val="24"/>
          <w:u w:val="single"/>
          <w:lang w:eastAsia="es-ES"/>
        </w:rPr>
        <w:t>Los planes de China para la Ruta de la Seda combinan objetivos económicos, diplomáticos, energéticos y de seguridad para crear una red en expansión de instalaciones vinculadas que impulsen el comercio, favorezcan la penetración estratégica y permitan que una fuerza de submarinos cada vez más potente y activa desempeñe un papel más amplio. Con este proceso, China procura crear un orden asiático que no esté basado en un equilibrio de poder con EE</w:t>
      </w:r>
      <w:r>
        <w:rPr>
          <w:rFonts w:ascii="Times New Roman" w:eastAsia="Times New Roman" w:hAnsi="Times New Roman" w:cs="Times New Roman"/>
          <w:b/>
          <w:color w:val="FF0000"/>
          <w:sz w:val="24"/>
          <w:szCs w:val="24"/>
          <w:u w:val="single"/>
          <w:lang w:eastAsia="es-ES"/>
        </w:rPr>
        <w:t>UU</w:t>
      </w:r>
      <w:r w:rsidRPr="005A728B">
        <w:rPr>
          <w:rFonts w:ascii="Times New Roman" w:eastAsia="Times New Roman" w:hAnsi="Times New Roman" w:cs="Times New Roman"/>
          <w:b/>
          <w:color w:val="FF0000"/>
          <w:sz w:val="24"/>
          <w:szCs w:val="24"/>
          <w:u w:val="single"/>
          <w:lang w:eastAsia="es-ES"/>
        </w:rPr>
        <w:t>, sino en su propia hegemonía</w:t>
      </w:r>
      <w:r w:rsidRPr="0002470C">
        <w:rPr>
          <w:rFonts w:ascii="Times New Roman" w:eastAsia="Times New Roman" w:hAnsi="Times New Roman" w:cs="Times New Roman"/>
          <w:color w:val="000000"/>
          <w:sz w:val="24"/>
          <w:szCs w:val="24"/>
          <w:lang w:eastAsia="es-ES"/>
        </w:rPr>
        <w:t xml:space="preserve">. </w:t>
      </w:r>
      <w:r w:rsidRPr="005A728B">
        <w:rPr>
          <w:rFonts w:ascii="Times New Roman" w:eastAsia="Times New Roman" w:hAnsi="Times New Roman" w:cs="Times New Roman"/>
          <w:color w:val="000000"/>
          <w:sz w:val="24"/>
          <w:szCs w:val="24"/>
          <w:u w:val="single"/>
          <w:lang w:val="en-US" w:eastAsia="es-ES"/>
        </w:rPr>
        <w:t>Solo un concierto de democracias puede bloquear esta estrategia.</w:t>
      </w:r>
    </w:p>
    <w:p w:rsidR="004265B7" w:rsidRPr="0002470C"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val="en-US" w:eastAsia="es-ES"/>
        </w:rPr>
      </w:pPr>
      <w:r>
        <w:rPr>
          <w:rFonts w:ascii="Times New Roman" w:eastAsia="Times New Roman" w:hAnsi="Times New Roman" w:cs="Times New Roman"/>
          <w:color w:val="000000"/>
          <w:sz w:val="24"/>
          <w:szCs w:val="24"/>
          <w:lang w:val="en-US" w:eastAsia="es-ES"/>
        </w:rPr>
        <w:lastRenderedPageBreak/>
        <w:t>(</w:t>
      </w:r>
      <w:r w:rsidRPr="0002470C">
        <w:rPr>
          <w:rFonts w:ascii="Times New Roman" w:eastAsia="Times New Roman" w:hAnsi="Times New Roman" w:cs="Times New Roman"/>
          <w:color w:val="000000"/>
          <w:sz w:val="24"/>
          <w:szCs w:val="24"/>
          <w:lang w:val="en-US" w:eastAsia="es-ES"/>
        </w:rPr>
        <w:t>Brahma Chellaney, Professor of Strategic Studies at the New Delhi-based Center for Pol</w:t>
      </w:r>
      <w:r>
        <w:rPr>
          <w:rFonts w:ascii="Times New Roman" w:eastAsia="Times New Roman" w:hAnsi="Times New Roman" w:cs="Times New Roman"/>
          <w:color w:val="000000"/>
          <w:sz w:val="24"/>
          <w:szCs w:val="24"/>
          <w:lang w:val="en-US" w:eastAsia="es-ES"/>
        </w:rPr>
        <w:t xml:space="preserve">icy Research, is the author of </w:t>
      </w:r>
      <w:r w:rsidRPr="0002470C">
        <w:rPr>
          <w:rFonts w:ascii="Times New Roman" w:eastAsia="Times New Roman" w:hAnsi="Times New Roman" w:cs="Times New Roman"/>
          <w:color w:val="000000"/>
          <w:sz w:val="24"/>
          <w:szCs w:val="24"/>
          <w:lang w:val="en-US" w:eastAsia="es-ES"/>
        </w:rPr>
        <w:t>Asian Juggernaut, Water: Asia’s New Battleground, and Water, Peace, and War: Confr</w:t>
      </w:r>
      <w:r>
        <w:rPr>
          <w:rFonts w:ascii="Times New Roman" w:eastAsia="Times New Roman" w:hAnsi="Times New Roman" w:cs="Times New Roman"/>
          <w:color w:val="000000"/>
          <w:sz w:val="24"/>
          <w:szCs w:val="24"/>
          <w:lang w:val="en-US" w:eastAsia="es-ES"/>
        </w:rPr>
        <w:t>onting the Global Water Crisis…)</w:t>
      </w:r>
      <w:r w:rsidRPr="0002470C">
        <w:rPr>
          <w:rFonts w:ascii="Times New Roman" w:eastAsia="Times New Roman" w:hAnsi="Times New Roman" w:cs="Times New Roman"/>
          <w:color w:val="000000"/>
          <w:sz w:val="24"/>
          <w:szCs w:val="24"/>
          <w:lang w:val="en-US" w:eastAsia="es-ES"/>
        </w:rPr>
        <w:t xml:space="preserve"> </w:t>
      </w:r>
    </w:p>
    <w:p w:rsidR="004265B7" w:rsidRPr="006079E6"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079E6">
        <w:rPr>
          <w:rFonts w:ascii="Times New Roman" w:eastAsia="Times New Roman" w:hAnsi="Times New Roman" w:cs="Times New Roman"/>
          <w:color w:val="000000"/>
          <w:sz w:val="24"/>
          <w:szCs w:val="24"/>
          <w:lang w:eastAsia="es-ES"/>
        </w:rPr>
        <w:t xml:space="preserve">- </w:t>
      </w:r>
      <w:r w:rsidRPr="006079E6">
        <w:rPr>
          <w:rFonts w:ascii="Times New Roman" w:eastAsia="Times New Roman" w:hAnsi="Times New Roman" w:cs="Times New Roman"/>
          <w:color w:val="000000"/>
          <w:sz w:val="24"/>
          <w:szCs w:val="24"/>
          <w:u w:val="single"/>
          <w:lang w:eastAsia="es-ES"/>
        </w:rPr>
        <w:t>El indispensable aliado americano</w:t>
      </w:r>
      <w:r>
        <w:rPr>
          <w:rFonts w:ascii="Times New Roman" w:eastAsia="Times New Roman" w:hAnsi="Times New Roman" w:cs="Times New Roman"/>
          <w:color w:val="000000"/>
          <w:sz w:val="24"/>
          <w:szCs w:val="24"/>
          <w:lang w:eastAsia="es-ES"/>
        </w:rPr>
        <w:t xml:space="preserve"> (Project Syndicate - </w:t>
      </w:r>
      <w:r w:rsidRPr="006079E6">
        <w:rPr>
          <w:rFonts w:ascii="Times New Roman" w:eastAsia="Times New Roman" w:hAnsi="Times New Roman" w:cs="Times New Roman"/>
          <w:b/>
          <w:color w:val="000000"/>
          <w:sz w:val="24"/>
          <w:szCs w:val="24"/>
          <w:lang w:eastAsia="es-ES"/>
        </w:rPr>
        <w:t>9/3/15</w:t>
      </w:r>
      <w:r>
        <w:rPr>
          <w:rFonts w:ascii="Times New Roman" w:eastAsia="Times New Roman" w:hAnsi="Times New Roman" w:cs="Times New Roman"/>
          <w:color w:val="000000"/>
          <w:sz w:val="24"/>
          <w:szCs w:val="24"/>
          <w:lang w:eastAsia="es-ES"/>
        </w:rPr>
        <w:t>)   Lectura recomendada</w:t>
      </w:r>
    </w:p>
    <w:p w:rsidR="004265B7" w:rsidRPr="006079E6"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Madrid.- EEUU</w:t>
      </w:r>
      <w:r w:rsidRPr="006079E6">
        <w:rPr>
          <w:rFonts w:ascii="Times New Roman" w:eastAsia="Times New Roman" w:hAnsi="Times New Roman" w:cs="Times New Roman"/>
          <w:color w:val="000000"/>
          <w:sz w:val="24"/>
          <w:szCs w:val="24"/>
          <w:lang w:eastAsia="es-ES"/>
        </w:rPr>
        <w:t xml:space="preserve"> se encamina hacia el evento más polarizador y agotador de su sistema político: una carrera abierta hacia la Casa Blanca, ya que Obama ha agotado sus dos mandatos y no parece probable que el vicepresidente Joe Biden se presente. En este contexto, sin candidato saliente, cabe esperar que el debate de ideas y la primacía de la política exterior superen el habitual balanc</w:t>
      </w:r>
      <w:r>
        <w:rPr>
          <w:rFonts w:ascii="Times New Roman" w:eastAsia="Times New Roman" w:hAnsi="Times New Roman" w:cs="Times New Roman"/>
          <w:color w:val="000000"/>
          <w:sz w:val="24"/>
          <w:szCs w:val="24"/>
          <w:lang w:eastAsia="es-ES"/>
        </w:rPr>
        <w:t xml:space="preserve">e de los ocho años anteriores. </w:t>
      </w:r>
    </w:p>
    <w:p w:rsidR="004265B7" w:rsidRPr="006079E6"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079E6">
        <w:rPr>
          <w:rFonts w:ascii="Times New Roman" w:eastAsia="Times New Roman" w:hAnsi="Times New Roman" w:cs="Times New Roman"/>
          <w:color w:val="000000"/>
          <w:sz w:val="24"/>
          <w:szCs w:val="24"/>
          <w:lang w:eastAsia="es-ES"/>
        </w:rPr>
        <w:t xml:space="preserve">Quienes se perfilan como contendientes apuntan en esa dirección y han comenzado a exponer sus posiciones sobre cuestiones fundamentales de política exterior. Así, Jeb Bush, significado aspirante republicano, ya ha dedicado todo un discurso a este tema. En cuanto al campo demócrata la ex secretaria de Estado Hillary Clinton se dibuja -pese a las recientes revelaciones sobre el uso de su correo privado para asuntos oficiales- como más que probable candidata, lo que refuerza la centralidad de la política exterior en las elecciones.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DC7370">
        <w:rPr>
          <w:rFonts w:ascii="Times New Roman" w:eastAsia="Times New Roman" w:hAnsi="Times New Roman" w:cs="Times New Roman"/>
          <w:color w:val="000000"/>
          <w:sz w:val="24"/>
          <w:szCs w:val="24"/>
          <w:u w:val="single"/>
          <w:lang w:eastAsia="es-ES"/>
        </w:rPr>
        <w:t>En respuesta a esta situación, para contribuir al debate, y con la idea de publicar un documento de reflexión, el Global Agenda Council del World Economic Forum ha creado un grupo de trabajo del que formo parte como única voz no americana. Desde esta perspectiva europea, el gran reto al que se enfre</w:t>
      </w:r>
      <w:r>
        <w:rPr>
          <w:rFonts w:ascii="Times New Roman" w:eastAsia="Times New Roman" w:hAnsi="Times New Roman" w:cs="Times New Roman"/>
          <w:color w:val="000000"/>
          <w:sz w:val="24"/>
          <w:szCs w:val="24"/>
          <w:u w:val="single"/>
          <w:lang w:eastAsia="es-ES"/>
        </w:rPr>
        <w:t>nta EEUU</w:t>
      </w:r>
      <w:r w:rsidRPr="00DC7370">
        <w:rPr>
          <w:rFonts w:ascii="Times New Roman" w:eastAsia="Times New Roman" w:hAnsi="Times New Roman" w:cs="Times New Roman"/>
          <w:color w:val="000000"/>
          <w:sz w:val="24"/>
          <w:szCs w:val="24"/>
          <w:u w:val="single"/>
          <w:lang w:eastAsia="es-ES"/>
        </w:rPr>
        <w:t xml:space="preserve"> en este ámbito se r</w:t>
      </w:r>
      <w:r>
        <w:rPr>
          <w:rFonts w:ascii="Times New Roman" w:eastAsia="Times New Roman" w:hAnsi="Times New Roman" w:cs="Times New Roman"/>
          <w:color w:val="000000"/>
          <w:sz w:val="24"/>
          <w:szCs w:val="24"/>
          <w:u w:val="single"/>
          <w:lang w:eastAsia="es-ES"/>
        </w:rPr>
        <w:t>esume en pasar de considerarse “el poder indispensable”</w:t>
      </w:r>
      <w:r w:rsidRPr="00DC7370">
        <w:rPr>
          <w:rFonts w:ascii="Times New Roman" w:eastAsia="Times New Roman" w:hAnsi="Times New Roman" w:cs="Times New Roman"/>
          <w:color w:val="000000"/>
          <w:sz w:val="24"/>
          <w:szCs w:val="24"/>
          <w:u w:val="single"/>
          <w:lang w:eastAsia="es-ES"/>
        </w:rPr>
        <w:t xml:space="preserve"> a</w:t>
      </w:r>
      <w:r>
        <w:rPr>
          <w:rFonts w:ascii="Times New Roman" w:eastAsia="Times New Roman" w:hAnsi="Times New Roman" w:cs="Times New Roman"/>
          <w:color w:val="000000"/>
          <w:sz w:val="24"/>
          <w:szCs w:val="24"/>
          <w:u w:val="single"/>
          <w:lang w:eastAsia="es-ES"/>
        </w:rPr>
        <w:t xml:space="preserve"> ser “el socio indispensable”</w:t>
      </w:r>
      <w:r w:rsidRPr="00DC7370">
        <w:rPr>
          <w:rFonts w:ascii="Times New Roman" w:eastAsia="Times New Roman" w:hAnsi="Times New Roman" w:cs="Times New Roman"/>
          <w:color w:val="000000"/>
          <w:sz w:val="24"/>
          <w:szCs w:val="24"/>
          <w:u w:val="single"/>
          <w:lang w:eastAsia="es-ES"/>
        </w:rPr>
        <w:t xml:space="preserve">.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DC7370">
        <w:rPr>
          <w:rFonts w:ascii="Times New Roman" w:eastAsia="Times New Roman" w:hAnsi="Times New Roman" w:cs="Times New Roman"/>
          <w:color w:val="FF0000"/>
          <w:sz w:val="24"/>
          <w:szCs w:val="24"/>
          <w:u w:val="single"/>
          <w:lang w:eastAsia="es-ES"/>
        </w:rPr>
        <w:t>No se trata simplemente de una cuestión de</w:t>
      </w:r>
      <w:r>
        <w:rPr>
          <w:rFonts w:ascii="Times New Roman" w:eastAsia="Times New Roman" w:hAnsi="Times New Roman" w:cs="Times New Roman"/>
          <w:color w:val="FF0000"/>
          <w:sz w:val="24"/>
          <w:szCs w:val="24"/>
          <w:u w:val="single"/>
          <w:lang w:eastAsia="es-ES"/>
        </w:rPr>
        <w:t xml:space="preserve"> semántica. Es necesario que EEUU</w:t>
      </w:r>
      <w:r w:rsidRPr="00DC7370">
        <w:rPr>
          <w:rFonts w:ascii="Times New Roman" w:eastAsia="Times New Roman" w:hAnsi="Times New Roman" w:cs="Times New Roman"/>
          <w:color w:val="FF0000"/>
          <w:sz w:val="24"/>
          <w:szCs w:val="24"/>
          <w:u w:val="single"/>
          <w:lang w:eastAsia="es-ES"/>
        </w:rPr>
        <w:t xml:space="preserve"> se replantee su papel en el mundo y tanto éste país como el orden internacional liberal que creó, tienen mucho que ganar con ello. La clave del éxito reside en la capacidad amer</w:t>
      </w:r>
      <w:r>
        <w:rPr>
          <w:rFonts w:ascii="Times New Roman" w:eastAsia="Times New Roman" w:hAnsi="Times New Roman" w:cs="Times New Roman"/>
          <w:color w:val="FF0000"/>
          <w:sz w:val="24"/>
          <w:szCs w:val="24"/>
          <w:u w:val="single"/>
          <w:lang w:eastAsia="es-ES"/>
        </w:rPr>
        <w:t>icana para conservar lo mejor -y abandonar lo peor</w:t>
      </w:r>
      <w:r w:rsidRPr="00DC7370">
        <w:rPr>
          <w:rFonts w:ascii="Times New Roman" w:eastAsia="Times New Roman" w:hAnsi="Times New Roman" w:cs="Times New Roman"/>
          <w:color w:val="FF0000"/>
          <w:sz w:val="24"/>
          <w:szCs w:val="24"/>
          <w:u w:val="single"/>
          <w:lang w:eastAsia="es-ES"/>
        </w:rPr>
        <w:t xml:space="preserve">- del rasgo definitorio de su sistema político: la excepcionalidad.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DC7370">
        <w:rPr>
          <w:rFonts w:ascii="Times New Roman" w:eastAsia="Times New Roman" w:hAnsi="Times New Roman" w:cs="Times New Roman"/>
          <w:color w:val="000000"/>
          <w:sz w:val="24"/>
          <w:szCs w:val="24"/>
          <w:u w:val="single"/>
          <w:lang w:eastAsia="es-ES"/>
        </w:rPr>
        <w:t>El sentimiento im</w:t>
      </w:r>
      <w:r>
        <w:rPr>
          <w:rFonts w:ascii="Times New Roman" w:eastAsia="Times New Roman" w:hAnsi="Times New Roman" w:cs="Times New Roman"/>
          <w:color w:val="000000"/>
          <w:sz w:val="24"/>
          <w:szCs w:val="24"/>
          <w:u w:val="single"/>
          <w:lang w:eastAsia="es-ES"/>
        </w:rPr>
        <w:t>perante en EEUU</w:t>
      </w:r>
      <w:r w:rsidRPr="00DC7370">
        <w:rPr>
          <w:rFonts w:ascii="Times New Roman" w:eastAsia="Times New Roman" w:hAnsi="Times New Roman" w:cs="Times New Roman"/>
          <w:color w:val="000000"/>
          <w:sz w:val="24"/>
          <w:szCs w:val="24"/>
          <w:u w:val="single"/>
          <w:lang w:eastAsia="es-ES"/>
        </w:rPr>
        <w:t xml:space="preserve"> según el cual éste es un país único, con la extraordinaria misión de promover la prosperidad, la seguridad y la libertad en todo el mundo, ha configurado la política exterior estadounidense desde sus inicios</w:t>
      </w:r>
      <w:r w:rsidRPr="006079E6">
        <w:rPr>
          <w:rFonts w:ascii="Times New Roman" w:eastAsia="Times New Roman" w:hAnsi="Times New Roman" w:cs="Times New Roman"/>
          <w:color w:val="000000"/>
          <w:sz w:val="24"/>
          <w:szCs w:val="24"/>
          <w:lang w:eastAsia="es-ES"/>
        </w:rPr>
        <w:t xml:space="preserve">. La idea fundacional se remonta a 1630 cuando John Winthrop, primer gobernador de la colonia de la bahía de Massachusetts, declaró que su </w:t>
      </w:r>
      <w:r>
        <w:rPr>
          <w:rFonts w:ascii="Times New Roman" w:eastAsia="Times New Roman" w:hAnsi="Times New Roman" w:cs="Times New Roman"/>
          <w:color w:val="000000"/>
          <w:sz w:val="24"/>
          <w:szCs w:val="24"/>
          <w:lang w:eastAsia="es-ES"/>
        </w:rPr>
        <w:t>comunidad debía actuar como la “Ciudad en la colina”</w:t>
      </w:r>
      <w:r w:rsidRPr="006079E6">
        <w:rPr>
          <w:rFonts w:ascii="Times New Roman" w:eastAsia="Times New Roman" w:hAnsi="Times New Roman" w:cs="Times New Roman"/>
          <w:color w:val="000000"/>
          <w:sz w:val="24"/>
          <w:szCs w:val="24"/>
          <w:lang w:eastAsia="es-ES"/>
        </w:rPr>
        <w:t xml:space="preserve">, erigirse en un ejemplo para el mundo. </w:t>
      </w:r>
      <w:r w:rsidRPr="00DC7370">
        <w:rPr>
          <w:rFonts w:ascii="Times New Roman" w:eastAsia="Times New Roman" w:hAnsi="Times New Roman" w:cs="Times New Roman"/>
          <w:color w:val="000000"/>
          <w:sz w:val="24"/>
          <w:szCs w:val="24"/>
          <w:u w:val="single"/>
          <w:lang w:eastAsia="es-ES"/>
        </w:rPr>
        <w:t xml:space="preserve">Y no otro es el origen de la centralidad de los valores americanos que preside el desarrollo de las normas e instituciones que ordenan hoy las relaciones internacionales.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DC7370">
        <w:rPr>
          <w:rFonts w:ascii="Times New Roman" w:eastAsia="Times New Roman" w:hAnsi="Times New Roman" w:cs="Times New Roman"/>
          <w:color w:val="000000"/>
          <w:sz w:val="24"/>
          <w:szCs w:val="24"/>
          <w:u w:val="single"/>
          <w:lang w:eastAsia="es-ES"/>
        </w:rPr>
        <w:t>Estas leyes y estructuras han traído consigo un crecimiento económico sin precedent</w:t>
      </w:r>
      <w:r>
        <w:rPr>
          <w:rFonts w:ascii="Times New Roman" w:eastAsia="Times New Roman" w:hAnsi="Times New Roman" w:cs="Times New Roman"/>
          <w:color w:val="000000"/>
          <w:sz w:val="24"/>
          <w:szCs w:val="24"/>
          <w:u w:val="single"/>
          <w:lang w:eastAsia="es-ES"/>
        </w:rPr>
        <w:t>es en favor de todos, aunque EEUU</w:t>
      </w:r>
      <w:r w:rsidRPr="00DC7370">
        <w:rPr>
          <w:rFonts w:ascii="Times New Roman" w:eastAsia="Times New Roman" w:hAnsi="Times New Roman" w:cs="Times New Roman"/>
          <w:color w:val="000000"/>
          <w:sz w:val="24"/>
          <w:szCs w:val="24"/>
          <w:u w:val="single"/>
          <w:lang w:eastAsia="es-ES"/>
        </w:rPr>
        <w:t xml:space="preserve"> haya resultado el principal beneficiario. Pero, irónicamente, la noción del excepcionalismo estadoun</w:t>
      </w:r>
      <w:r>
        <w:rPr>
          <w:rFonts w:ascii="Times New Roman" w:eastAsia="Times New Roman" w:hAnsi="Times New Roman" w:cs="Times New Roman"/>
          <w:color w:val="000000"/>
          <w:sz w:val="24"/>
          <w:szCs w:val="24"/>
          <w:u w:val="single"/>
          <w:lang w:eastAsia="es-ES"/>
        </w:rPr>
        <w:t>idense ha llevado a menudo a EEUU</w:t>
      </w:r>
      <w:r w:rsidRPr="00DC7370">
        <w:rPr>
          <w:rFonts w:ascii="Times New Roman" w:eastAsia="Times New Roman" w:hAnsi="Times New Roman" w:cs="Times New Roman"/>
          <w:color w:val="000000"/>
          <w:sz w:val="24"/>
          <w:szCs w:val="24"/>
          <w:u w:val="single"/>
          <w:lang w:eastAsia="es-ES"/>
        </w:rPr>
        <w:t xml:space="preserve"> a socavar el sistema internacional que propició. Así, la historia de este país revela una persistente corrie</w:t>
      </w:r>
      <w:r>
        <w:rPr>
          <w:rFonts w:ascii="Times New Roman" w:eastAsia="Times New Roman" w:hAnsi="Times New Roman" w:cs="Times New Roman"/>
          <w:color w:val="000000"/>
          <w:sz w:val="24"/>
          <w:szCs w:val="24"/>
          <w:u w:val="single"/>
          <w:lang w:eastAsia="es-ES"/>
        </w:rPr>
        <w:t>nte aislacionista en la que la “</w:t>
      </w:r>
      <w:r w:rsidRPr="00DC7370">
        <w:rPr>
          <w:rFonts w:ascii="Times New Roman" w:eastAsia="Times New Roman" w:hAnsi="Times New Roman" w:cs="Times New Roman"/>
          <w:color w:val="000000"/>
          <w:sz w:val="24"/>
          <w:szCs w:val="24"/>
          <w:u w:val="single"/>
          <w:lang w:eastAsia="es-ES"/>
        </w:rPr>
        <w:t>C</w:t>
      </w:r>
      <w:r>
        <w:rPr>
          <w:rFonts w:ascii="Times New Roman" w:eastAsia="Times New Roman" w:hAnsi="Times New Roman" w:cs="Times New Roman"/>
          <w:color w:val="000000"/>
          <w:sz w:val="24"/>
          <w:szCs w:val="24"/>
          <w:u w:val="single"/>
          <w:lang w:eastAsia="es-ES"/>
        </w:rPr>
        <w:t>iudad en la colina”</w:t>
      </w:r>
      <w:r w:rsidRPr="00DC7370">
        <w:rPr>
          <w:rFonts w:ascii="Times New Roman" w:eastAsia="Times New Roman" w:hAnsi="Times New Roman" w:cs="Times New Roman"/>
          <w:color w:val="000000"/>
          <w:sz w:val="24"/>
          <w:szCs w:val="24"/>
          <w:u w:val="single"/>
          <w:lang w:eastAsia="es-ES"/>
        </w:rPr>
        <w:t xml:space="preserve"> no es un faro, sino una fortaleza.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6079E6">
        <w:rPr>
          <w:rFonts w:ascii="Times New Roman" w:eastAsia="Times New Roman" w:hAnsi="Times New Roman" w:cs="Times New Roman"/>
          <w:color w:val="000000"/>
          <w:sz w:val="24"/>
          <w:szCs w:val="24"/>
          <w:lang w:eastAsia="es-ES"/>
        </w:rPr>
        <w:lastRenderedPageBreak/>
        <w:t>A veces disfrazada de mo</w:t>
      </w:r>
      <w:r>
        <w:rPr>
          <w:rFonts w:ascii="Times New Roman" w:eastAsia="Times New Roman" w:hAnsi="Times New Roman" w:cs="Times New Roman"/>
          <w:color w:val="000000"/>
          <w:sz w:val="24"/>
          <w:szCs w:val="24"/>
          <w:lang w:eastAsia="es-ES"/>
        </w:rPr>
        <w:t>destia, la creencia de que a EEUU</w:t>
      </w:r>
      <w:r w:rsidRPr="006079E6">
        <w:rPr>
          <w:rFonts w:ascii="Times New Roman" w:eastAsia="Times New Roman" w:hAnsi="Times New Roman" w:cs="Times New Roman"/>
          <w:color w:val="000000"/>
          <w:sz w:val="24"/>
          <w:szCs w:val="24"/>
          <w:lang w:eastAsia="es-ES"/>
        </w:rPr>
        <w:t xml:space="preserve"> le iría mejor yendo por libre ha dado lugar a períodos de retraimiento en el mundo, y los últimos seis años son buen ejemplo de ello. Esta tendencia no supuso un problema grave antes de la Segunda Guerra Mundial (aunque, por ejemplo, las poblaciones de Abisinia y Manchuria puedan discrepar). Pero hoy, </w:t>
      </w:r>
      <w:r>
        <w:rPr>
          <w:rFonts w:ascii="Times New Roman" w:eastAsia="Times New Roman" w:hAnsi="Times New Roman" w:cs="Times New Roman"/>
          <w:color w:val="000000"/>
          <w:sz w:val="24"/>
          <w:szCs w:val="24"/>
          <w:u w:val="single"/>
          <w:lang w:eastAsia="es-ES"/>
        </w:rPr>
        <w:t>la retirada de EEUU</w:t>
      </w:r>
      <w:r w:rsidRPr="00DC7370">
        <w:rPr>
          <w:rFonts w:ascii="Times New Roman" w:eastAsia="Times New Roman" w:hAnsi="Times New Roman" w:cs="Times New Roman"/>
          <w:color w:val="000000"/>
          <w:sz w:val="24"/>
          <w:szCs w:val="24"/>
          <w:u w:val="single"/>
          <w:lang w:eastAsia="es-ES"/>
        </w:rPr>
        <w:t xml:space="preserve"> del sistema internacional que construyó tiene serias implicaciones: el caos y anarquía que han seguido a la invasión de Ucrania por Rusia ilustran este planteamiento.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DC7370">
        <w:rPr>
          <w:rFonts w:ascii="Times New Roman" w:eastAsia="Times New Roman" w:hAnsi="Times New Roman" w:cs="Times New Roman"/>
          <w:color w:val="FF0000"/>
          <w:sz w:val="24"/>
          <w:szCs w:val="24"/>
          <w:u w:val="single"/>
          <w:lang w:eastAsia="es-ES"/>
        </w:rPr>
        <w:t>Sin embargo, el aislamiento no es e</w:t>
      </w:r>
      <w:r>
        <w:rPr>
          <w:rFonts w:ascii="Times New Roman" w:eastAsia="Times New Roman" w:hAnsi="Times New Roman" w:cs="Times New Roman"/>
          <w:color w:val="FF0000"/>
          <w:sz w:val="24"/>
          <w:szCs w:val="24"/>
          <w:u w:val="single"/>
          <w:lang w:eastAsia="es-ES"/>
        </w:rPr>
        <w:t>l impulso más destructivo de EEUU. Peor es su “exencionalismo”</w:t>
      </w:r>
      <w:r w:rsidRPr="00DC7370">
        <w:rPr>
          <w:rFonts w:ascii="Times New Roman" w:eastAsia="Times New Roman" w:hAnsi="Times New Roman" w:cs="Times New Roman"/>
          <w:color w:val="FF0000"/>
          <w:sz w:val="24"/>
          <w:szCs w:val="24"/>
          <w:u w:val="single"/>
          <w:lang w:eastAsia="es-ES"/>
        </w:rPr>
        <w:t>: su afición a excluirse voluntariamente de las normas que promueve y cuyo cumplimiento a menudo defiende activamente respecto de otros sujetos. De la larga -y creciente- lista de c</w:t>
      </w:r>
      <w:r>
        <w:rPr>
          <w:rFonts w:ascii="Times New Roman" w:eastAsia="Times New Roman" w:hAnsi="Times New Roman" w:cs="Times New Roman"/>
          <w:color w:val="FF0000"/>
          <w:sz w:val="24"/>
          <w:szCs w:val="24"/>
          <w:u w:val="single"/>
          <w:lang w:eastAsia="es-ES"/>
        </w:rPr>
        <w:t>onvenios internacionales que EEUU</w:t>
      </w:r>
      <w:r w:rsidRPr="00DC7370">
        <w:rPr>
          <w:rFonts w:ascii="Times New Roman" w:eastAsia="Times New Roman" w:hAnsi="Times New Roman" w:cs="Times New Roman"/>
          <w:color w:val="FF0000"/>
          <w:sz w:val="24"/>
          <w:szCs w:val="24"/>
          <w:u w:val="single"/>
          <w:lang w:eastAsia="es-ES"/>
        </w:rPr>
        <w:t xml:space="preserve"> no ha ratificado, destacan el Estatuto de Roma de la Corte Penal Internacional, la Convención sobre la Eliminación de todas las Formas de Discriminación contra la Mujer, la Convención de Prohibición de Minas, la Convención sobre los Derechos del Niño y la Convención sobre los Derechos de las Personas con Discapacidad.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DC7370">
        <w:rPr>
          <w:rFonts w:ascii="Times New Roman" w:eastAsia="Times New Roman" w:hAnsi="Times New Roman" w:cs="Times New Roman"/>
          <w:color w:val="FF0000"/>
          <w:sz w:val="24"/>
          <w:szCs w:val="24"/>
          <w:u w:val="single"/>
          <w:lang w:eastAsia="es-ES"/>
        </w:rPr>
        <w:t>Más allá del resentimiento que tal actitud engendra, el exencionalismo estadounidense socava directamente la capacidad de las instituciones multilaterales p</w:t>
      </w:r>
      <w:r>
        <w:rPr>
          <w:rFonts w:ascii="Times New Roman" w:eastAsia="Times New Roman" w:hAnsi="Times New Roman" w:cs="Times New Roman"/>
          <w:color w:val="FF0000"/>
          <w:sz w:val="24"/>
          <w:szCs w:val="24"/>
          <w:u w:val="single"/>
          <w:lang w:eastAsia="es-ES"/>
        </w:rPr>
        <w:t>ara abordar los desafíos que EEUU</w:t>
      </w:r>
      <w:r w:rsidRPr="00DC7370">
        <w:rPr>
          <w:rFonts w:ascii="Times New Roman" w:eastAsia="Times New Roman" w:hAnsi="Times New Roman" w:cs="Times New Roman"/>
          <w:color w:val="FF0000"/>
          <w:sz w:val="24"/>
          <w:szCs w:val="24"/>
          <w:u w:val="single"/>
          <w:lang w:eastAsia="es-ES"/>
        </w:rPr>
        <w:t xml:space="preserve"> no quiere o no</w:t>
      </w:r>
      <w:r>
        <w:rPr>
          <w:rFonts w:ascii="Times New Roman" w:eastAsia="Times New Roman" w:hAnsi="Times New Roman" w:cs="Times New Roman"/>
          <w:color w:val="FF0000"/>
          <w:sz w:val="24"/>
          <w:szCs w:val="24"/>
          <w:u w:val="single"/>
          <w:lang w:eastAsia="es-ES"/>
        </w:rPr>
        <w:t xml:space="preserve"> puede resolver por sí solo. EEUU</w:t>
      </w:r>
      <w:r w:rsidRPr="00DC7370">
        <w:rPr>
          <w:rFonts w:ascii="Times New Roman" w:eastAsia="Times New Roman" w:hAnsi="Times New Roman" w:cs="Times New Roman"/>
          <w:color w:val="FF0000"/>
          <w:sz w:val="24"/>
          <w:szCs w:val="24"/>
          <w:u w:val="single"/>
          <w:lang w:eastAsia="es-ES"/>
        </w:rPr>
        <w:t xml:space="preserve"> no ha ratificado la Convención de las Naciones Unidas sobre el Derecho del Mar, ¿cómo pretende entonces que China respete las normas sobre delimitación de aguas territoriales en sus mares del Este y del Sur?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DC7370">
        <w:rPr>
          <w:rFonts w:ascii="Times New Roman" w:eastAsia="Times New Roman" w:hAnsi="Times New Roman" w:cs="Times New Roman"/>
          <w:color w:val="FF0000"/>
          <w:sz w:val="24"/>
          <w:szCs w:val="24"/>
          <w:u w:val="single"/>
          <w:lang w:eastAsia="es-ES"/>
        </w:rPr>
        <w:t>La administración del presidente Barack Obama ha intentado crear la ilusión de un cambio de rumbo en este</w:t>
      </w:r>
      <w:r>
        <w:rPr>
          <w:rFonts w:ascii="Times New Roman" w:eastAsia="Times New Roman" w:hAnsi="Times New Roman" w:cs="Times New Roman"/>
          <w:color w:val="FF0000"/>
          <w:sz w:val="24"/>
          <w:szCs w:val="24"/>
          <w:u w:val="single"/>
          <w:lang w:eastAsia="es-ES"/>
        </w:rPr>
        <w:t xml:space="preserve"> sentido, promoviendo acuerdos “suaves” que permitan a EEUU</w:t>
      </w:r>
      <w:r w:rsidRPr="00DC7370">
        <w:rPr>
          <w:rFonts w:ascii="Times New Roman" w:eastAsia="Times New Roman" w:hAnsi="Times New Roman" w:cs="Times New Roman"/>
          <w:color w:val="FF0000"/>
          <w:sz w:val="24"/>
          <w:szCs w:val="24"/>
          <w:u w:val="single"/>
          <w:lang w:eastAsia="es-ES"/>
        </w:rPr>
        <w:t xml:space="preserve"> dar la imagen de participar -sin obligarse- en normas vinculantes. Ta</w:t>
      </w:r>
      <w:r>
        <w:rPr>
          <w:rFonts w:ascii="Times New Roman" w:eastAsia="Times New Roman" w:hAnsi="Times New Roman" w:cs="Times New Roman"/>
          <w:color w:val="FF0000"/>
          <w:sz w:val="24"/>
          <w:szCs w:val="24"/>
          <w:u w:val="single"/>
          <w:lang w:eastAsia="es-ES"/>
        </w:rPr>
        <w:t>l fue el caso del tan elogiado “acuerdo de apretón de manos”</w:t>
      </w:r>
      <w:r w:rsidRPr="00DC7370">
        <w:rPr>
          <w:rFonts w:ascii="Times New Roman" w:eastAsia="Times New Roman" w:hAnsi="Times New Roman" w:cs="Times New Roman"/>
          <w:color w:val="FF0000"/>
          <w:sz w:val="24"/>
          <w:szCs w:val="24"/>
          <w:u w:val="single"/>
          <w:lang w:eastAsia="es-ES"/>
        </w:rPr>
        <w:t xml:space="preserve"> entre Obama y el presidente chino, Xi Jinping, del pasado mes de noviembre sobre las emisiones de dióxido de carbono. </w:t>
      </w:r>
    </w:p>
    <w:p w:rsidR="004265B7" w:rsidRPr="006079E6"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6079E6">
        <w:rPr>
          <w:rFonts w:ascii="Times New Roman" w:eastAsia="Times New Roman" w:hAnsi="Times New Roman" w:cs="Times New Roman"/>
          <w:color w:val="000000"/>
          <w:sz w:val="24"/>
          <w:szCs w:val="24"/>
          <w:lang w:eastAsia="es-ES"/>
        </w:rPr>
        <w:t xml:space="preserve">Pero, si bien estos acuerdos dan lugar a grandes titulares, no proporcionan la estabilidad y previsibilidad necesaria para el éxito a largo plazo, porque las reglas estrictas y las instituciones fuertes son esenciales.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Pr>
          <w:rFonts w:ascii="Times New Roman" w:eastAsia="Times New Roman" w:hAnsi="Times New Roman" w:cs="Times New Roman"/>
          <w:color w:val="FF0000"/>
          <w:sz w:val="24"/>
          <w:szCs w:val="24"/>
          <w:u w:val="single"/>
          <w:lang w:eastAsia="es-ES"/>
        </w:rPr>
        <w:t>Si EE</w:t>
      </w:r>
      <w:r w:rsidRPr="00DC7370">
        <w:rPr>
          <w:rFonts w:ascii="Times New Roman" w:eastAsia="Times New Roman" w:hAnsi="Times New Roman" w:cs="Times New Roman"/>
          <w:color w:val="FF0000"/>
          <w:sz w:val="24"/>
          <w:szCs w:val="24"/>
          <w:u w:val="single"/>
          <w:lang w:eastAsia="es-ES"/>
        </w:rPr>
        <w:t>UU</w:t>
      </w:r>
      <w:r>
        <w:rPr>
          <w:rFonts w:ascii="Times New Roman" w:eastAsia="Times New Roman" w:hAnsi="Times New Roman" w:cs="Times New Roman"/>
          <w:color w:val="FF0000"/>
          <w:sz w:val="24"/>
          <w:szCs w:val="24"/>
          <w:u w:val="single"/>
          <w:lang w:eastAsia="es-ES"/>
        </w:rPr>
        <w:t xml:space="preserve"> aspira a convertirse en el “socio indispensable”</w:t>
      </w:r>
      <w:r w:rsidRPr="00DC7370">
        <w:rPr>
          <w:rFonts w:ascii="Times New Roman" w:eastAsia="Times New Roman" w:hAnsi="Times New Roman" w:cs="Times New Roman"/>
          <w:color w:val="FF0000"/>
          <w:sz w:val="24"/>
          <w:szCs w:val="24"/>
          <w:u w:val="single"/>
          <w:lang w:eastAsia="es-ES"/>
        </w:rPr>
        <w:t xml:space="preserve">, debe comprometerse de nuevo con el orden basado en reglas que tan buenos resultados ha dado al mundo y en particular a éste país durante las últimas siete décadas, y comenzar a fortalecer las instituciones que han constituido la columna vertebral del orden internacional liberal.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Pr>
          <w:rFonts w:ascii="Times New Roman" w:eastAsia="Times New Roman" w:hAnsi="Times New Roman" w:cs="Times New Roman"/>
          <w:color w:val="000000"/>
          <w:sz w:val="24"/>
          <w:szCs w:val="24"/>
          <w:u w:val="single"/>
          <w:lang w:eastAsia="es-ES"/>
        </w:rPr>
        <w:t>En concreto, EEUU</w:t>
      </w:r>
      <w:r w:rsidRPr="00DC7370">
        <w:rPr>
          <w:rFonts w:ascii="Times New Roman" w:eastAsia="Times New Roman" w:hAnsi="Times New Roman" w:cs="Times New Roman"/>
          <w:color w:val="000000"/>
          <w:sz w:val="24"/>
          <w:szCs w:val="24"/>
          <w:u w:val="single"/>
          <w:lang w:eastAsia="es-ES"/>
        </w:rPr>
        <w:t xml:space="preserve"> debería aprobar finalmente el paquete de reformas del Fondo Monetario Internacional acordado en 2010, al tiempo que promover un avance real en la conferencia de revisión del Tratado de No Proliferación prevista para mayo, y no escatimar esfuerzos para que la Conferencia de las Partes de la Convención Marco de las Naciones Unidas sobre el Cambio Climático del próximo diciembre produzca acuerdos vinculantes. </w:t>
      </w:r>
    </w:p>
    <w:p w:rsidR="004265B7" w:rsidRPr="00DC7370"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6079E6">
        <w:rPr>
          <w:rFonts w:ascii="Times New Roman" w:eastAsia="Times New Roman" w:hAnsi="Times New Roman" w:cs="Times New Roman"/>
          <w:color w:val="000000"/>
          <w:sz w:val="24"/>
          <w:szCs w:val="24"/>
          <w:lang w:eastAsia="es-ES"/>
        </w:rPr>
        <w:t xml:space="preserve">Una asociación indispensable supone ayudar a los países a que se ayuden a sí mismos. Requiere visión, compromiso, y, lo que es aún más importante, liderazgo. </w:t>
      </w:r>
      <w:r w:rsidRPr="00DC7370">
        <w:rPr>
          <w:rFonts w:ascii="Times New Roman" w:eastAsia="Times New Roman" w:hAnsi="Times New Roman" w:cs="Times New Roman"/>
          <w:color w:val="000000"/>
          <w:sz w:val="24"/>
          <w:szCs w:val="24"/>
          <w:u w:val="single"/>
          <w:lang w:eastAsia="es-ES"/>
        </w:rPr>
        <w:t xml:space="preserve">Una discusión </w:t>
      </w:r>
      <w:r w:rsidRPr="00DC7370">
        <w:rPr>
          <w:rFonts w:ascii="Times New Roman" w:eastAsia="Times New Roman" w:hAnsi="Times New Roman" w:cs="Times New Roman"/>
          <w:color w:val="000000"/>
          <w:sz w:val="24"/>
          <w:szCs w:val="24"/>
          <w:u w:val="single"/>
          <w:lang w:eastAsia="es-ES"/>
        </w:rPr>
        <w:lastRenderedPageBreak/>
        <w:t>sincera s</w:t>
      </w:r>
      <w:r>
        <w:rPr>
          <w:rFonts w:ascii="Times New Roman" w:eastAsia="Times New Roman" w:hAnsi="Times New Roman" w:cs="Times New Roman"/>
          <w:color w:val="000000"/>
          <w:sz w:val="24"/>
          <w:szCs w:val="24"/>
          <w:u w:val="single"/>
          <w:lang w:eastAsia="es-ES"/>
        </w:rPr>
        <w:t>obre la política exterior de EEUU</w:t>
      </w:r>
      <w:r w:rsidRPr="00DC7370">
        <w:rPr>
          <w:rFonts w:ascii="Times New Roman" w:eastAsia="Times New Roman" w:hAnsi="Times New Roman" w:cs="Times New Roman"/>
          <w:color w:val="000000"/>
          <w:sz w:val="24"/>
          <w:szCs w:val="24"/>
          <w:u w:val="single"/>
          <w:lang w:eastAsia="es-ES"/>
        </w:rPr>
        <w:t xml:space="preserve"> result</w:t>
      </w:r>
      <w:r>
        <w:rPr>
          <w:rFonts w:ascii="Times New Roman" w:eastAsia="Times New Roman" w:hAnsi="Times New Roman" w:cs="Times New Roman"/>
          <w:color w:val="000000"/>
          <w:sz w:val="24"/>
          <w:szCs w:val="24"/>
          <w:u w:val="single"/>
          <w:lang w:eastAsia="es-ES"/>
        </w:rPr>
        <w:t>a vital para asegurar que esta “Ciudad en la colina”</w:t>
      </w:r>
      <w:r w:rsidRPr="00DC7370">
        <w:rPr>
          <w:rFonts w:ascii="Times New Roman" w:eastAsia="Times New Roman" w:hAnsi="Times New Roman" w:cs="Times New Roman"/>
          <w:color w:val="000000"/>
          <w:sz w:val="24"/>
          <w:szCs w:val="24"/>
          <w:u w:val="single"/>
          <w:lang w:eastAsia="es-ES"/>
        </w:rPr>
        <w:t xml:space="preserve"> siga siendo un faro de esperanza y un catalizador de progreso. </w:t>
      </w:r>
    </w:p>
    <w:p w:rsidR="004265B7" w:rsidRPr="006079E6" w:rsidRDefault="004265B7" w:rsidP="004265B7">
      <w:pPr>
        <w:shd w:val="clear" w:color="auto" w:fill="FFFFFF"/>
        <w:spacing w:after="360" w:line="240" w:lineRule="auto"/>
        <w:jc w:val="both"/>
        <w:rPr>
          <w:rFonts w:ascii="Times New Roman" w:eastAsia="Times New Roman" w:hAnsi="Times New Roman" w:cs="Times New Roman"/>
          <w:color w:val="000000"/>
          <w:sz w:val="24"/>
          <w:szCs w:val="24"/>
          <w:lang w:val="en-US" w:eastAsia="es-ES"/>
        </w:rPr>
      </w:pPr>
      <w:r>
        <w:rPr>
          <w:rFonts w:ascii="Times New Roman" w:eastAsia="Times New Roman" w:hAnsi="Times New Roman" w:cs="Times New Roman"/>
          <w:color w:val="000000"/>
          <w:sz w:val="24"/>
          <w:szCs w:val="24"/>
          <w:lang w:val="en-US" w:eastAsia="es-ES"/>
        </w:rPr>
        <w:t>(</w:t>
      </w:r>
      <w:r w:rsidRPr="006079E6">
        <w:rPr>
          <w:rFonts w:ascii="Times New Roman" w:eastAsia="Times New Roman" w:hAnsi="Times New Roman" w:cs="Times New Roman"/>
          <w:color w:val="000000"/>
          <w:sz w:val="24"/>
          <w:szCs w:val="24"/>
          <w:lang w:val="en-US" w:eastAsia="es-ES"/>
        </w:rPr>
        <w:t>Ana Palacio, a former Spanish foreign minister and former Senior Vice President of the World Bank, is a member of the Spanish Council of State, a visiting lecturer at Georgetown University, and a member of the World Economic Forum's Global Agen</w:t>
      </w:r>
      <w:r>
        <w:rPr>
          <w:rFonts w:ascii="Times New Roman" w:eastAsia="Times New Roman" w:hAnsi="Times New Roman" w:cs="Times New Roman"/>
          <w:color w:val="000000"/>
          <w:sz w:val="24"/>
          <w:szCs w:val="24"/>
          <w:lang w:val="en-US" w:eastAsia="es-ES"/>
        </w:rPr>
        <w:t>da Council on the United States)</w:t>
      </w:r>
    </w:p>
    <w:p w:rsidR="004265B7" w:rsidRDefault="004265B7" w:rsidP="004265B7">
      <w:pPr>
        <w:spacing w:line="240" w:lineRule="auto"/>
        <w:jc w:val="both"/>
        <w:rPr>
          <w:rFonts w:ascii="Times New Roman" w:hAnsi="Times New Roman" w:cs="Times New Roman"/>
          <w:b/>
          <w:sz w:val="24"/>
          <w:szCs w:val="24"/>
        </w:rPr>
      </w:pPr>
      <w:r>
        <w:rPr>
          <w:rFonts w:ascii="Times New Roman" w:hAnsi="Times New Roman" w:cs="Times New Roman"/>
          <w:b/>
          <w:sz w:val="24"/>
          <w:szCs w:val="24"/>
        </w:rPr>
        <w:t>Si fuera</w:t>
      </w:r>
      <w:r w:rsidRPr="00FB44E5">
        <w:rPr>
          <w:rFonts w:ascii="Times New Roman" w:hAnsi="Times New Roman" w:cs="Times New Roman"/>
          <w:b/>
          <w:sz w:val="24"/>
          <w:szCs w:val="24"/>
        </w:rPr>
        <w:t xml:space="preserve"> así</w:t>
      </w:r>
      <w:r>
        <w:rPr>
          <w:rFonts w:ascii="Times New Roman" w:hAnsi="Times New Roman" w:cs="Times New Roman"/>
          <w:b/>
          <w:sz w:val="24"/>
          <w:szCs w:val="24"/>
        </w:rPr>
        <w:t>…</w:t>
      </w:r>
      <w:r w:rsidRPr="00FB44E5">
        <w:rPr>
          <w:rFonts w:ascii="Times New Roman" w:hAnsi="Times New Roman" w:cs="Times New Roman"/>
          <w:b/>
          <w:sz w:val="24"/>
          <w:szCs w:val="24"/>
        </w:rPr>
        <w:t xml:space="preserve"> </w:t>
      </w:r>
      <w:r>
        <w:rPr>
          <w:rFonts w:ascii="Times New Roman" w:hAnsi="Times New Roman" w:cs="Times New Roman"/>
          <w:b/>
          <w:sz w:val="24"/>
          <w:szCs w:val="24"/>
        </w:rPr>
        <w:t xml:space="preserve">que lo digan alto y claro (dispuestos a honrar el </w:t>
      </w:r>
      <w:r w:rsidR="00B96388">
        <w:rPr>
          <w:rFonts w:ascii="Times New Roman" w:hAnsi="Times New Roman" w:cs="Times New Roman"/>
          <w:b/>
          <w:sz w:val="24"/>
          <w:szCs w:val="24"/>
        </w:rPr>
        <w:t>“</w:t>
      </w:r>
      <w:r>
        <w:rPr>
          <w:rFonts w:ascii="Times New Roman" w:hAnsi="Times New Roman" w:cs="Times New Roman"/>
          <w:b/>
          <w:sz w:val="24"/>
          <w:szCs w:val="24"/>
        </w:rPr>
        <w:t>affectio societatis</w:t>
      </w:r>
      <w:r w:rsidR="00B96388">
        <w:rPr>
          <w:rFonts w:ascii="Times New Roman" w:hAnsi="Times New Roman" w:cs="Times New Roman"/>
          <w:b/>
          <w:sz w:val="24"/>
          <w:szCs w:val="24"/>
        </w:rPr>
        <w:t>”</w:t>
      </w:r>
      <w:r>
        <w:rPr>
          <w:rFonts w:ascii="Times New Roman" w:hAnsi="Times New Roman" w:cs="Times New Roman"/>
          <w:b/>
          <w:sz w:val="24"/>
          <w:szCs w:val="24"/>
        </w:rPr>
        <w:t>)</w:t>
      </w:r>
    </w:p>
    <w:p w:rsidR="004265B7" w:rsidRDefault="004265B7" w:rsidP="004265B7">
      <w:pPr>
        <w:spacing w:line="240" w:lineRule="auto"/>
        <w:jc w:val="both"/>
        <w:rPr>
          <w:rFonts w:ascii="Times New Roman" w:hAnsi="Times New Roman" w:cs="Times New Roman"/>
          <w:sz w:val="24"/>
          <w:szCs w:val="24"/>
        </w:rPr>
      </w:pPr>
      <w:r>
        <w:rPr>
          <w:rFonts w:ascii="Times New Roman" w:hAnsi="Times New Roman" w:cs="Times New Roman"/>
          <w:sz w:val="24"/>
          <w:szCs w:val="24"/>
        </w:rPr>
        <w:t>De resultar auténtico</w:t>
      </w:r>
      <w:r w:rsidRPr="00E618C3">
        <w:rPr>
          <w:rFonts w:ascii="Times New Roman" w:hAnsi="Times New Roman" w:cs="Times New Roman"/>
          <w:sz w:val="24"/>
          <w:szCs w:val="24"/>
        </w:rPr>
        <w:t xml:space="preserve"> lo del “socio indispensable”</w:t>
      </w:r>
      <w:r>
        <w:rPr>
          <w:rFonts w:ascii="Times New Roman" w:hAnsi="Times New Roman" w:cs="Times New Roman"/>
          <w:sz w:val="24"/>
          <w:szCs w:val="24"/>
        </w:rPr>
        <w:t xml:space="preserve"> (EEUU + UE vs. China), “el poder indispensable” (EEUU) debería estar decidido a hacer los mayores sacrificios (al costo de los factores) para “interesar” a su principal asociado (UE), en el proyecto.</w:t>
      </w:r>
    </w:p>
    <w:p w:rsidR="004265B7" w:rsidRDefault="004265B7" w:rsidP="004265B7">
      <w:pPr>
        <w:spacing w:line="240" w:lineRule="auto"/>
        <w:jc w:val="both"/>
        <w:rPr>
          <w:rFonts w:ascii="Times New Roman" w:hAnsi="Times New Roman" w:cs="Times New Roman"/>
          <w:sz w:val="24"/>
          <w:szCs w:val="24"/>
        </w:rPr>
      </w:pPr>
      <w:r>
        <w:rPr>
          <w:rFonts w:ascii="Times New Roman" w:hAnsi="Times New Roman" w:cs="Times New Roman"/>
          <w:sz w:val="24"/>
          <w:szCs w:val="24"/>
        </w:rPr>
        <w:t>Si fuera cierto lo de la “OT</w:t>
      </w:r>
      <w:r w:rsidR="00620BCB">
        <w:rPr>
          <w:rFonts w:ascii="Times New Roman" w:hAnsi="Times New Roman" w:cs="Times New Roman"/>
          <w:sz w:val="24"/>
          <w:szCs w:val="24"/>
        </w:rPr>
        <w:t>AN Económica”, EEUU debería</w:t>
      </w:r>
      <w:r w:rsidR="008C309C">
        <w:rPr>
          <w:rFonts w:ascii="Times New Roman" w:hAnsi="Times New Roman" w:cs="Times New Roman"/>
          <w:sz w:val="24"/>
          <w:szCs w:val="24"/>
        </w:rPr>
        <w:t xml:space="preserve"> facilitar el “quid pro quo”</w:t>
      </w:r>
      <w:r>
        <w:rPr>
          <w:rFonts w:ascii="Times New Roman" w:hAnsi="Times New Roman" w:cs="Times New Roman"/>
          <w:sz w:val="24"/>
          <w:szCs w:val="24"/>
        </w:rPr>
        <w:t>.</w:t>
      </w:r>
    </w:p>
    <w:p w:rsidR="004265B7" w:rsidRDefault="004265B7" w:rsidP="004265B7">
      <w:pPr>
        <w:spacing w:line="240" w:lineRule="auto"/>
        <w:jc w:val="both"/>
        <w:rPr>
          <w:rFonts w:ascii="Times New Roman" w:hAnsi="Times New Roman" w:cs="Times New Roman"/>
          <w:sz w:val="24"/>
          <w:szCs w:val="24"/>
        </w:rPr>
      </w:pPr>
      <w:r>
        <w:rPr>
          <w:rFonts w:ascii="Times New Roman" w:hAnsi="Times New Roman" w:cs="Times New Roman"/>
          <w:sz w:val="24"/>
          <w:szCs w:val="24"/>
        </w:rPr>
        <w:t>Si quisieran asegura</w:t>
      </w:r>
      <w:r w:rsidR="00620BCB">
        <w:rPr>
          <w:rFonts w:ascii="Times New Roman" w:hAnsi="Times New Roman" w:cs="Times New Roman"/>
          <w:sz w:val="24"/>
          <w:szCs w:val="24"/>
        </w:rPr>
        <w:t>r la “Ciudad en la colina”, E</w:t>
      </w:r>
      <w:r w:rsidR="008C309C">
        <w:rPr>
          <w:rFonts w:ascii="Times New Roman" w:hAnsi="Times New Roman" w:cs="Times New Roman"/>
          <w:sz w:val="24"/>
          <w:szCs w:val="24"/>
        </w:rPr>
        <w:t>EUU debería aclarar el “cui prodest”</w:t>
      </w:r>
      <w:r>
        <w:rPr>
          <w:rFonts w:ascii="Times New Roman" w:hAnsi="Times New Roman" w:cs="Times New Roman"/>
          <w:sz w:val="24"/>
          <w:szCs w:val="24"/>
        </w:rPr>
        <w:t>.</w:t>
      </w:r>
    </w:p>
    <w:p w:rsidR="004265B7" w:rsidRDefault="004265B7" w:rsidP="004265B7">
      <w:pPr>
        <w:spacing w:line="240" w:lineRule="auto"/>
        <w:jc w:val="both"/>
        <w:rPr>
          <w:rFonts w:ascii="Times New Roman" w:hAnsi="Times New Roman" w:cs="Times New Roman"/>
          <w:sz w:val="24"/>
          <w:szCs w:val="24"/>
        </w:rPr>
      </w:pPr>
      <w:r w:rsidRPr="00563A11">
        <w:rPr>
          <w:rFonts w:ascii="Times New Roman" w:hAnsi="Times New Roman" w:cs="Times New Roman"/>
          <w:b/>
          <w:sz w:val="24"/>
          <w:szCs w:val="24"/>
        </w:rPr>
        <w:t>Y yo, que sigo sin creerlo</w:t>
      </w:r>
      <w:r>
        <w:rPr>
          <w:rFonts w:ascii="Times New Roman" w:hAnsi="Times New Roman" w:cs="Times New Roman"/>
          <w:sz w:val="24"/>
          <w:szCs w:val="24"/>
        </w:rPr>
        <w:t>… espero que no me acusen de “neofobia”, si sostengo</w:t>
      </w:r>
      <w:r w:rsidR="008C309C">
        <w:rPr>
          <w:rFonts w:ascii="Times New Roman" w:hAnsi="Times New Roman" w:cs="Times New Roman"/>
          <w:sz w:val="24"/>
          <w:szCs w:val="24"/>
        </w:rPr>
        <w:t>,</w:t>
      </w:r>
      <w:r>
        <w:rPr>
          <w:rFonts w:ascii="Times New Roman" w:hAnsi="Times New Roman" w:cs="Times New Roman"/>
          <w:sz w:val="24"/>
          <w:szCs w:val="24"/>
        </w:rPr>
        <w:t xml:space="preserve"> que USA continuará privilegiando al área</w:t>
      </w:r>
      <w:r w:rsidR="00B96388">
        <w:rPr>
          <w:rFonts w:ascii="Times New Roman" w:hAnsi="Times New Roman" w:cs="Times New Roman"/>
          <w:sz w:val="24"/>
          <w:szCs w:val="24"/>
        </w:rPr>
        <w:t xml:space="preserve"> del</w:t>
      </w:r>
      <w:r>
        <w:rPr>
          <w:rFonts w:ascii="Times New Roman" w:hAnsi="Times New Roman" w:cs="Times New Roman"/>
          <w:sz w:val="24"/>
          <w:szCs w:val="24"/>
        </w:rPr>
        <w:t xml:space="preserve"> Pacífico (salvo en el caso de UK, su </w:t>
      </w:r>
      <w:r w:rsidR="00620BCB">
        <w:rPr>
          <w:rFonts w:ascii="Times New Roman" w:hAnsi="Times New Roman" w:cs="Times New Roman"/>
          <w:sz w:val="24"/>
          <w:szCs w:val="24"/>
        </w:rPr>
        <w:t>“aliado” en la UE), y propongo</w:t>
      </w:r>
      <w:r w:rsidR="008C309C">
        <w:rPr>
          <w:rFonts w:ascii="Times New Roman" w:hAnsi="Times New Roman" w:cs="Times New Roman"/>
          <w:sz w:val="24"/>
          <w:szCs w:val="24"/>
        </w:rPr>
        <w:t>, que la UE se oriente</w:t>
      </w:r>
      <w:r>
        <w:rPr>
          <w:rFonts w:ascii="Times New Roman" w:hAnsi="Times New Roman" w:cs="Times New Roman"/>
          <w:sz w:val="24"/>
          <w:szCs w:val="24"/>
        </w:rPr>
        <w:t xml:space="preserve"> hacia Rusia, Turquía, América Latina y tal vez, África. USA no puede abandonar a su principal proveedor y prestamista (China).</w:t>
      </w:r>
      <w:r w:rsidR="008C309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4265B7" w:rsidRDefault="004265B7" w:rsidP="004265B7">
      <w:pPr>
        <w:spacing w:line="240" w:lineRule="auto"/>
        <w:jc w:val="both"/>
        <w:rPr>
          <w:rFonts w:ascii="Times New Roman" w:hAnsi="Times New Roman" w:cs="Times New Roman"/>
          <w:sz w:val="24"/>
          <w:szCs w:val="24"/>
        </w:rPr>
      </w:pPr>
      <w:r>
        <w:rPr>
          <w:rFonts w:ascii="Times New Roman" w:hAnsi="Times New Roman" w:cs="Times New Roman"/>
          <w:sz w:val="24"/>
          <w:szCs w:val="24"/>
        </w:rPr>
        <w:t>Los que han leído mi Paper anterior (</w:t>
      </w:r>
      <w:r w:rsidRPr="003C794E">
        <w:rPr>
          <w:rFonts w:ascii="Times New Roman" w:hAnsi="Times New Roman" w:cs="Times New Roman"/>
          <w:b/>
          <w:sz w:val="24"/>
          <w:szCs w:val="24"/>
        </w:rPr>
        <w:t>Europa pierde la III Guerra</w:t>
      </w:r>
      <w:r>
        <w:rPr>
          <w:rFonts w:ascii="Times New Roman" w:hAnsi="Times New Roman" w:cs="Times New Roman"/>
          <w:b/>
          <w:sz w:val="24"/>
          <w:szCs w:val="24"/>
        </w:rPr>
        <w:t xml:space="preserve"> Mundial (una batalla económico-financiera</w:t>
      </w:r>
      <w:r w:rsidRPr="003C794E">
        <w:rPr>
          <w:rFonts w:ascii="Times New Roman" w:hAnsi="Times New Roman" w:cs="Times New Roman"/>
          <w:b/>
          <w:sz w:val="24"/>
          <w:szCs w:val="24"/>
        </w:rPr>
        <w:t>)</w:t>
      </w:r>
      <w:r>
        <w:rPr>
          <w:rFonts w:ascii="Times New Roman" w:hAnsi="Times New Roman" w:cs="Times New Roman"/>
          <w:b/>
          <w:sz w:val="24"/>
          <w:szCs w:val="24"/>
        </w:rPr>
        <w:t xml:space="preserve">, </w:t>
      </w:r>
      <w:r w:rsidRPr="00BA51AB">
        <w:rPr>
          <w:rFonts w:ascii="Times New Roman" w:hAnsi="Times New Roman" w:cs="Times New Roman"/>
          <w:sz w:val="24"/>
          <w:szCs w:val="24"/>
        </w:rPr>
        <w:t>recordar</w:t>
      </w:r>
      <w:r>
        <w:rPr>
          <w:rFonts w:ascii="Times New Roman" w:hAnsi="Times New Roman" w:cs="Times New Roman"/>
          <w:sz w:val="24"/>
          <w:szCs w:val="24"/>
        </w:rPr>
        <w:t>á</w:t>
      </w:r>
      <w:r w:rsidRPr="00BA51AB">
        <w:rPr>
          <w:rFonts w:ascii="Times New Roman" w:hAnsi="Times New Roman" w:cs="Times New Roman"/>
          <w:sz w:val="24"/>
          <w:szCs w:val="24"/>
        </w:rPr>
        <w:t>n estos párrafos:</w:t>
      </w:r>
    </w:p>
    <w:p w:rsidR="004265B7" w:rsidRDefault="004265B7" w:rsidP="004265B7">
      <w:pPr>
        <w:spacing w:before="100" w:beforeAutospacing="1" w:after="100" w:afterAutospacing="1" w:line="240" w:lineRule="auto"/>
        <w:jc w:val="both"/>
        <w:rPr>
          <w:rFonts w:ascii="Times New Roman" w:hAnsi="Times New Roman" w:cs="Times New Roman"/>
          <w:b/>
          <w:sz w:val="24"/>
          <w:szCs w:val="24"/>
        </w:rPr>
      </w:pPr>
      <w:r w:rsidRPr="00443BB5">
        <w:rPr>
          <w:rFonts w:ascii="Times New Roman" w:hAnsi="Times New Roman" w:cs="Times New Roman"/>
          <w:b/>
          <w:sz w:val="24"/>
          <w:szCs w:val="24"/>
        </w:rPr>
        <w:t xml:space="preserve">- </w:t>
      </w:r>
      <w:r>
        <w:rPr>
          <w:rFonts w:ascii="Times New Roman" w:hAnsi="Times New Roman" w:cs="Times New Roman"/>
          <w:b/>
          <w:sz w:val="24"/>
          <w:szCs w:val="24"/>
        </w:rPr>
        <w:t>La “tanguedia” europea: “Cuesta abajo” - l</w:t>
      </w:r>
      <w:r w:rsidRPr="00443BB5">
        <w:rPr>
          <w:rFonts w:ascii="Times New Roman" w:hAnsi="Times New Roman" w:cs="Times New Roman"/>
          <w:b/>
          <w:sz w:val="24"/>
          <w:szCs w:val="24"/>
        </w:rPr>
        <w:t>a vergüenza de haber sido y el dolor de ya no ser</w:t>
      </w:r>
      <w:r>
        <w:rPr>
          <w:rFonts w:ascii="Times New Roman" w:hAnsi="Times New Roman" w:cs="Times New Roman"/>
          <w:b/>
          <w:sz w:val="24"/>
          <w:szCs w:val="24"/>
        </w:rPr>
        <w:t xml:space="preserve"> (entre el Síndrome de Estocolmo y el Complejo de Saturno)</w:t>
      </w:r>
    </w:p>
    <w:p w:rsidR="004265B7" w:rsidRDefault="004265B7" w:rsidP="004265B7">
      <w:pPr>
        <w:spacing w:before="100" w:beforeAutospacing="1" w:after="100" w:afterAutospacing="1" w:line="240" w:lineRule="auto"/>
        <w:jc w:val="both"/>
        <w:rPr>
          <w:rFonts w:ascii="Times New Roman" w:hAnsi="Times New Roman" w:cs="Times New Roman"/>
          <w:sz w:val="24"/>
          <w:szCs w:val="24"/>
        </w:rPr>
      </w:pPr>
      <w:r w:rsidRPr="000B0587">
        <w:rPr>
          <w:rFonts w:ascii="Times New Roman" w:hAnsi="Times New Roman" w:cs="Times New Roman"/>
          <w:sz w:val="24"/>
          <w:szCs w:val="24"/>
        </w:rPr>
        <w:t xml:space="preserve">El </w:t>
      </w:r>
      <w:r w:rsidRPr="000B0587">
        <w:rPr>
          <w:rFonts w:ascii="Times New Roman" w:hAnsi="Times New Roman" w:cs="Times New Roman"/>
          <w:b/>
          <w:sz w:val="24"/>
          <w:szCs w:val="24"/>
        </w:rPr>
        <w:t>síndrome de Estocolmo</w:t>
      </w:r>
      <w:r w:rsidRPr="000B0587">
        <w:rPr>
          <w:rFonts w:ascii="Times New Roman" w:hAnsi="Times New Roman" w:cs="Times New Roman"/>
          <w:sz w:val="24"/>
          <w:szCs w:val="24"/>
        </w:rPr>
        <w:t xml:space="preserve"> se refiere a un grupo de síntomas psicológicos que se producen en algunas personas en cautiverio </w:t>
      </w:r>
      <w:r>
        <w:rPr>
          <w:rFonts w:ascii="Times New Roman" w:hAnsi="Times New Roman" w:cs="Times New Roman"/>
          <w:sz w:val="24"/>
          <w:szCs w:val="24"/>
        </w:rPr>
        <w:t>o situación de los rehenes. H</w:t>
      </w:r>
      <w:r w:rsidRPr="000B0587">
        <w:rPr>
          <w:rFonts w:ascii="Times New Roman" w:hAnsi="Times New Roman" w:cs="Times New Roman"/>
          <w:sz w:val="24"/>
          <w:szCs w:val="24"/>
        </w:rPr>
        <w:t>a recibido una publicidad considerable de los medios en los últimos años, ya que se ha utilizado para exp</w:t>
      </w:r>
      <w:r>
        <w:rPr>
          <w:rFonts w:ascii="Times New Roman" w:hAnsi="Times New Roman" w:cs="Times New Roman"/>
          <w:sz w:val="24"/>
          <w:szCs w:val="24"/>
        </w:rPr>
        <w:t>licar el comportamiento de las</w:t>
      </w:r>
      <w:r w:rsidRPr="000B0587">
        <w:rPr>
          <w:rFonts w:ascii="Times New Roman" w:hAnsi="Times New Roman" w:cs="Times New Roman"/>
          <w:sz w:val="24"/>
          <w:szCs w:val="24"/>
        </w:rPr>
        <w:t xml:space="preserve"> víctimas de</w:t>
      </w:r>
      <w:r>
        <w:rPr>
          <w:rFonts w:ascii="Times New Roman" w:hAnsi="Times New Roman" w:cs="Times New Roman"/>
          <w:sz w:val="24"/>
          <w:szCs w:val="24"/>
        </w:rPr>
        <w:t xml:space="preserve"> algunos</w:t>
      </w:r>
      <w:r w:rsidRPr="000B0587">
        <w:rPr>
          <w:rFonts w:ascii="Times New Roman" w:hAnsi="Times New Roman" w:cs="Times New Roman"/>
          <w:sz w:val="24"/>
          <w:szCs w:val="24"/>
        </w:rPr>
        <w:t xml:space="preserve"> secuestro</w:t>
      </w:r>
      <w:r>
        <w:rPr>
          <w:rFonts w:ascii="Times New Roman" w:hAnsi="Times New Roman" w:cs="Times New Roman"/>
          <w:sz w:val="24"/>
          <w:szCs w:val="24"/>
        </w:rPr>
        <w:t>s</w:t>
      </w:r>
      <w:r w:rsidRPr="000B0587">
        <w:rPr>
          <w:rFonts w:ascii="Times New Roman" w:hAnsi="Times New Roman" w:cs="Times New Roman"/>
          <w:sz w:val="24"/>
          <w:szCs w:val="24"/>
        </w:rPr>
        <w:t xml:space="preserve"> conocidos como Patty Hearst (1974) y Elizabeth Smart (2002). El término toma su nombre de un atraco a un banco en Estocolmo, Suecia, en agosto de 1973. El ladrón tomó cuatro empleados del banco (tres mujeres y un hombre) en la caja fuerte con él y los mantuvo como rehene</w:t>
      </w:r>
      <w:r>
        <w:rPr>
          <w:rFonts w:ascii="Times New Roman" w:hAnsi="Times New Roman" w:cs="Times New Roman"/>
          <w:sz w:val="24"/>
          <w:szCs w:val="24"/>
        </w:rPr>
        <w:t>s durante 131 horas. Después que los empleados fuera</w:t>
      </w:r>
      <w:r w:rsidRPr="000B0587">
        <w:rPr>
          <w:rFonts w:ascii="Times New Roman" w:hAnsi="Times New Roman" w:cs="Times New Roman"/>
          <w:sz w:val="24"/>
          <w:szCs w:val="24"/>
        </w:rPr>
        <w:t>n puest</w:t>
      </w:r>
      <w:r>
        <w:rPr>
          <w:rFonts w:ascii="Times New Roman" w:hAnsi="Times New Roman" w:cs="Times New Roman"/>
          <w:sz w:val="24"/>
          <w:szCs w:val="24"/>
        </w:rPr>
        <w:t xml:space="preserve">os en libertad, </w:t>
      </w:r>
      <w:r w:rsidRPr="000B0587">
        <w:rPr>
          <w:rFonts w:ascii="Times New Roman" w:hAnsi="Times New Roman" w:cs="Times New Roman"/>
          <w:sz w:val="24"/>
          <w:szCs w:val="24"/>
        </w:rPr>
        <w:t xml:space="preserve">parecían haber formado un vínculo </w:t>
      </w:r>
      <w:r>
        <w:rPr>
          <w:rFonts w:ascii="Times New Roman" w:hAnsi="Times New Roman" w:cs="Times New Roman"/>
          <w:sz w:val="24"/>
          <w:szCs w:val="24"/>
        </w:rPr>
        <w:t xml:space="preserve">emocional con su </w:t>
      </w:r>
      <w:r w:rsidRPr="000B0587">
        <w:rPr>
          <w:rFonts w:ascii="Times New Roman" w:hAnsi="Times New Roman" w:cs="Times New Roman"/>
          <w:sz w:val="24"/>
          <w:szCs w:val="24"/>
        </w:rPr>
        <w:t>captor, que dijo a los periodistas que vieron a la pol</w:t>
      </w:r>
      <w:r>
        <w:rPr>
          <w:rFonts w:ascii="Times New Roman" w:hAnsi="Times New Roman" w:cs="Times New Roman"/>
          <w:sz w:val="24"/>
          <w:szCs w:val="24"/>
        </w:rPr>
        <w:t>icía como su enemigo en vez de a</w:t>
      </w:r>
      <w:r w:rsidRPr="000B0587">
        <w:rPr>
          <w:rFonts w:ascii="Times New Roman" w:hAnsi="Times New Roman" w:cs="Times New Roman"/>
          <w:sz w:val="24"/>
          <w:szCs w:val="24"/>
        </w:rPr>
        <w:t>l ladrón de bancos, y que no tenían senti</w:t>
      </w:r>
      <w:r>
        <w:rPr>
          <w:rFonts w:ascii="Times New Roman" w:hAnsi="Times New Roman" w:cs="Times New Roman"/>
          <w:sz w:val="24"/>
          <w:szCs w:val="24"/>
        </w:rPr>
        <w:t>mientos positivos hacia su penalización</w:t>
      </w:r>
      <w:r w:rsidRPr="000B0587">
        <w:rPr>
          <w:rFonts w:ascii="Times New Roman" w:hAnsi="Times New Roman" w:cs="Times New Roman"/>
          <w:sz w:val="24"/>
          <w:szCs w:val="24"/>
        </w:rPr>
        <w:t>. El síndrome fue nombrado por primera vez por Nils Bejerot (1921-1988), profeso</w:t>
      </w:r>
      <w:r>
        <w:rPr>
          <w:rFonts w:ascii="Times New Roman" w:hAnsi="Times New Roman" w:cs="Times New Roman"/>
          <w:sz w:val="24"/>
          <w:szCs w:val="24"/>
        </w:rPr>
        <w:t>r de medicina que se especializó</w:t>
      </w:r>
      <w:r w:rsidRPr="000B0587">
        <w:rPr>
          <w:rFonts w:ascii="Times New Roman" w:hAnsi="Times New Roman" w:cs="Times New Roman"/>
          <w:sz w:val="24"/>
          <w:szCs w:val="24"/>
        </w:rPr>
        <w:t xml:space="preserve"> en la investigación de la adicción y se desempeñó como consultor psiquiátrico de la policía sueca durante el enfrentamiento en el banco. Síndrome </w:t>
      </w:r>
      <w:r>
        <w:rPr>
          <w:rFonts w:ascii="Times New Roman" w:hAnsi="Times New Roman" w:cs="Times New Roman"/>
          <w:sz w:val="24"/>
          <w:szCs w:val="24"/>
        </w:rPr>
        <w:t>de Estocolmo es también conocido</w:t>
      </w:r>
      <w:r w:rsidRPr="000B0587">
        <w:rPr>
          <w:rFonts w:ascii="Times New Roman" w:hAnsi="Times New Roman" w:cs="Times New Roman"/>
          <w:sz w:val="24"/>
          <w:szCs w:val="24"/>
        </w:rPr>
        <w:t xml:space="preserve"> como Síndrome de S</w:t>
      </w:r>
      <w:r>
        <w:rPr>
          <w:rFonts w:ascii="Times New Roman" w:hAnsi="Times New Roman" w:cs="Times New Roman"/>
          <w:sz w:val="24"/>
          <w:szCs w:val="24"/>
        </w:rPr>
        <w:t>upervivencia de identificación…</w:t>
      </w:r>
    </w:p>
    <w:p w:rsidR="004265B7" w:rsidRDefault="004265B7" w:rsidP="004265B7">
      <w:pPr>
        <w:spacing w:before="100" w:beforeAutospacing="1" w:after="100" w:afterAutospacing="1" w:line="240" w:lineRule="auto"/>
        <w:jc w:val="both"/>
        <w:rPr>
          <w:rFonts w:ascii="Times New Roman" w:hAnsi="Times New Roman" w:cs="Times New Roman"/>
          <w:sz w:val="24"/>
          <w:szCs w:val="24"/>
        </w:rPr>
      </w:pPr>
      <w:r w:rsidRPr="00D70C1B">
        <w:rPr>
          <w:rFonts w:ascii="Times New Roman" w:hAnsi="Times New Roman" w:cs="Times New Roman"/>
          <w:b/>
          <w:sz w:val="24"/>
          <w:szCs w:val="24"/>
        </w:rPr>
        <w:t>Saturno es la versión romana del dios Cronos en la mitología griega</w:t>
      </w:r>
      <w:r w:rsidRPr="005E400B">
        <w:rPr>
          <w:rFonts w:ascii="Times New Roman" w:hAnsi="Times New Roman" w:cs="Times New Roman"/>
          <w:sz w:val="24"/>
          <w:szCs w:val="24"/>
        </w:rPr>
        <w:t xml:space="preserve">. Cronos es uno de los doce titanes que nacen de la unión de Urano (el cielo) y Gea (la tierra). En un principio el papel de Urano será cubrir y así proteger a Gea, la tierra, pero al unirse a ella se convertirán en la pareja de dioses que gobernarán el mundo. Ungido de ese poder, Urano no verá con buenos ojos a sus hijos, temiendo que al crecer le arrebataran su trono. Así que Gea se verá obligada a sepultar a cada uno de los hijos que nacen en sus entrañas, </w:t>
      </w:r>
      <w:r w:rsidRPr="005E400B">
        <w:rPr>
          <w:rFonts w:ascii="Times New Roman" w:hAnsi="Times New Roman" w:cs="Times New Roman"/>
          <w:sz w:val="24"/>
          <w:szCs w:val="24"/>
        </w:rPr>
        <w:lastRenderedPageBreak/>
        <w:t>aunque llevada por su instinto maternal hará uso de su astucia y engañará a su marido con el menor de sus hijos, precisamente Cronos. Armará a Cronos con una hoz, y con ella el vástago conseguirá cortarle los genitales a su padre. Del esperma de Urano, que cayó al mar, nacería Afrodita, y de las gotas de sangre caídas en la tierra, nacerían los Gigantes, además de las</w:t>
      </w:r>
      <w:r>
        <w:rPr>
          <w:rFonts w:ascii="Times New Roman" w:hAnsi="Times New Roman" w:cs="Times New Roman"/>
          <w:sz w:val="24"/>
          <w:szCs w:val="24"/>
        </w:rPr>
        <w:t xml:space="preserve"> Erinias y las ninfas Melíades…</w:t>
      </w:r>
    </w:p>
    <w:p w:rsidR="004265B7" w:rsidRPr="00443BB5" w:rsidRDefault="004265B7" w:rsidP="004265B7">
      <w:pPr>
        <w:spacing w:before="100" w:beforeAutospacing="1" w:after="100" w:afterAutospacing="1" w:line="240" w:lineRule="auto"/>
        <w:jc w:val="both"/>
        <w:rPr>
          <w:rFonts w:ascii="Times New Roman" w:hAnsi="Times New Roman" w:cs="Times New Roman"/>
          <w:sz w:val="24"/>
          <w:szCs w:val="24"/>
        </w:rPr>
      </w:pPr>
      <w:r w:rsidRPr="00443BB5">
        <w:rPr>
          <w:rFonts w:ascii="Times New Roman" w:hAnsi="Times New Roman" w:cs="Times New Roman"/>
          <w:sz w:val="24"/>
          <w:szCs w:val="24"/>
        </w:rPr>
        <w:t xml:space="preserve">El </w:t>
      </w:r>
      <w:r w:rsidRPr="000B0587">
        <w:rPr>
          <w:rFonts w:ascii="Times New Roman" w:hAnsi="Times New Roman" w:cs="Times New Roman"/>
          <w:b/>
          <w:sz w:val="24"/>
          <w:szCs w:val="24"/>
        </w:rPr>
        <w:t>complejo de Saturno</w:t>
      </w:r>
      <w:r w:rsidRPr="00443BB5">
        <w:rPr>
          <w:rFonts w:ascii="Times New Roman" w:hAnsi="Times New Roman" w:cs="Times New Roman"/>
          <w:sz w:val="24"/>
          <w:szCs w:val="24"/>
        </w:rPr>
        <w:t xml:space="preserve"> es desarrollado por los hombres para dismi</w:t>
      </w:r>
      <w:r>
        <w:rPr>
          <w:rFonts w:ascii="Times New Roman" w:hAnsi="Times New Roman" w:cs="Times New Roman"/>
          <w:sz w:val="24"/>
          <w:szCs w:val="24"/>
        </w:rPr>
        <w:t>nuir la competencia. Ha</w:t>
      </w:r>
      <w:r w:rsidRPr="00443BB5">
        <w:rPr>
          <w:rFonts w:ascii="Times New Roman" w:hAnsi="Times New Roman" w:cs="Times New Roman"/>
          <w:sz w:val="24"/>
          <w:szCs w:val="24"/>
        </w:rPr>
        <w:t xml:space="preserve"> sido elaborado a parir de una leyenda mitológica, la cual habla de Saturno, referido a Crono, y </w:t>
      </w:r>
      <w:r>
        <w:rPr>
          <w:rFonts w:ascii="Times New Roman" w:hAnsi="Times New Roman" w:cs="Times New Roman"/>
          <w:sz w:val="24"/>
          <w:szCs w:val="24"/>
        </w:rPr>
        <w:t>de cómo apareció este complejo.</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sidRPr="005E400B">
        <w:rPr>
          <w:rFonts w:ascii="Times New Roman" w:hAnsi="Times New Roman" w:cs="Times New Roman"/>
          <w:color w:val="222222"/>
          <w:sz w:val="24"/>
          <w:szCs w:val="24"/>
        </w:rPr>
        <w:t>En psiquiatría es una enfermedad mental que lleva a los padres a causar  daño, incluso la muerte, de sus hijos en la convicción de que e</w:t>
      </w:r>
      <w:r>
        <w:rPr>
          <w:rFonts w:ascii="Times New Roman" w:hAnsi="Times New Roman" w:cs="Times New Roman"/>
          <w:color w:val="222222"/>
          <w:sz w:val="24"/>
          <w:szCs w:val="24"/>
        </w:rPr>
        <w:t>s la única solución para evitar</w:t>
      </w:r>
      <w:r w:rsidRPr="005E400B">
        <w:rPr>
          <w:rFonts w:ascii="Times New Roman" w:hAnsi="Times New Roman" w:cs="Times New Roman"/>
          <w:color w:val="222222"/>
          <w:sz w:val="24"/>
          <w:szCs w:val="24"/>
        </w:rPr>
        <w:t>les los problemas que tendrán en la vida.</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Sin hacer transversales interpretaciones psicológicas u oblicuas conjeturas mitológicas, es posible asimilar el comportamiento europeo a una mezcla (cóctel letal) del Síndrome de Estocolmo con el Complejo de Saturno.</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Desde que leí en la prensa el relato de algunos alemanes que habían sobrevivido a la guerra, recordando (con agradecimiento) que cuando el ejército americano (vencedor e invasor), ocupaba las ciudades (en su desfile triunfal) les regalan “chocolatinas” a los niños, comprendo, aunque no comparto, ese Síndrome de Estocolmo del que hablo.</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Alemania ha estado agradecida a los Estados Unidos por haber sido vencida en la guerra (fin del nazismo). Alemania ha estado agradecida a los Estados Unidos por la aplicación del Plan Marshall (reconstrucción y cooperación).  Alemania ha estado agradecida a los Estados Unidos por haberla protegido (durante la guerra fría) del riesgo de invasión soviética (“Yo también soy berlinés”,</w:t>
      </w:r>
      <w:r w:rsidRPr="008F2F60">
        <w:rPr>
          <w:rFonts w:ascii="Times New Roman" w:hAnsi="Times New Roman" w:cs="Times New Roman"/>
          <w:color w:val="222222"/>
          <w:sz w:val="24"/>
          <w:szCs w:val="24"/>
        </w:rPr>
        <w:t xml:space="preserve"> Kennedy</w:t>
      </w:r>
      <w:r>
        <w:rPr>
          <w:rFonts w:ascii="Times New Roman" w:hAnsi="Times New Roman" w:cs="Times New Roman"/>
          <w:color w:val="222222"/>
          <w:sz w:val="24"/>
          <w:szCs w:val="24"/>
        </w:rPr>
        <w:t xml:space="preserve"> - 1963).</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Finalmente, Alemania ha estado (y está) agradecida a los Estados Unidos por permitirle vender en el mercado americano sus Mercedes, BMW, Audi, VW, instrumentos </w:t>
      </w:r>
      <w:r w:rsidRPr="003275A2">
        <w:rPr>
          <w:rFonts w:ascii="Times New Roman" w:hAnsi="Times New Roman" w:cs="Times New Roman"/>
          <w:color w:val="222222"/>
          <w:sz w:val="24"/>
          <w:szCs w:val="24"/>
        </w:rPr>
        <w:t>m</w:t>
      </w:r>
      <w:r>
        <w:rPr>
          <w:rFonts w:ascii="Times New Roman" w:hAnsi="Times New Roman" w:cs="Times New Roman"/>
          <w:color w:val="222222"/>
          <w:sz w:val="24"/>
          <w:szCs w:val="24"/>
        </w:rPr>
        <w:t xml:space="preserve">édicos, ópticos y de precisión, productos químicos, </w:t>
      </w:r>
      <w:r w:rsidRPr="003275A2">
        <w:rPr>
          <w:rFonts w:ascii="Times New Roman" w:hAnsi="Times New Roman" w:cs="Times New Roman"/>
          <w:color w:val="222222"/>
          <w:sz w:val="24"/>
          <w:szCs w:val="24"/>
        </w:rPr>
        <w:t>electrotécnica y electrónica</w:t>
      </w:r>
      <w:r>
        <w:rPr>
          <w:rFonts w:ascii="Times New Roman" w:hAnsi="Times New Roman" w:cs="Times New Roman"/>
          <w:color w:val="222222"/>
          <w:sz w:val="24"/>
          <w:szCs w:val="24"/>
        </w:rPr>
        <w:t>, máquinas e instalaciones…</w:t>
      </w:r>
      <w:r w:rsidRPr="003275A2">
        <w:rPr>
          <w:rFonts w:ascii="Times New Roman" w:hAnsi="Times New Roman" w:cs="Times New Roman"/>
          <w:color w:val="222222"/>
          <w:sz w:val="24"/>
          <w:szCs w:val="24"/>
        </w:rPr>
        <w:t xml:space="preserve"> </w:t>
      </w:r>
      <w:r>
        <w:rPr>
          <w:rFonts w:ascii="Times New Roman" w:hAnsi="Times New Roman" w:cs="Times New Roman"/>
          <w:color w:val="222222"/>
          <w:sz w:val="24"/>
          <w:szCs w:val="24"/>
        </w:rPr>
        <w:t>(agradecidos al Diablo por haberles “comprado” el alma).</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Y si para eso hay que “abjurar” del Modelo Renano, se hace. Y si para eso hay que “renegar” de las enseñanzas de Friedrich List (1) “Sistema Nacional de Economía Política” - 1841, se hace. </w:t>
      </w:r>
    </w:p>
    <w:p w:rsidR="004265B7" w:rsidRDefault="004265B7" w:rsidP="004265B7">
      <w:pPr>
        <w:spacing w:before="100" w:beforeAutospacing="1" w:after="100" w:afterAutospacing="1" w:line="240" w:lineRule="auto"/>
        <w:jc w:val="both"/>
        <w:rPr>
          <w:rFonts w:ascii="Times New Roman" w:hAnsi="Times New Roman" w:cs="Times New Roman"/>
          <w:color w:val="222222"/>
          <w:sz w:val="20"/>
          <w:szCs w:val="20"/>
        </w:rPr>
      </w:pPr>
      <w:r>
        <w:rPr>
          <w:rFonts w:ascii="Times New Roman" w:hAnsi="Times New Roman" w:cs="Times New Roman"/>
          <w:color w:val="222222"/>
          <w:sz w:val="20"/>
          <w:szCs w:val="20"/>
        </w:rPr>
        <w:t xml:space="preserve">(1) </w:t>
      </w:r>
      <w:r w:rsidRPr="00E36986">
        <w:rPr>
          <w:rFonts w:ascii="Times New Roman" w:hAnsi="Times New Roman" w:cs="Times New Roman"/>
          <w:color w:val="222222"/>
          <w:sz w:val="20"/>
          <w:szCs w:val="20"/>
        </w:rPr>
        <w:t>Resaltó la idea nacional e insistió en los requisitos específicos de cada nación de acuerdo a sus circunstancias y, especialmente, su grado de desarrollo. Se le conoce por dudar de la sinceridad de las llamadas al libre comercio de los países desarrollados, en particular Gran Bretaña.</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Con una Alemania (la locomotora de la Unión Europea) sometida y agradecida (como una mujer maltratada) a los EEUU, ya me dirán ustedes donde están los intereses (el raptor) y donde quedan los amigos (los socios europeos).</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Si a ese “síndrome”, agregamos la actitud permanente de sabotaje (y vileza) del Reino Unido con los proyectos de unidad europea (el “submarino” de los EEUU en Europa), la megalomanía francesa (el último país comunista del viejo continente), el sistema de “sense and sensibility” de los países del centro y norte de Europa, las “debilidades” de los PIGS (más “pigs” que nunca), la “bisoñez” de los nuevos socios del este, la presión </w:t>
      </w:r>
      <w:r>
        <w:rPr>
          <w:rFonts w:ascii="Times New Roman" w:hAnsi="Times New Roman" w:cs="Times New Roman"/>
          <w:color w:val="222222"/>
          <w:sz w:val="24"/>
          <w:szCs w:val="24"/>
        </w:rPr>
        <w:lastRenderedPageBreak/>
        <w:t>migratoria, los conflictos de integración o multiculturalidad, más la crisis financiera y el “sálvese quien pueda”, ya tenemos “servido” el “complejo” de Saturno.</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Vamos, que hay que separarlos para que no se coman los unos a los otros, para regocijo de los terceros países (EEUU, China) que se disputan el liderazgo mundial. Si no se matan (como en las antiguas guerras) al menos se neutralizan, tornando inoperante cualquier proyecto de unidad. En el “mejor” de los casos, un final en “tablas” por jaque continuo, “and  the game is over”. Por favor Saturno, trágame sin masticar ni morder…</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En ese camino de perdición, Europa adopta el modelo del conservadurismo (EEUU, UK), que considera el bien común como un error y a los pobres como una patología. Tras la estela de los Estados Unidos, Europa tiene el futuro a la espalda, y perece.</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El gran salto delante de la Unión Europea (desafío socialdemócrata) se ha quedado en un salto hacia atrás (vergonzante y acomplejado) de liberalismo posmoderno. </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Sus “líderes” políticos (indocumentados y arrogantes), atrapados por la pereza y la cobardía, lastrados por la corrupción, hundidos por el descrédito moral o ético (y hasta estético),  continúan demostrando un gran desamparo ideológico. Están</w:t>
      </w:r>
      <w:r w:rsidRPr="00B70E2E">
        <w:rPr>
          <w:rFonts w:ascii="Times New Roman" w:hAnsi="Times New Roman" w:cs="Times New Roman"/>
          <w:color w:val="222222"/>
          <w:sz w:val="24"/>
          <w:szCs w:val="24"/>
        </w:rPr>
        <w:t xml:space="preserve"> muerto</w:t>
      </w:r>
      <w:r>
        <w:rPr>
          <w:rFonts w:ascii="Times New Roman" w:hAnsi="Times New Roman" w:cs="Times New Roman"/>
          <w:color w:val="222222"/>
          <w:sz w:val="24"/>
          <w:szCs w:val="24"/>
        </w:rPr>
        <w:t>s</w:t>
      </w:r>
      <w:r w:rsidRPr="00B70E2E">
        <w:rPr>
          <w:rFonts w:ascii="Times New Roman" w:hAnsi="Times New Roman" w:cs="Times New Roman"/>
          <w:color w:val="222222"/>
          <w:sz w:val="24"/>
          <w:szCs w:val="24"/>
        </w:rPr>
        <w:t xml:space="preserve">: </w:t>
      </w:r>
      <w:r>
        <w:rPr>
          <w:rFonts w:ascii="Times New Roman" w:hAnsi="Times New Roman" w:cs="Times New Roman"/>
          <w:color w:val="222222"/>
          <w:sz w:val="24"/>
          <w:szCs w:val="24"/>
        </w:rPr>
        <w:t>“</w:t>
      </w:r>
      <w:r w:rsidRPr="00B70E2E">
        <w:rPr>
          <w:rFonts w:ascii="Times New Roman" w:hAnsi="Times New Roman" w:cs="Times New Roman"/>
          <w:color w:val="222222"/>
          <w:sz w:val="24"/>
          <w:szCs w:val="24"/>
        </w:rPr>
        <w:t>a ver quién se atreve ahora a decírselo</w:t>
      </w:r>
      <w:r>
        <w:rPr>
          <w:rFonts w:ascii="Times New Roman" w:hAnsi="Times New Roman" w:cs="Times New Roman"/>
          <w:color w:val="222222"/>
          <w:sz w:val="24"/>
          <w:szCs w:val="24"/>
        </w:rPr>
        <w:t>”. Y ellos siguen como un ejército de zombis por los salones del Consejo Europeo (felices de haberse conocido). “The Walking Dead”…</w:t>
      </w:r>
    </w:p>
    <w:p w:rsidR="004265B7" w:rsidRDefault="004265B7" w:rsidP="004265B7">
      <w:pPr>
        <w:pStyle w:val="NormalWeb"/>
        <w:jc w:val="both"/>
      </w:pPr>
      <w:r>
        <w:t>Luego de leer a “los que saben”, con sus proyecciones y recomendaciones, me permitirán (con toda humildad) hacerles algunos comentarios de “cabotaje” (al hilo del vivir), más como profesional en Administración de Empresas (retirado), que como Economista amateur (en decadencia). Aplicando el análisis DAFO a las capacidades competitivas de la Unión Europea, comparando</w:t>
      </w:r>
      <w:r w:rsidRPr="009C3BBD">
        <w:t xml:space="preserve"> sus características internas (Debilidades y Fortalezas) y su situación externa (Amenazas y Oportunidades)</w:t>
      </w:r>
      <w:r>
        <w:t>.</w:t>
      </w:r>
    </w:p>
    <w:p w:rsidR="004265B7" w:rsidRDefault="004265B7" w:rsidP="004265B7">
      <w:pPr>
        <w:pStyle w:val="NormalWeb"/>
        <w:jc w:val="both"/>
      </w:pPr>
    </w:p>
    <w:p w:rsidR="004265B7" w:rsidRDefault="004265B7" w:rsidP="004265B7">
      <w:pPr>
        <w:pStyle w:val="NormalWeb"/>
        <w:jc w:val="both"/>
      </w:pPr>
      <w:r>
        <w:t>El análisis DAFO es una herramienta para conocer la situación real en que se encuentra una organización, empresa o proyecto, y planear una estrategia de futuro.</w:t>
      </w:r>
    </w:p>
    <w:p w:rsidR="004265B7" w:rsidRDefault="004265B7" w:rsidP="004265B7">
      <w:pPr>
        <w:pStyle w:val="NormalWeb"/>
        <w:jc w:val="both"/>
      </w:pPr>
    </w:p>
    <w:p w:rsidR="004265B7" w:rsidRDefault="004265B7" w:rsidP="004265B7">
      <w:pPr>
        <w:pStyle w:val="NormalWeb"/>
        <w:jc w:val="both"/>
      </w:pPr>
      <w:r>
        <w:t>Durante la etapa de planeamiento estratégico y a partir del análisis DAFO se deben contestar cada una de las siguientes preguntas:</w:t>
      </w:r>
    </w:p>
    <w:p w:rsidR="004265B7" w:rsidRDefault="004265B7" w:rsidP="004265B7">
      <w:pPr>
        <w:pStyle w:val="NormalWeb"/>
        <w:jc w:val="both"/>
      </w:pPr>
    </w:p>
    <w:p w:rsidR="004265B7" w:rsidRDefault="004265B7" w:rsidP="004265B7">
      <w:pPr>
        <w:pStyle w:val="NormalWeb"/>
        <w:jc w:val="both"/>
      </w:pPr>
      <w:r>
        <w:t>¿Cómo se puede destacar cada fortaleza?</w:t>
      </w:r>
    </w:p>
    <w:p w:rsidR="004265B7" w:rsidRDefault="004265B7" w:rsidP="004265B7">
      <w:pPr>
        <w:pStyle w:val="NormalWeb"/>
        <w:jc w:val="both"/>
      </w:pPr>
    </w:p>
    <w:p w:rsidR="004265B7" w:rsidRDefault="004265B7" w:rsidP="004265B7">
      <w:pPr>
        <w:pStyle w:val="NormalWeb"/>
        <w:jc w:val="both"/>
      </w:pPr>
      <w:r>
        <w:t>¿Cómo se puede disfrutar cada oportunidad?</w:t>
      </w:r>
    </w:p>
    <w:p w:rsidR="004265B7" w:rsidRDefault="004265B7" w:rsidP="004265B7">
      <w:pPr>
        <w:pStyle w:val="NormalWeb"/>
        <w:jc w:val="both"/>
      </w:pPr>
    </w:p>
    <w:p w:rsidR="004265B7" w:rsidRDefault="004265B7" w:rsidP="004265B7">
      <w:pPr>
        <w:pStyle w:val="NormalWeb"/>
        <w:jc w:val="both"/>
      </w:pPr>
      <w:r>
        <w:t>¿Cómo se puede defender cada debilidad?</w:t>
      </w:r>
    </w:p>
    <w:p w:rsidR="004265B7" w:rsidRDefault="004265B7" w:rsidP="004265B7">
      <w:pPr>
        <w:pStyle w:val="NormalWeb"/>
        <w:jc w:val="both"/>
      </w:pPr>
    </w:p>
    <w:p w:rsidR="004265B7" w:rsidRDefault="004265B7" w:rsidP="004265B7">
      <w:pPr>
        <w:pStyle w:val="NormalWeb"/>
        <w:jc w:val="both"/>
      </w:pPr>
      <w:r>
        <w:t>¿Cómo se puede detener cada amenaza?</w:t>
      </w:r>
    </w:p>
    <w:p w:rsidR="004265B7" w:rsidRDefault="004265B7" w:rsidP="004265B7">
      <w:pPr>
        <w:pStyle w:val="NormalWeb"/>
        <w:jc w:val="both"/>
      </w:pPr>
    </w:p>
    <w:p w:rsidR="004265B7" w:rsidRDefault="004265B7" w:rsidP="004265B7">
      <w:pPr>
        <w:pStyle w:val="NormalWeb"/>
        <w:jc w:val="both"/>
      </w:pPr>
      <w:r>
        <w:t>Este recurso fue creado a principios de la década de los setenta y produjo una revolución en el campo de la estrategia empresarial. El objetivo del análisis DAFO es determinar las ventajas competitivas de la empresa bajo análisis y la estrategia genérica a emplear por la misma que más le convenga en función de sus características propias y de las del mercado en que se mueve.</w:t>
      </w:r>
    </w:p>
    <w:p w:rsidR="004265B7" w:rsidRDefault="004265B7" w:rsidP="004265B7">
      <w:pPr>
        <w:pStyle w:val="NormalWeb"/>
        <w:jc w:val="both"/>
      </w:pPr>
    </w:p>
    <w:p w:rsidR="004265B7" w:rsidRDefault="004265B7" w:rsidP="004265B7">
      <w:pPr>
        <w:pStyle w:val="NormalWeb"/>
        <w:jc w:val="both"/>
      </w:pPr>
      <w:r>
        <w:lastRenderedPageBreak/>
        <w:t xml:space="preserve">En la era de los “modelos matemáticos” (de corte y confección), de los “algoritmos complejos”, del “high-frequency </w:t>
      </w:r>
      <w:r w:rsidRPr="007A778E">
        <w:t>trading</w:t>
      </w:r>
      <w:r>
        <w:t>”, de las “apps”, y de tanto “shadow banking”… ustedes sabrán perdonar a este viejo (y descreído) observador, volver a las fuentes. La línea básica, vamos. Aunque sea, por pura melancolía.</w:t>
      </w:r>
    </w:p>
    <w:p w:rsidR="004265B7" w:rsidRDefault="004265B7" w:rsidP="004265B7">
      <w:pPr>
        <w:pStyle w:val="NormalWeb"/>
        <w:jc w:val="both"/>
      </w:pPr>
    </w:p>
    <w:p w:rsidR="004265B7" w:rsidRDefault="004265B7" w:rsidP="004265B7">
      <w:pPr>
        <w:pStyle w:val="NormalWeb"/>
        <w:jc w:val="both"/>
      </w:pPr>
      <w:r>
        <w:t>Europa, en general y la Unión Europea en particular (no digamos ya la eurozona, con su lastre monetario), es una región diversa, compleja, lenta, pesada, burocrática, poco flexible, escasamente dinámica, desconfiada, infiel, insolidaria, envidiosa, rencorosa, resistente al cambio, perezosa, nostálgica…  (la lista se puede continuar).</w:t>
      </w:r>
    </w:p>
    <w:p w:rsidR="004265B7" w:rsidRDefault="004265B7" w:rsidP="004265B7">
      <w:pPr>
        <w:pStyle w:val="NormalWeb"/>
        <w:jc w:val="both"/>
      </w:pPr>
    </w:p>
    <w:p w:rsidR="004265B7" w:rsidRDefault="004265B7" w:rsidP="004265B7">
      <w:pPr>
        <w:pStyle w:val="NormalWeb"/>
        <w:jc w:val="both"/>
      </w:pPr>
      <w:r>
        <w:t>Muchos años de “duelos y quebrantos”, han hecho del europeo un ser con una “memoria genética” poco propensa a la agresividad empresaria, la competitividad, la economía de mercado, el cambio de entorno, los grandes riesgos, and “the Magic Roundabout” de los becarios de la banca. La única excepción podría ser el Reino Unido (mejor dicho, Londres), pero estos WASP pueden considerarse una embajada de los EEUU en Europa (para su uso y abuso). Una banca offshore o una bandera de conveniencia de los Estados Unidos, metida de tapadillo en la Unión Europea.</w:t>
      </w:r>
    </w:p>
    <w:p w:rsidR="004265B7" w:rsidRDefault="004265B7" w:rsidP="004265B7">
      <w:pPr>
        <w:pStyle w:val="NormalWeb"/>
        <w:jc w:val="both"/>
      </w:pPr>
    </w:p>
    <w:p w:rsidR="004265B7" w:rsidRDefault="004265B7" w:rsidP="004265B7">
      <w:pPr>
        <w:pStyle w:val="NormalWeb"/>
        <w:jc w:val="both"/>
      </w:pPr>
      <w:r>
        <w:t>Si uno es un “gordito” tenista de fin de semana, con más colesterol que energía muscular, con más propensión al “after play” que al “match point”, lo mejor, si es que insiste en jugar al tenis (y ganar, algún partido), es buscarse otro lento, pesado, y pésimo deportista con el que “competir” de igual a igual (y hacerle pagar las copas en el bar).</w:t>
      </w:r>
    </w:p>
    <w:p w:rsidR="004265B7" w:rsidRDefault="004265B7" w:rsidP="004265B7">
      <w:pPr>
        <w:pStyle w:val="NormalWeb"/>
        <w:jc w:val="both"/>
      </w:pPr>
    </w:p>
    <w:p w:rsidR="004265B7" w:rsidRDefault="004265B7" w:rsidP="004265B7">
      <w:pPr>
        <w:pStyle w:val="NormalWeb"/>
        <w:jc w:val="both"/>
      </w:pPr>
      <w:r>
        <w:t>Pero si ese mismo “gordito” por las suyas (malo), o instigado por los demás (peor), decide jugar con el mejor del club, se jodió el invento. No gana, ni por milagro (y pagará todas las copas), además de hacer el mayor de los ridículos. Un juego de tontos.</w:t>
      </w:r>
    </w:p>
    <w:p w:rsidR="004265B7" w:rsidRDefault="004265B7" w:rsidP="004265B7">
      <w:pPr>
        <w:pStyle w:val="NormalWeb"/>
        <w:jc w:val="both"/>
      </w:pPr>
    </w:p>
    <w:p w:rsidR="004265B7" w:rsidRDefault="004265B7" w:rsidP="004265B7">
      <w:pPr>
        <w:pStyle w:val="NormalWeb"/>
        <w:jc w:val="both"/>
      </w:pPr>
      <w:r>
        <w:t xml:space="preserve">Pues eso (y perdón por la metáfora), es lo que hace la Unión Europea. Trata de jugar en un terreno (y a un deporte) en el que tiene todas las de perder. Y termina “llenando los dedos de cara” a sus rivales. Un fracaso económico monumental y una estulticia pueril. </w:t>
      </w:r>
    </w:p>
    <w:p w:rsidR="004265B7" w:rsidRDefault="004265B7" w:rsidP="004265B7">
      <w:pPr>
        <w:pStyle w:val="NormalWeb"/>
        <w:jc w:val="both"/>
      </w:pPr>
      <w:r>
        <w:t xml:space="preserve"> </w:t>
      </w:r>
    </w:p>
    <w:p w:rsidR="004265B7" w:rsidRDefault="004265B7" w:rsidP="004265B7">
      <w:pPr>
        <w:pStyle w:val="NormalWeb"/>
        <w:jc w:val="both"/>
      </w:pPr>
      <w:r>
        <w:t xml:space="preserve">Europa ha abierto su mercado interior (desregulación, desarme arancelario, librecambio, globalización), ha permitido el libre movimiento de capitales (financierización), ha renunciado a su industria (deslocalización), a cambio de nada. De ser miembro del club. </w:t>
      </w:r>
    </w:p>
    <w:p w:rsidR="004265B7" w:rsidRDefault="004265B7" w:rsidP="004265B7">
      <w:pPr>
        <w:pStyle w:val="NormalWeb"/>
        <w:jc w:val="both"/>
      </w:pPr>
      <w:r>
        <w:t>Para estar a la “moda” (según el dictado de la pasarela USA), se ha tragado el “cuento” (mentira, patraña, falsedad, engaño, embuste, trola) del libre mercado, la globalización, la desindustrilización, los servicios, las nuevas tecnologías, y toda la factoría de ficciones. Para que la dejen sentirse “reina por un día”, ha entregado gratis su mercado.</w:t>
      </w:r>
    </w:p>
    <w:p w:rsidR="004265B7" w:rsidRDefault="004265B7" w:rsidP="004265B7">
      <w:pPr>
        <w:pStyle w:val="NormalWeb"/>
        <w:jc w:val="both"/>
      </w:pPr>
    </w:p>
    <w:p w:rsidR="004265B7" w:rsidRDefault="004265B7" w:rsidP="004265B7">
      <w:pPr>
        <w:pStyle w:val="NormalWeb"/>
        <w:jc w:val="both"/>
      </w:pPr>
      <w:r>
        <w:t>La diferencia (como en el juego de tenis de la metáfora) entre la desindustrialización de EEUU (principalmente en favor de China) y la de Europa (en favor de los BRICS, y de todo el que pasara por allí), es que USA es más ágil (pícara, si se quiere, y poderosa, sin lugar a dudas) para buscar otras soluciones o imponerlas a terceros (de ser necesario).</w:t>
      </w:r>
    </w:p>
    <w:p w:rsidR="004265B7" w:rsidRDefault="004265B7" w:rsidP="004265B7">
      <w:pPr>
        <w:pStyle w:val="NormalWeb"/>
        <w:jc w:val="both"/>
      </w:pPr>
    </w:p>
    <w:p w:rsidR="004265B7" w:rsidRDefault="004265B7" w:rsidP="004265B7">
      <w:pPr>
        <w:pStyle w:val="NormalWeb"/>
        <w:jc w:val="both"/>
      </w:pPr>
      <w:r>
        <w:t xml:space="preserve">EEUU desarrolla Silicon Valley, o Boeing (con apoyo del gobierno, en ambos casos), mientras Europa (acomplejada, timorata, y desunida) duda si desarrollar EADS, apoyar a los “campeones nacionales” o preservar su agricultura (PAC). </w:t>
      </w:r>
    </w:p>
    <w:p w:rsidR="004265B7" w:rsidRDefault="004265B7" w:rsidP="004265B7">
      <w:pPr>
        <w:pStyle w:val="NormalWeb"/>
        <w:jc w:val="both"/>
      </w:pPr>
    </w:p>
    <w:p w:rsidR="004265B7" w:rsidRDefault="004265B7" w:rsidP="004265B7">
      <w:pPr>
        <w:pStyle w:val="NormalWeb"/>
        <w:jc w:val="both"/>
      </w:pPr>
      <w:r>
        <w:lastRenderedPageBreak/>
        <w:t>EEUU no duda en “cargarse” (cagarse, sería más exacto) Kioto, con el fracking petrolero, o el desarrollo de los cultivos transgénicos, mientras Europa lo consulta con los ecologistas, la “Santa Compaña”… y sigue haciendo “terapia de grupo”.</w:t>
      </w:r>
    </w:p>
    <w:p w:rsidR="004265B7" w:rsidRDefault="004265B7" w:rsidP="004265B7">
      <w:pPr>
        <w:pStyle w:val="NormalWeb"/>
        <w:jc w:val="both"/>
      </w:pPr>
    </w:p>
    <w:p w:rsidR="004265B7" w:rsidRDefault="004265B7" w:rsidP="004265B7">
      <w:pPr>
        <w:pStyle w:val="NormalWeb"/>
        <w:jc w:val="both"/>
      </w:pPr>
      <w:r>
        <w:t>EEUU desembarca en Europa con su industria cinematográfica (Hollywood), sus canales de televisión (Nickelodeon, Disney Channel, Cartoon Network, ESPN, MTV, Discovery Channel, Fox News, Bloomberg, CNN, CNBC…), sus Facebook, sus You Tube, sus Twitter, sus Apple, sus “apps”, y toda su “puñetero” poder blando, mientras Europa organiza festivales para premiar sus producciones, o hace cola toda la noche para comprar sus nuevos gadgets.</w:t>
      </w:r>
    </w:p>
    <w:p w:rsidR="004265B7" w:rsidRDefault="004265B7" w:rsidP="004265B7">
      <w:pPr>
        <w:pStyle w:val="NormalWeb"/>
        <w:jc w:val="both"/>
      </w:pPr>
    </w:p>
    <w:p w:rsidR="004265B7" w:rsidRDefault="004265B7" w:rsidP="004265B7">
      <w:pPr>
        <w:pStyle w:val="NormalWeb"/>
        <w:jc w:val="both"/>
      </w:pPr>
      <w:r>
        <w:t>EEUU contagia a Europa su Sida financiero (crisis de las hipotecas subprime, titulizaciones), se recupera antes del tsunami, y deja a la UE, “medio embarazada”, con una deuda pública y un déficit fiscal, cuya amortización demandará el sacrificio de varias generaciones. EEUU sabe (y puede) exportar sus problemas a otros países.</w:t>
      </w:r>
    </w:p>
    <w:p w:rsidR="004265B7" w:rsidRDefault="004265B7" w:rsidP="004265B7">
      <w:pPr>
        <w:pStyle w:val="NormalWeb"/>
        <w:jc w:val="both"/>
      </w:pPr>
    </w:p>
    <w:p w:rsidR="004265B7" w:rsidRDefault="004265B7" w:rsidP="004265B7">
      <w:pPr>
        <w:pStyle w:val="NormalWeb"/>
        <w:jc w:val="both"/>
      </w:pPr>
      <w:r>
        <w:t xml:space="preserve">EEUU manda a través de Wall Street en todas las bolsas europeas, que esperan su apertura (varias horas después del horario europeo) para replicar como “borregos” su comportamiento, sin ningún tipo de análisis macro o de fundamentales. Pura manada. </w:t>
      </w:r>
    </w:p>
    <w:p w:rsidR="004265B7" w:rsidRDefault="004265B7" w:rsidP="004265B7">
      <w:pPr>
        <w:pStyle w:val="NormalWeb"/>
        <w:jc w:val="both"/>
      </w:pPr>
      <w:r>
        <w:t xml:space="preserve"> </w:t>
      </w:r>
    </w:p>
    <w:p w:rsidR="004265B7" w:rsidRDefault="004265B7" w:rsidP="004265B7">
      <w:pPr>
        <w:pStyle w:val="NormalWeb"/>
        <w:jc w:val="both"/>
      </w:pPr>
      <w:r>
        <w:t xml:space="preserve">En definitiva, para hacerlo corto. Aunque Europa es el “gordito” jugador de tenis,  dueño de las raquetas y las pelotas (que además, paga la membresía del club a los invitados), EEUU le gana todas las partidas porque es más ágil, más pícaro, más creativo, más desinhibido, más audaz, más mentiroso, más desacomplejado, más avaro, más ambicioso, más desprejuiciado… Y al final, el “gordito paganini” (Europa) se queda compuesto y sin novia. </w:t>
      </w:r>
    </w:p>
    <w:p w:rsidR="00B96388" w:rsidRDefault="00B96388" w:rsidP="004265B7">
      <w:pPr>
        <w:pStyle w:val="NormalWeb"/>
        <w:jc w:val="both"/>
      </w:pPr>
    </w:p>
    <w:p w:rsidR="004265B7" w:rsidRDefault="004265B7" w:rsidP="004265B7">
      <w:pPr>
        <w:pStyle w:val="NormalWeb"/>
        <w:jc w:val="both"/>
      </w:pPr>
      <w:r>
        <w:t>Esto por no hablar del rival chino. Ahí, lo mejor es abandonar en el primer set.</w:t>
      </w:r>
    </w:p>
    <w:p w:rsidR="004265B7" w:rsidRDefault="004265B7" w:rsidP="004265B7">
      <w:pPr>
        <w:pStyle w:val="NormalWeb"/>
        <w:jc w:val="both"/>
      </w:pPr>
    </w:p>
    <w:p w:rsidR="004265B7" w:rsidRDefault="004265B7" w:rsidP="004265B7">
      <w:pPr>
        <w:pStyle w:val="NormalWeb"/>
        <w:jc w:val="both"/>
      </w:pPr>
      <w:r>
        <w:t xml:space="preserve">Ante el “oximorón” de la Unión Europa, háganse las preguntas del DAFO y busquen alguna respuesta: </w:t>
      </w:r>
    </w:p>
    <w:p w:rsidR="004265B7" w:rsidRDefault="004265B7" w:rsidP="004265B7">
      <w:pPr>
        <w:pStyle w:val="NormalWeb"/>
        <w:jc w:val="both"/>
      </w:pPr>
    </w:p>
    <w:p w:rsidR="004265B7" w:rsidRDefault="004265B7" w:rsidP="004265B7">
      <w:pPr>
        <w:pStyle w:val="NormalWeb"/>
        <w:jc w:val="both"/>
      </w:pPr>
      <w:r>
        <w:t xml:space="preserve"> ¿Cómo se puede destacar cada fortaleza, desde la pura estupidez?</w:t>
      </w:r>
    </w:p>
    <w:p w:rsidR="004265B7" w:rsidRDefault="004265B7" w:rsidP="004265B7">
      <w:pPr>
        <w:pStyle w:val="NormalWeb"/>
        <w:jc w:val="both"/>
      </w:pPr>
    </w:p>
    <w:p w:rsidR="004265B7" w:rsidRDefault="004265B7" w:rsidP="004265B7">
      <w:pPr>
        <w:pStyle w:val="NormalWeb"/>
        <w:jc w:val="both"/>
      </w:pPr>
      <w:r>
        <w:t>¿Cómo se puede disfrutar cada oportunidad, desde la esclavitud moral?</w:t>
      </w:r>
    </w:p>
    <w:p w:rsidR="004265B7" w:rsidRDefault="004265B7" w:rsidP="004265B7">
      <w:pPr>
        <w:pStyle w:val="NormalWeb"/>
        <w:jc w:val="both"/>
      </w:pPr>
    </w:p>
    <w:p w:rsidR="004265B7" w:rsidRDefault="004265B7" w:rsidP="004265B7">
      <w:pPr>
        <w:pStyle w:val="NormalWeb"/>
        <w:jc w:val="both"/>
      </w:pPr>
      <w:r>
        <w:t>¿Cómo se puede defender cada debilidad, desde la inconsistencia y la mediocridad?</w:t>
      </w:r>
    </w:p>
    <w:p w:rsidR="004265B7" w:rsidRDefault="004265B7" w:rsidP="004265B7">
      <w:pPr>
        <w:pStyle w:val="NormalWeb"/>
        <w:jc w:val="both"/>
      </w:pPr>
    </w:p>
    <w:p w:rsidR="004265B7" w:rsidRDefault="004265B7" w:rsidP="004265B7">
      <w:pPr>
        <w:pStyle w:val="NormalWeb"/>
        <w:jc w:val="both"/>
      </w:pPr>
      <w:r>
        <w:t>¿Cómo se puede detener cada amenaza, desde la cobardía y la duda existencial?</w:t>
      </w:r>
    </w:p>
    <w:p w:rsidR="004265B7" w:rsidRDefault="004265B7" w:rsidP="004265B7">
      <w:pPr>
        <w:pStyle w:val="NormalWeb"/>
        <w:jc w:val="both"/>
      </w:pPr>
      <w:r>
        <w:t>La UE no hace uso de sus “capacidades distintas”</w:t>
      </w:r>
    </w:p>
    <w:p w:rsidR="004265B7" w:rsidRDefault="004265B7" w:rsidP="004265B7">
      <w:pPr>
        <w:pStyle w:val="NormalWeb"/>
        <w:jc w:val="both"/>
      </w:pPr>
    </w:p>
    <w:p w:rsidR="004265B7" w:rsidRDefault="004265B7" w:rsidP="004265B7">
      <w:pPr>
        <w:pStyle w:val="NormalWeb"/>
        <w:jc w:val="both"/>
      </w:pPr>
      <w:r>
        <w:t>La UE no aprovecha sus “ventajas naturales”</w:t>
      </w:r>
    </w:p>
    <w:p w:rsidR="004265B7" w:rsidRDefault="004265B7" w:rsidP="004265B7">
      <w:pPr>
        <w:pStyle w:val="NormalWeb"/>
        <w:jc w:val="both"/>
      </w:pPr>
    </w:p>
    <w:p w:rsidR="004265B7" w:rsidRDefault="004265B7" w:rsidP="004265B7">
      <w:pPr>
        <w:pStyle w:val="NormalWeb"/>
        <w:jc w:val="both"/>
      </w:pPr>
      <w:r>
        <w:t xml:space="preserve"> La UE renuncia a utilizar sus “recursos superiores”</w:t>
      </w:r>
    </w:p>
    <w:p w:rsidR="004265B7" w:rsidRDefault="004265B7" w:rsidP="004265B7">
      <w:pPr>
        <w:pStyle w:val="NormalWeb"/>
        <w:jc w:val="both"/>
      </w:pPr>
    </w:p>
    <w:p w:rsidR="004265B7" w:rsidRDefault="004265B7" w:rsidP="004265B7">
      <w:pPr>
        <w:pStyle w:val="NormalWeb"/>
        <w:jc w:val="both"/>
      </w:pPr>
      <w:r>
        <w:t>La UE tiene una paralizante “resistencia al cambio”</w:t>
      </w:r>
    </w:p>
    <w:p w:rsidR="004265B7" w:rsidRDefault="004265B7" w:rsidP="004265B7">
      <w:pPr>
        <w:pStyle w:val="NormalWeb"/>
        <w:jc w:val="both"/>
      </w:pPr>
    </w:p>
    <w:p w:rsidR="004265B7" w:rsidRDefault="004265B7" w:rsidP="004265B7">
      <w:pPr>
        <w:pStyle w:val="NormalWeb"/>
        <w:jc w:val="both"/>
      </w:pPr>
      <w:r>
        <w:t>La UE tiene un enorme problema de “motivación de sus ciudadanos”</w:t>
      </w:r>
    </w:p>
    <w:p w:rsidR="004265B7" w:rsidRDefault="004265B7" w:rsidP="004265B7">
      <w:pPr>
        <w:pStyle w:val="NormalWeb"/>
        <w:jc w:val="both"/>
      </w:pPr>
    </w:p>
    <w:p w:rsidR="004265B7" w:rsidRDefault="004265B7" w:rsidP="004265B7">
      <w:pPr>
        <w:pStyle w:val="NormalWeb"/>
        <w:jc w:val="both"/>
      </w:pPr>
      <w:r>
        <w:t>La UE no sabe utilizar, o aprovecha menos, las “nuevas tecnologías”</w:t>
      </w:r>
    </w:p>
    <w:p w:rsidR="004265B7" w:rsidRDefault="004265B7" w:rsidP="004265B7">
      <w:pPr>
        <w:pStyle w:val="NormalWeb"/>
        <w:jc w:val="both"/>
      </w:pPr>
    </w:p>
    <w:p w:rsidR="004265B7" w:rsidRDefault="004265B7" w:rsidP="004265B7">
      <w:pPr>
        <w:pStyle w:val="NormalWeb"/>
        <w:jc w:val="both"/>
      </w:pPr>
      <w:r>
        <w:t>La UE no se beneficia  del “debilitamiento de sus competidores”</w:t>
      </w:r>
    </w:p>
    <w:p w:rsidR="004265B7" w:rsidRDefault="004265B7" w:rsidP="004265B7">
      <w:pPr>
        <w:pStyle w:val="NormalWeb"/>
        <w:jc w:val="both"/>
      </w:pPr>
    </w:p>
    <w:p w:rsidR="004265B7" w:rsidRDefault="004265B7" w:rsidP="004265B7">
      <w:pPr>
        <w:pStyle w:val="NormalWeb"/>
        <w:jc w:val="both"/>
      </w:pPr>
      <w:r>
        <w:t>La UE no realiza ningún tipo de “posicionamiento estratégico”</w:t>
      </w:r>
    </w:p>
    <w:p w:rsidR="004265B7" w:rsidRDefault="004265B7" w:rsidP="004265B7">
      <w:pPr>
        <w:pStyle w:val="NormalWeb"/>
        <w:jc w:val="both"/>
      </w:pPr>
    </w:p>
    <w:p w:rsidR="004265B7" w:rsidRDefault="004265B7" w:rsidP="004265B7">
      <w:pPr>
        <w:pStyle w:val="NormalWeb"/>
        <w:jc w:val="both"/>
      </w:pPr>
      <w:r>
        <w:t xml:space="preserve">La UE desperdicia la “experiencia acumulada” durante las tres revoluciones industriales </w:t>
      </w:r>
    </w:p>
    <w:p w:rsidR="004265B7" w:rsidRDefault="004265B7" w:rsidP="004265B7">
      <w:pPr>
        <w:pStyle w:val="NormalWeb"/>
        <w:jc w:val="both"/>
      </w:pPr>
    </w:p>
    <w:p w:rsidR="004265B7" w:rsidRDefault="004265B7" w:rsidP="004265B7">
      <w:pPr>
        <w:spacing w:line="240" w:lineRule="auto"/>
        <w:jc w:val="both"/>
        <w:rPr>
          <w:rFonts w:ascii="Times New Roman" w:hAnsi="Times New Roman"/>
          <w:b/>
          <w:sz w:val="24"/>
          <w:szCs w:val="24"/>
        </w:rPr>
      </w:pPr>
      <w:r w:rsidRPr="00A423F5">
        <w:rPr>
          <w:noProof/>
          <w:lang w:eastAsia="es-ES"/>
        </w:rPr>
        <w:drawing>
          <wp:inline distT="0" distB="0" distL="0" distR="0" wp14:anchorId="0A6ECA04" wp14:editId="5748B4EC">
            <wp:extent cx="5949950" cy="4343400"/>
            <wp:effectExtent l="0" t="0" r="0" b="0"/>
            <wp:docPr id="5" name="Imagen 5" descr="http://ep01.epimg.net/economia/imagenes/2014/10/17/actualidad/1413538635_172748_1413577591_sumario_normal.png">
              <a:hlinkClick xmlns:a="http://schemas.openxmlformats.org/drawingml/2006/main" r:id="rId100" tooltip="&quot;pulsa en la fot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ep01.epimg.net/economia/imagenes/2014/10/17/actualidad/1413538635_172748_1413577591_sumario_normal.png">
                      <a:hlinkClick r:id="rId100" tooltip="&quot;pulsa en la foto&quot;"/>
                    </pic:cNvPr>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949950" cy="4343400"/>
                    </a:xfrm>
                    <a:prstGeom prst="rect">
                      <a:avLst/>
                    </a:prstGeom>
                    <a:noFill/>
                    <a:ln>
                      <a:noFill/>
                    </a:ln>
                  </pic:spPr>
                </pic:pic>
              </a:graphicData>
            </a:graphic>
          </wp:inline>
        </w:drawing>
      </w:r>
    </w:p>
    <w:p w:rsidR="004265B7" w:rsidRDefault="004265B7" w:rsidP="004265B7">
      <w:pPr>
        <w:spacing w:line="240" w:lineRule="auto"/>
        <w:jc w:val="both"/>
        <w:rPr>
          <w:rFonts w:ascii="Times New Roman" w:hAnsi="Times New Roman"/>
          <w:b/>
          <w:sz w:val="24"/>
          <w:szCs w:val="24"/>
        </w:rPr>
      </w:pPr>
      <w:r w:rsidRPr="00260B14">
        <w:rPr>
          <w:rFonts w:ascii="Times New Roman" w:hAnsi="Times New Roman"/>
          <w:b/>
          <w:sz w:val="24"/>
          <w:szCs w:val="24"/>
        </w:rPr>
        <w:t xml:space="preserve">- </w:t>
      </w:r>
      <w:r>
        <w:rPr>
          <w:rFonts w:ascii="Times New Roman" w:hAnsi="Times New Roman"/>
          <w:b/>
          <w:sz w:val="24"/>
          <w:szCs w:val="24"/>
        </w:rPr>
        <w:t>Euro punto de vista (“a</w:t>
      </w:r>
      <w:r w:rsidRPr="00260B14">
        <w:rPr>
          <w:rFonts w:ascii="Times New Roman" w:hAnsi="Times New Roman"/>
          <w:b/>
          <w:sz w:val="24"/>
          <w:szCs w:val="24"/>
        </w:rPr>
        <w:t>quí me pongo a contar</w:t>
      </w:r>
      <w:r>
        <w:rPr>
          <w:rFonts w:ascii="Times New Roman" w:hAnsi="Times New Roman"/>
          <w:b/>
          <w:sz w:val="24"/>
          <w:szCs w:val="24"/>
        </w:rPr>
        <w:t>”): la inmovilidad suicida</w:t>
      </w:r>
    </w:p>
    <w:p w:rsidR="004265B7" w:rsidRDefault="004265B7" w:rsidP="004265B7">
      <w:pPr>
        <w:spacing w:line="240" w:lineRule="auto"/>
        <w:jc w:val="both"/>
        <w:rPr>
          <w:rFonts w:ascii="Times New Roman" w:hAnsi="Times New Roman"/>
          <w:sz w:val="24"/>
          <w:szCs w:val="24"/>
        </w:rPr>
      </w:pPr>
      <w:r>
        <w:rPr>
          <w:rFonts w:ascii="Times New Roman" w:hAnsi="Times New Roman"/>
          <w:sz w:val="24"/>
          <w:szCs w:val="24"/>
        </w:rPr>
        <w:t xml:space="preserve">Antes, se decía que la Unión Europea </w:t>
      </w:r>
      <w:r w:rsidRPr="00FA1D96">
        <w:rPr>
          <w:rFonts w:ascii="Times New Roman" w:hAnsi="Times New Roman"/>
          <w:sz w:val="24"/>
          <w:szCs w:val="24"/>
        </w:rPr>
        <w:t>era un gigante económico</w:t>
      </w:r>
      <w:r>
        <w:rPr>
          <w:rFonts w:ascii="Times New Roman" w:hAnsi="Times New Roman"/>
          <w:sz w:val="24"/>
          <w:szCs w:val="24"/>
        </w:rPr>
        <w:t xml:space="preserve"> (por tamaño del mercado, producto interior bruto, distribución del ingreso, estado del bienestar…)</w:t>
      </w:r>
      <w:r w:rsidRPr="00FA1D96">
        <w:rPr>
          <w:rFonts w:ascii="Times New Roman" w:hAnsi="Times New Roman"/>
          <w:sz w:val="24"/>
          <w:szCs w:val="24"/>
        </w:rPr>
        <w:t xml:space="preserve"> y un enano político</w:t>
      </w:r>
      <w:r>
        <w:rPr>
          <w:rFonts w:ascii="Times New Roman" w:hAnsi="Times New Roman"/>
          <w:sz w:val="24"/>
          <w:szCs w:val="24"/>
        </w:rPr>
        <w:t xml:space="preserve"> (Kissinger: ¿c</w:t>
      </w:r>
      <w:r w:rsidRPr="0043618B">
        <w:rPr>
          <w:rFonts w:ascii="Times New Roman" w:hAnsi="Times New Roman"/>
          <w:sz w:val="24"/>
          <w:szCs w:val="24"/>
        </w:rPr>
        <w:t xml:space="preserve">uándo quiero hablar con </w:t>
      </w:r>
      <w:r>
        <w:rPr>
          <w:rFonts w:ascii="Times New Roman" w:hAnsi="Times New Roman"/>
          <w:sz w:val="24"/>
          <w:szCs w:val="24"/>
        </w:rPr>
        <w:t>Europa, a qué número llamo?).</w:t>
      </w:r>
    </w:p>
    <w:p w:rsidR="004265B7" w:rsidRDefault="004265B7" w:rsidP="004265B7">
      <w:pPr>
        <w:spacing w:line="240" w:lineRule="auto"/>
        <w:jc w:val="both"/>
        <w:rPr>
          <w:rFonts w:ascii="Times New Roman" w:hAnsi="Times New Roman"/>
          <w:sz w:val="24"/>
          <w:szCs w:val="24"/>
        </w:rPr>
      </w:pPr>
      <w:r>
        <w:rPr>
          <w:rFonts w:ascii="Times New Roman" w:hAnsi="Times New Roman"/>
          <w:sz w:val="24"/>
          <w:szCs w:val="24"/>
        </w:rPr>
        <w:t>Después de la crisis financiera (heredada -tontamente- de los Estados Unidos), la Unión Europea se enfrenta -tal vez- a su última oportunidad para no ser como Japón. Un enano político (por voluntad propia) y un hemipléjico económico (por esclerosis múltiple).</w:t>
      </w:r>
    </w:p>
    <w:p w:rsidR="004265B7" w:rsidRDefault="004265B7" w:rsidP="004265B7">
      <w:pPr>
        <w:spacing w:line="240" w:lineRule="auto"/>
        <w:jc w:val="both"/>
        <w:rPr>
          <w:rFonts w:ascii="Times New Roman" w:hAnsi="Times New Roman"/>
          <w:sz w:val="24"/>
          <w:szCs w:val="24"/>
        </w:rPr>
      </w:pPr>
      <w:r>
        <w:rPr>
          <w:rFonts w:ascii="Times New Roman" w:hAnsi="Times New Roman"/>
          <w:sz w:val="24"/>
          <w:szCs w:val="24"/>
        </w:rPr>
        <w:t>Ni siquiera a Alemania le alcanza con “más de lo mismo” (una economía orientada a la exportación). Ni siquiera a Francia le alcanza con “más de lo mismo” (la protección del Estado desde la cuna a la tumba). Ni siquiera al Reino Unido le alcanza con “más de lo mismo” (chantajear a la UE y seguir “usufructuando” del negocio de los eurodólares). Ni siquiera a los PIGS (más “pigs” que nunca), les alcanza con “más de lo mismo” (seguir viviendo por encima de sus posibilidades con el crédito de los países del norte).</w:t>
      </w:r>
    </w:p>
    <w:p w:rsidR="004265B7" w:rsidRDefault="004265B7" w:rsidP="004265B7">
      <w:pPr>
        <w:spacing w:line="240" w:lineRule="auto"/>
        <w:jc w:val="both"/>
        <w:rPr>
          <w:rFonts w:ascii="Times New Roman" w:hAnsi="Times New Roman"/>
          <w:sz w:val="24"/>
          <w:szCs w:val="24"/>
        </w:rPr>
      </w:pPr>
      <w:r>
        <w:rPr>
          <w:rFonts w:ascii="Times New Roman" w:hAnsi="Times New Roman"/>
          <w:sz w:val="24"/>
          <w:szCs w:val="24"/>
        </w:rPr>
        <w:t>¿La única “solución” está en continuar (o ampliar) la política monetaria expansiva?</w:t>
      </w:r>
    </w:p>
    <w:p w:rsidR="004265B7" w:rsidRDefault="004265B7" w:rsidP="004265B7">
      <w:pPr>
        <w:pStyle w:val="NormalWeb"/>
        <w:shd w:val="clear" w:color="auto" w:fill="FFFFFF"/>
        <w:jc w:val="both"/>
        <w:rPr>
          <w:color w:val="000000"/>
        </w:rPr>
      </w:pPr>
      <w:r w:rsidRPr="0015752E">
        <w:rPr>
          <w:color w:val="000000"/>
        </w:rPr>
        <w:lastRenderedPageBreak/>
        <w:t>La política monetaria expansiva y las medidas no convencionales que está experimentando la eurozona podría incrementar</w:t>
      </w:r>
      <w:r>
        <w:rPr>
          <w:color w:val="000000"/>
        </w:rPr>
        <w:t xml:space="preserve"> -aún más-</w:t>
      </w:r>
      <w:r w:rsidRPr="0015752E">
        <w:rPr>
          <w:color w:val="000000"/>
        </w:rPr>
        <w:t xml:space="preserve"> la desigualdad en la distribución de la renta, al igual que está ocurriendo e</w:t>
      </w:r>
      <w:r>
        <w:rPr>
          <w:color w:val="000000"/>
        </w:rPr>
        <w:t xml:space="preserve">n EEUU. Estas inyecciones de </w:t>
      </w:r>
      <w:r w:rsidRPr="0015752E">
        <w:rPr>
          <w:color w:val="000000"/>
        </w:rPr>
        <w:t>liquidez terminan disparando los precios de los activos financieros, que están</w:t>
      </w:r>
      <w:r>
        <w:rPr>
          <w:color w:val="000000"/>
        </w:rPr>
        <w:t xml:space="preserve"> en posesión </w:t>
      </w:r>
      <w:r w:rsidRPr="0015752E">
        <w:rPr>
          <w:color w:val="000000"/>
        </w:rPr>
        <w:t>de los hogares más pudientes.</w:t>
      </w:r>
    </w:p>
    <w:p w:rsidR="004265B7" w:rsidRPr="0015752E"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pPr>
      <w:r w:rsidRPr="006152B3">
        <w:rPr>
          <w:color w:val="000000"/>
        </w:rPr>
        <w:t>El Banco Central Europeo sigue avanzando en su combate contra la moderación de los precios en la eurozona: unos tipos de interés históricamente bajos, varias macro-Operaciones de Refinanciación a Largo Plazo (LTRO), compra de bonos garantizados, etc. En noviembre (2014), el BCE emprenderá un nuevo camino con la adquisición de Asset-Backed-Security (ABS) y puede que en enero (2015) comience a financiar los déficits de los Estados comprado deuda soberana.</w:t>
      </w:r>
      <w:r w:rsidRPr="006152B3">
        <w:t xml:space="preserve"> </w:t>
      </w:r>
    </w:p>
    <w:p w:rsidR="004265B7" w:rsidRPr="006152B3" w:rsidRDefault="004265B7" w:rsidP="004265B7">
      <w:pPr>
        <w:pStyle w:val="NormalWeb"/>
        <w:shd w:val="clear" w:color="auto" w:fill="FFFFFF"/>
        <w:jc w:val="both"/>
        <w:rPr>
          <w:color w:val="000000"/>
        </w:rPr>
      </w:pPr>
    </w:p>
    <w:p w:rsidR="004265B7" w:rsidRPr="006152B3" w:rsidRDefault="004265B7" w:rsidP="004265B7">
      <w:pPr>
        <w:pStyle w:val="NormalWeb"/>
        <w:jc w:val="both"/>
      </w:pPr>
      <w:r w:rsidRPr="006152B3">
        <w:t xml:space="preserve">El prestigioso economista Joseph Stiglitz, asegura en </w:t>
      </w:r>
      <w:r w:rsidRPr="006152B3">
        <w:rPr>
          <w:i/>
          <w:iCs/>
        </w:rPr>
        <w:t xml:space="preserve">Bloomberg  </w:t>
      </w:r>
      <w:r w:rsidRPr="006152B3">
        <w:t xml:space="preserve">que el mayor riesgo que se corre al poner en práctica este tipo de políticas monetarias tan expansivas es que puede desembocar en un incremento de la desigualdad: “hacer a los ricos más ricos”. (El Economista - </w:t>
      </w:r>
      <w:r w:rsidRPr="006152B3">
        <w:rPr>
          <w:b/>
        </w:rPr>
        <w:t>28/10/14</w:t>
      </w:r>
      <w:r w:rsidRPr="006152B3">
        <w:t>)</w:t>
      </w:r>
    </w:p>
    <w:p w:rsidR="004265B7" w:rsidRPr="00F86B2C" w:rsidRDefault="004265B7" w:rsidP="004265B7">
      <w:pPr>
        <w:pStyle w:val="NormalWeb"/>
        <w:shd w:val="clear" w:color="auto" w:fill="FFFFFF"/>
        <w:jc w:val="both"/>
        <w:rPr>
          <w:color w:val="FF0000"/>
          <w:u w:val="single"/>
        </w:rPr>
      </w:pPr>
    </w:p>
    <w:p w:rsidR="004265B7" w:rsidRDefault="004265B7" w:rsidP="004265B7">
      <w:pPr>
        <w:pStyle w:val="NormalWeb"/>
        <w:shd w:val="clear" w:color="auto" w:fill="FFFFFF"/>
        <w:jc w:val="both"/>
        <w:rPr>
          <w:color w:val="000000"/>
        </w:rPr>
      </w:pPr>
      <w:r w:rsidRPr="00682479">
        <w:rPr>
          <w:color w:val="000000"/>
        </w:rPr>
        <w:t xml:space="preserve">Y es que, estas inyecciones de liquidez y compra de </w:t>
      </w:r>
      <w:r>
        <w:rPr>
          <w:color w:val="000000"/>
        </w:rPr>
        <w:t xml:space="preserve">activos por parte de los bancos </w:t>
      </w:r>
      <w:r w:rsidRPr="00682479">
        <w:rPr>
          <w:color w:val="000000"/>
        </w:rPr>
        <w:t>centrales pr</w:t>
      </w:r>
      <w:r>
        <w:rPr>
          <w:color w:val="000000"/>
        </w:rPr>
        <w:t>ovocan un incremento del precio de los</w:t>
      </w:r>
      <w:r w:rsidRPr="00682479">
        <w:rPr>
          <w:color w:val="000000"/>
        </w:rPr>
        <w:t xml:space="preserve"> activos financieros. Y en cualquier país, ¿quién posee la mayor parte de las acciones, bonos y demás activos? Quien dispone de la suficiente renta disponible para invertir, es decir, los más ricos de la sociedad.</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El exjefe del Banco Internacional de Pa</w:t>
      </w:r>
      <w:r>
        <w:rPr>
          <w:color w:val="000000"/>
        </w:rPr>
        <w:t>gos, William White, señala que “</w:t>
      </w:r>
      <w:r w:rsidRPr="00682479">
        <w:rPr>
          <w:color w:val="000000"/>
        </w:rPr>
        <w:t>estas medidas no convencionales de la política monetaria tienen grandes probabilidades de conseguir unos objetivos no esperados, el incremento de</w:t>
      </w:r>
      <w:r>
        <w:rPr>
          <w:color w:val="000000"/>
        </w:rPr>
        <w:t xml:space="preserve"> la desigualdad es uno de ellos”</w:t>
      </w:r>
      <w:r w:rsidRPr="00682479">
        <w:rPr>
          <w:color w:val="000000"/>
        </w:rPr>
        <w:t>.</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 xml:space="preserve">White cree que los problemas estructurales de Europa, elevada deuda y un sistema bancario que no funciona no se pueden </w:t>
      </w:r>
      <w:r>
        <w:rPr>
          <w:color w:val="000000"/>
        </w:rPr>
        <w:t>solucionar imprimiendo dinero: “</w:t>
      </w:r>
      <w:r w:rsidRPr="00682479">
        <w:rPr>
          <w:color w:val="000000"/>
        </w:rPr>
        <w:t xml:space="preserve">Tratar de resolver problemas estructurales usando la política monetaria </w:t>
      </w:r>
      <w:r>
        <w:rPr>
          <w:color w:val="000000"/>
        </w:rPr>
        <w:t>es crear un espejismo peligroso”</w:t>
      </w:r>
      <w:r w:rsidRPr="00682479">
        <w:rPr>
          <w:color w:val="000000"/>
        </w:rPr>
        <w:t>.</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Joh</w:t>
      </w:r>
      <w:r w:rsidR="001C59BE">
        <w:rPr>
          <w:color w:val="000000"/>
        </w:rPr>
        <w:t>n</w:t>
      </w:r>
      <w:r w:rsidRPr="00682479">
        <w:rPr>
          <w:color w:val="000000"/>
        </w:rPr>
        <w:t xml:space="preserve"> Silvia, economista jefe de segur</w:t>
      </w:r>
      <w:r>
        <w:rPr>
          <w:color w:val="000000"/>
        </w:rPr>
        <w:t>os en Wells Fargo, explica que “</w:t>
      </w:r>
      <w:r w:rsidRPr="00682479">
        <w:rPr>
          <w:color w:val="000000"/>
        </w:rPr>
        <w:t xml:space="preserve">la experiencia que viva Europa podría ser muy parecida a la que está viviendo Estados Unidos, los precios y las valoraciones de los activos financieros crecerán, beneficiando a la </w:t>
      </w:r>
      <w:r>
        <w:rPr>
          <w:color w:val="000000"/>
        </w:rPr>
        <w:t>parte más ricas de la población”</w:t>
      </w:r>
      <w:r w:rsidRPr="00682479">
        <w:rPr>
          <w:color w:val="000000"/>
        </w:rPr>
        <w:t xml:space="preserve">. </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El incremento de la desigualdad puede terminar fraccionando la sociedad y derivan</w:t>
      </w:r>
      <w:r>
        <w:rPr>
          <w:color w:val="000000"/>
        </w:rPr>
        <w:t>do en movimientos extremistas: “El “mix”</w:t>
      </w:r>
      <w:r w:rsidRPr="00682479">
        <w:rPr>
          <w:color w:val="000000"/>
        </w:rPr>
        <w:t xml:space="preserve"> de políticas que se están poniendo en práctica en Europa puede t</w:t>
      </w:r>
      <w:r>
        <w:rPr>
          <w:color w:val="000000"/>
        </w:rPr>
        <w:t>ener efectos políticos adversos”, asegura Stiglitz.</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 xml:space="preserve">Según </w:t>
      </w:r>
      <w:r w:rsidRPr="00682479">
        <w:rPr>
          <w:i/>
          <w:iCs/>
          <w:color w:val="000000"/>
        </w:rPr>
        <w:t>Bloomberg</w:t>
      </w:r>
      <w:r w:rsidRPr="00682479">
        <w:rPr>
          <w:color w:val="000000"/>
        </w:rPr>
        <w:t xml:space="preserve">, Estados Unidos es uno de los países de la OCDE en los que mayor desigualdad existe, sólo por detrás de Turquía y Chile. Mientras que en la eurozona,  España el país más desigual en lo que se refiera a la distribución de la renta. </w:t>
      </w:r>
    </w:p>
    <w:p w:rsidR="004265B7" w:rsidRPr="00682479"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682479">
        <w:rPr>
          <w:color w:val="000000"/>
        </w:rPr>
        <w:t>Para medir la desigualdad, se suele utilizar el Coeficiente de Gini, que mide el grado de desigualdad de la distribución del ingreso o la desigualdad de la riqueza en una región. Cuanto más se acerque al uno el resultado mayor será la desigualdad en el país. El Coeficiente de Gini en España es de 0,34, en EEUU de</w:t>
      </w:r>
      <w:r>
        <w:rPr>
          <w:color w:val="000000"/>
        </w:rPr>
        <w:t xml:space="preserve"> 0,41, </w:t>
      </w:r>
      <w:r w:rsidRPr="00682479">
        <w:rPr>
          <w:color w:val="000000"/>
        </w:rPr>
        <w:t>en Sud</w:t>
      </w:r>
      <w:r>
        <w:rPr>
          <w:color w:val="000000"/>
        </w:rPr>
        <w:t xml:space="preserve">áfrica de 0,63, en Dinamarca de </w:t>
      </w:r>
      <w:r w:rsidRPr="00682479">
        <w:rPr>
          <w:color w:val="000000"/>
        </w:rPr>
        <w:t>0,24, uno de los países con menor desigualdad en la distribución de la renta.</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Pr>
          <w:color w:val="000000"/>
        </w:rPr>
        <w:t xml:space="preserve">¿Podrán sacar a la Unión Europea de su “inmovilidad suicida” los mismos (o parecidos) líderes que la metieron en ella (por ignorancia, colusión, o debilidad, ante los EEUU)? </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Pr>
          <w:color w:val="000000"/>
        </w:rPr>
        <w:t>¿Quién? El traidor Cameron, topo de los EEUU en la UE. El escandaloso Hollande, viajando de paquete en una sexo-motocicleta. La acompleja Merkel, que todavía está haciéndose perdonar su origen “ossi”. El ambicioso Renzi, que no logra meter la primera marcha. El pusilánime Rajoy, que no ha tomado ninguna medida en tres años.</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Pr>
          <w:color w:val="000000"/>
        </w:rPr>
        <w:t xml:space="preserve">¿Quién? El resucitado Sarkozy, el siempre listo Berlusconi, o los políticos de la rabia: </w:t>
      </w:r>
      <w:r w:rsidRPr="006E02DD">
        <w:rPr>
          <w:color w:val="000000"/>
        </w:rPr>
        <w:t>Nigel Farage</w:t>
      </w:r>
      <w:r>
        <w:rPr>
          <w:color w:val="000000"/>
        </w:rPr>
        <w:t xml:space="preserve">, Marine Le Pen, Alexis Tsipras, Pablo Iglesias… “Apaga y vámonos”. </w:t>
      </w:r>
    </w:p>
    <w:p w:rsidR="004265B7" w:rsidRDefault="004265B7" w:rsidP="004265B7">
      <w:pPr>
        <w:pStyle w:val="NormalWeb"/>
        <w:shd w:val="clear" w:color="auto" w:fill="FFFFFF"/>
        <w:jc w:val="both"/>
        <w:rPr>
          <w:color w:val="000000"/>
        </w:rPr>
      </w:pPr>
      <w:r>
        <w:rPr>
          <w:color w:val="000000"/>
        </w:rPr>
        <w:t xml:space="preserve"> </w:t>
      </w:r>
    </w:p>
    <w:p w:rsidR="004265B7" w:rsidRDefault="004265B7" w:rsidP="004265B7">
      <w:pPr>
        <w:pStyle w:val="NormalWeb"/>
        <w:shd w:val="clear" w:color="auto" w:fill="FFFFFF"/>
        <w:jc w:val="both"/>
        <w:rPr>
          <w:color w:val="000000"/>
        </w:rPr>
      </w:pPr>
      <w:r>
        <w:rPr>
          <w:color w:val="000000"/>
        </w:rPr>
        <w:t>¿Iluminará el camino de la Unión Europea el “establishment” de Bruselas?...</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Pr>
          <w:color w:val="000000"/>
        </w:rPr>
        <w:t xml:space="preserve">La leve acción de los gobernantes europeos (los mariscales de la derrota en la III Guerra Mundial -económico-financiera-), lleva a pensar que, si hubieran realizado reformas valientes (estratégicas y no tácticas) podrían haber hecho de Europa una región económica capaz de competir con Estados Unidos y los países emergentes. Una Europa  donde se premiara el esfuerzo y la innovación en lugar de castigarlos con impuestos confiscatorios. Una Europa donde se subvencionara el I+D en lugar de organizaciones y empresas caras e inútiles. Una Europa que convirtiera su “colesterol” (patrimonio no productivo del Estado) y la reducción de la burocracia, en dinero en el bolsillo de los ciudadanos, para que así creciera la demanda interna y bajara el endeudamiento privado. </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b/>
          <w:color w:val="000000"/>
        </w:rPr>
      </w:pPr>
      <w:r>
        <w:rPr>
          <w:color w:val="000000"/>
        </w:rPr>
        <w:t xml:space="preserve">Pero no. No ha sido así. Se han hecho algunas cosas (a remolque de las circunstancias), pero son pocas. El proceso es lento y siempre llegan tarde (el Reino Unido “conspira y traiciona”, Alemania “desconfía y se encastilla”, Francia “intenta empujar la soga” y el resto (Ay, el resto), levitan entre la “obediencia debida” (Señor, sí Señor), o la “mendicidad claudicante” (una limosnita, por favor). </w:t>
      </w:r>
      <w:r w:rsidRPr="00123BCE">
        <w:rPr>
          <w:b/>
          <w:color w:val="000000"/>
        </w:rPr>
        <w:t>Los políticos</w:t>
      </w:r>
      <w:r>
        <w:rPr>
          <w:b/>
          <w:color w:val="000000"/>
        </w:rPr>
        <w:t xml:space="preserve"> de la UE</w:t>
      </w:r>
      <w:r w:rsidRPr="00123BCE">
        <w:rPr>
          <w:b/>
          <w:color w:val="000000"/>
        </w:rPr>
        <w:t xml:space="preserve"> deben hacer las reformas que fomenten el trabajo, el esfuerzo y la innovación, no luchar por dejar todo como está.</w:t>
      </w:r>
      <w:r>
        <w:rPr>
          <w:b/>
          <w:color w:val="000000"/>
        </w:rPr>
        <w:t xml:space="preserve"> Pero ellos… “viven</w:t>
      </w:r>
      <w:r w:rsidRPr="00123BCE">
        <w:rPr>
          <w:b/>
          <w:color w:val="000000"/>
        </w:rPr>
        <w:t xml:space="preserve"> por encima de nuestras pasividades</w:t>
      </w:r>
      <w:r>
        <w:rPr>
          <w:b/>
          <w:color w:val="000000"/>
        </w:rPr>
        <w:t>”.</w:t>
      </w:r>
    </w:p>
    <w:p w:rsidR="004265B7" w:rsidRDefault="004265B7" w:rsidP="004265B7">
      <w:pPr>
        <w:pStyle w:val="NormalWeb"/>
        <w:shd w:val="clear" w:color="auto" w:fill="FFFFFF"/>
        <w:jc w:val="both"/>
        <w:rPr>
          <w:b/>
          <w:color w:val="000000"/>
        </w:rPr>
      </w:pPr>
    </w:p>
    <w:p w:rsidR="004265B7" w:rsidRDefault="004265B7" w:rsidP="004265B7">
      <w:pPr>
        <w:pStyle w:val="NormalWeb"/>
        <w:shd w:val="clear" w:color="auto" w:fill="FFFFFF"/>
        <w:jc w:val="both"/>
        <w:rPr>
          <w:color w:val="000000"/>
        </w:rPr>
      </w:pPr>
      <w:r w:rsidRPr="008622B3">
        <w:rPr>
          <w:color w:val="000000"/>
        </w:rPr>
        <w:t>Justo hoy (9/11/14): para que el Muro de Berlín cayera hizo falta la política decidida de algunos dirigentes. 25 años después</w:t>
      </w:r>
      <w:r>
        <w:rPr>
          <w:color w:val="000000"/>
        </w:rPr>
        <w:t xml:space="preserve">, para que los “28 Muros de la Derrota” se levanten parece suficiente con </w:t>
      </w:r>
      <w:r w:rsidRPr="008622B3">
        <w:rPr>
          <w:color w:val="000000"/>
        </w:rPr>
        <w:t>la cobardía de los “pobrecitos habladores” que han transformado la Unión Europea en una ópera bufa.</w:t>
      </w:r>
      <w:r>
        <w:rPr>
          <w:color w:val="000000"/>
        </w:rPr>
        <w:t xml:space="preserve"> De lo bueno y lo malo, Alemania es responsable.</w:t>
      </w:r>
    </w:p>
    <w:p w:rsidR="004265B7" w:rsidRDefault="004265B7" w:rsidP="004265B7">
      <w:pPr>
        <w:pStyle w:val="NormalWeb"/>
        <w:shd w:val="clear" w:color="auto" w:fill="FFFFFF"/>
        <w:jc w:val="both"/>
        <w:rPr>
          <w:color w:val="000000"/>
        </w:rPr>
      </w:pPr>
    </w:p>
    <w:p w:rsidR="004265B7" w:rsidRDefault="004265B7" w:rsidP="004265B7">
      <w:pPr>
        <w:pStyle w:val="NormalWeb"/>
        <w:shd w:val="clear" w:color="auto" w:fill="FFFFFF"/>
        <w:jc w:val="both"/>
        <w:rPr>
          <w:color w:val="000000"/>
        </w:rPr>
      </w:pPr>
      <w:r w:rsidRPr="008622B3">
        <w:rPr>
          <w:color w:val="000000"/>
        </w:rPr>
        <w:t>Putsch de Múnich</w:t>
      </w:r>
      <w:r>
        <w:rPr>
          <w:color w:val="000000"/>
        </w:rPr>
        <w:t>:</w:t>
      </w:r>
      <w:r w:rsidRPr="008622B3">
        <w:rPr>
          <w:color w:val="000000"/>
        </w:rPr>
        <w:t xml:space="preserve"> </w:t>
      </w:r>
      <w:r>
        <w:rPr>
          <w:color w:val="000000"/>
        </w:rPr>
        <w:t>e</w:t>
      </w:r>
      <w:r w:rsidRPr="008622B3">
        <w:rPr>
          <w:color w:val="000000"/>
        </w:rPr>
        <w:t>n la tarde del 8 de noviembre de 1923, Hitler, junto con un contingente de las SA, llegó a la cervecería Bürgerbräukeller donde el gobernador de Baviera, Gustav von Kahr, pronunciaba un discurso delante de 3.000 personas. Cerca de 600 hombres de las SA bloquearon las salidas. Hitler, rodeado por sus copartidarios Hermann Göring, Alfred Rosenberg y Rudolf Hess, entró por la puerta delantera a las 20:30 horas, disparó un tiro al techo y s</w:t>
      </w:r>
      <w:r>
        <w:rPr>
          <w:color w:val="000000"/>
        </w:rPr>
        <w:t>altó sobre una silla gritando: “</w:t>
      </w:r>
      <w:r w:rsidRPr="008622B3">
        <w:rPr>
          <w:color w:val="000000"/>
        </w:rPr>
        <w:t>¡La re</w:t>
      </w:r>
      <w:r>
        <w:rPr>
          <w:color w:val="000000"/>
        </w:rPr>
        <w:t>volución nacional ha comenzado!”</w:t>
      </w:r>
      <w:r w:rsidRPr="008622B3">
        <w:rPr>
          <w:color w:val="000000"/>
        </w:rPr>
        <w:t>.</w:t>
      </w:r>
      <w:r>
        <w:rPr>
          <w:color w:val="000000"/>
        </w:rPr>
        <w:t xml:space="preserve"> Alemania será la culpable del regreso de la “vieja” Europa.</w:t>
      </w:r>
    </w:p>
    <w:p w:rsidR="004265B7" w:rsidRDefault="004265B7" w:rsidP="004265B7">
      <w:pPr>
        <w:pStyle w:val="NormalWeb"/>
        <w:shd w:val="clear" w:color="auto" w:fill="FFFFFF"/>
        <w:jc w:val="both"/>
        <w:rPr>
          <w:color w:val="000000"/>
        </w:rPr>
      </w:pPr>
    </w:p>
    <w:p w:rsidR="004265B7" w:rsidRPr="00D1550D" w:rsidRDefault="004265B7" w:rsidP="004265B7">
      <w:pPr>
        <w:pStyle w:val="NormalWeb"/>
        <w:shd w:val="clear" w:color="auto" w:fill="FFFFFF"/>
        <w:jc w:val="both"/>
        <w:rPr>
          <w:color w:val="000000"/>
        </w:rPr>
      </w:pPr>
      <w:r>
        <w:rPr>
          <w:color w:val="000000"/>
        </w:rPr>
        <w:t>A la luz de los hechos, podría decirse que Europa ha pasado de “un mundo feliz”, a la “conjura de los necios”.  En esta derrota (III Guerra Mundial), por acción u omisión de Alemania, Europa se ha quedado “</w:t>
      </w:r>
      <w:r w:rsidRPr="004964F2">
        <w:rPr>
          <w:color w:val="000000"/>
        </w:rPr>
        <w:t>sin barcos</w:t>
      </w:r>
      <w:r>
        <w:rPr>
          <w:color w:val="000000"/>
        </w:rPr>
        <w:t xml:space="preserve"> (economía) y </w:t>
      </w:r>
      <w:r w:rsidRPr="004964F2">
        <w:rPr>
          <w:color w:val="000000"/>
        </w:rPr>
        <w:t>sin honra</w:t>
      </w:r>
      <w:r w:rsidR="00D1550D">
        <w:rPr>
          <w:color w:val="000000"/>
        </w:rPr>
        <w:t xml:space="preserve"> (política social)”. </w:t>
      </w:r>
      <w:r w:rsidRPr="00D361D1">
        <w:rPr>
          <w:rFonts w:eastAsiaTheme="minorHAnsi"/>
          <w:b/>
          <w:bCs/>
          <w:lang w:eastAsia="en-US"/>
        </w:rPr>
        <w:t>“Los dioses ciegan a quienes quieren perder” (</w:t>
      </w:r>
      <w:r>
        <w:rPr>
          <w:rFonts w:eastAsiaTheme="minorHAnsi"/>
          <w:bCs/>
          <w:lang w:eastAsia="en-US"/>
        </w:rPr>
        <w:t>de la tragedia Á</w:t>
      </w:r>
      <w:r w:rsidRPr="00D361D1">
        <w:rPr>
          <w:rFonts w:eastAsiaTheme="minorHAnsi"/>
          <w:bCs/>
          <w:lang w:eastAsia="en-US"/>
        </w:rPr>
        <w:t>yax)</w:t>
      </w:r>
      <w:r w:rsidR="00D1550D">
        <w:rPr>
          <w:rFonts w:eastAsiaTheme="minorHAnsi"/>
          <w:bCs/>
          <w:lang w:eastAsia="en-US"/>
        </w:rPr>
        <w:t>…</w:t>
      </w:r>
    </w:p>
    <w:p w:rsidR="004265B7" w:rsidRDefault="004265B7" w:rsidP="004265B7">
      <w:pPr>
        <w:pStyle w:val="NormalWeb"/>
        <w:shd w:val="clear" w:color="auto" w:fill="FFFFFF"/>
        <w:jc w:val="both"/>
        <w:rPr>
          <w:rFonts w:eastAsiaTheme="minorHAnsi"/>
          <w:bCs/>
          <w:lang w:eastAsia="en-US"/>
        </w:rPr>
      </w:pPr>
    </w:p>
    <w:p w:rsidR="004265B7" w:rsidRDefault="004265B7" w:rsidP="004265B7">
      <w:pPr>
        <w:pStyle w:val="NormalWeb"/>
        <w:shd w:val="clear" w:color="auto" w:fill="FFFFFF"/>
        <w:jc w:val="both"/>
        <w:rPr>
          <w:b/>
        </w:rPr>
      </w:pPr>
      <w:r>
        <w:rPr>
          <w:b/>
        </w:rPr>
        <w:lastRenderedPageBreak/>
        <w:t>Reflexiones finales</w:t>
      </w:r>
      <w:r w:rsidR="000721AA">
        <w:rPr>
          <w:b/>
        </w:rPr>
        <w:t xml:space="preserve"> sobre el TTIP</w:t>
      </w:r>
      <w:r>
        <w:rPr>
          <w:b/>
        </w:rPr>
        <w:t xml:space="preserve"> (después de tantos “se</w:t>
      </w:r>
      <w:r w:rsidR="000721AA">
        <w:rPr>
          <w:b/>
        </w:rPr>
        <w:t>cretos y mentiras”</w:t>
      </w:r>
      <w:r>
        <w:rPr>
          <w:b/>
        </w:rPr>
        <w:t>)</w:t>
      </w:r>
      <w:r w:rsidR="008A7F60">
        <w:rPr>
          <w:b/>
        </w:rPr>
        <w:t>: a veces lo mejor es ponerse en lo peor</w:t>
      </w:r>
    </w:p>
    <w:p w:rsidR="004265B7" w:rsidRDefault="004265B7" w:rsidP="004265B7">
      <w:pPr>
        <w:pStyle w:val="NormalWeb"/>
        <w:shd w:val="clear" w:color="auto" w:fill="FFFFFF"/>
        <w:jc w:val="both"/>
        <w:rPr>
          <w:b/>
        </w:rPr>
      </w:pPr>
    </w:p>
    <w:p w:rsidR="004265B7" w:rsidRPr="00F2419F" w:rsidRDefault="004265B7" w:rsidP="004265B7">
      <w:pPr>
        <w:pStyle w:val="NormalWeb"/>
        <w:shd w:val="clear" w:color="auto" w:fill="FFFFFF"/>
        <w:jc w:val="both"/>
        <w:rPr>
          <w:color w:val="000000"/>
        </w:rPr>
      </w:pPr>
    </w:p>
    <w:p w:rsidR="004265B7" w:rsidRDefault="004265B7" w:rsidP="004265B7">
      <w:pPr>
        <w:spacing w:line="240" w:lineRule="auto"/>
        <w:jc w:val="both"/>
        <w:rPr>
          <w:rFonts w:ascii="Times New Roman" w:hAnsi="Times New Roman" w:cs="Times New Roman"/>
          <w:b/>
          <w:sz w:val="24"/>
          <w:szCs w:val="24"/>
        </w:rPr>
      </w:pPr>
      <w:r>
        <w:rPr>
          <w:noProof/>
          <w:color w:val="0000FF"/>
          <w:lang w:eastAsia="es-ES"/>
        </w:rPr>
        <w:drawing>
          <wp:inline distT="0" distB="0" distL="0" distR="0" wp14:anchorId="1B51A7CA" wp14:editId="269EB2FF">
            <wp:extent cx="5264150" cy="2533650"/>
            <wp:effectExtent l="0" t="0" r="0" b="0"/>
            <wp:docPr id="6" name="Imagen 6" descr="Black hole outer space">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lack hole outer space">
                      <a:hlinkClick r:id="rId102"/>
                    </pic:cNvPr>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264150" cy="2533650"/>
                    </a:xfrm>
                    <a:prstGeom prst="rect">
                      <a:avLst/>
                    </a:prstGeom>
                    <a:noFill/>
                    <a:ln>
                      <a:noFill/>
                    </a:ln>
                  </pic:spPr>
                </pic:pic>
              </a:graphicData>
            </a:graphic>
          </wp:inline>
        </w:drawing>
      </w:r>
    </w:p>
    <w:p w:rsidR="004265B7" w:rsidRDefault="004265B7" w:rsidP="004265B7">
      <w:pPr>
        <w:pStyle w:val="Default"/>
        <w:jc w:val="both"/>
        <w:rPr>
          <w:rFonts w:ascii="Times New Roman" w:hAnsi="Times New Roman" w:cs="Times New Roman"/>
          <w:b/>
          <w:bCs/>
        </w:rPr>
      </w:pPr>
    </w:p>
    <w:p w:rsidR="004265B7" w:rsidRPr="006B7B80" w:rsidRDefault="000721AA" w:rsidP="004265B7">
      <w:pPr>
        <w:pStyle w:val="Default"/>
        <w:jc w:val="both"/>
        <w:rPr>
          <w:rFonts w:ascii="Times New Roman" w:hAnsi="Times New Roman" w:cs="Times New Roman"/>
          <w:b/>
          <w:bCs/>
        </w:rPr>
      </w:pPr>
      <w:r>
        <w:rPr>
          <w:rFonts w:ascii="Times New Roman" w:hAnsi="Times New Roman" w:cs="Times New Roman"/>
          <w:b/>
          <w:bCs/>
        </w:rPr>
        <w:t>Si a pesar de todas las advertencias</w:t>
      </w:r>
      <w:r w:rsidR="004265B7">
        <w:rPr>
          <w:rFonts w:ascii="Times New Roman" w:hAnsi="Times New Roman" w:cs="Times New Roman"/>
          <w:b/>
          <w:bCs/>
        </w:rPr>
        <w:t xml:space="preserve">… la “burocracia” de Bruselas (sospechosos habituales, cómplices necesarios, socios del silencio) insistiera en seguir adelante con el </w:t>
      </w:r>
      <w:r w:rsidR="004265B7" w:rsidRPr="000721AA">
        <w:rPr>
          <w:rStyle w:val="Textoennegrita"/>
          <w:rFonts w:ascii="Times New Roman" w:hAnsi="Times New Roman" w:cs="Times New Roman"/>
          <w:b/>
        </w:rPr>
        <w:t>Tratado Transatlántico de Comercio e Inversiones entre la Unión Europea y Estados Unidos</w:t>
      </w:r>
      <w:r w:rsidR="004265B7">
        <w:rPr>
          <w:rStyle w:val="Textoennegrita"/>
          <w:rFonts w:ascii="Times New Roman" w:hAnsi="Times New Roman" w:cs="Times New Roman"/>
        </w:rPr>
        <w:t>,</w:t>
      </w:r>
      <w:r w:rsidR="004265B7">
        <w:rPr>
          <w:rFonts w:ascii="Times New Roman" w:hAnsi="Times New Roman" w:cs="Times New Roman"/>
          <w:b/>
          <w:bCs/>
        </w:rPr>
        <w:t xml:space="preserve"> habría que tener en consideración las siguientes “salvaguardias” (resguardos),</w:t>
      </w:r>
      <w:r w:rsidR="00D1550D">
        <w:rPr>
          <w:rFonts w:ascii="Times New Roman" w:hAnsi="Times New Roman" w:cs="Times New Roman"/>
          <w:b/>
          <w:bCs/>
        </w:rPr>
        <w:t xml:space="preserve"> para evitar “daños colaterales”</w:t>
      </w:r>
      <w:r w:rsidR="004265B7">
        <w:rPr>
          <w:rFonts w:ascii="Times New Roman" w:hAnsi="Times New Roman" w:cs="Times New Roman"/>
          <w:b/>
          <w:bCs/>
        </w:rPr>
        <w:t xml:space="preserve"> </w:t>
      </w:r>
      <w:r>
        <w:rPr>
          <w:rFonts w:ascii="Times New Roman" w:hAnsi="Times New Roman" w:cs="Times New Roman"/>
          <w:b/>
          <w:bCs/>
        </w:rPr>
        <w:t>(</w:t>
      </w:r>
      <w:r w:rsidR="004265B7">
        <w:rPr>
          <w:rFonts w:ascii="Times New Roman" w:hAnsi="Times New Roman" w:cs="Times New Roman"/>
          <w:b/>
          <w:bCs/>
        </w:rPr>
        <w:t>antes que nos borren la memoria</w:t>
      </w:r>
      <w:r>
        <w:rPr>
          <w:rFonts w:ascii="Times New Roman" w:hAnsi="Times New Roman" w:cs="Times New Roman"/>
          <w:b/>
          <w:bCs/>
        </w:rPr>
        <w:t>)</w:t>
      </w:r>
      <w:r w:rsidR="004265B7">
        <w:rPr>
          <w:rFonts w:ascii="Times New Roman" w:hAnsi="Times New Roman" w:cs="Times New Roman"/>
          <w:b/>
          <w:bCs/>
        </w:rPr>
        <w:t>:</w:t>
      </w:r>
    </w:p>
    <w:p w:rsidR="004265B7" w:rsidRDefault="004265B7" w:rsidP="004265B7">
      <w:pPr>
        <w:pStyle w:val="Default"/>
        <w:jc w:val="both"/>
        <w:rPr>
          <w:rFonts w:ascii="Times New Roman" w:hAnsi="Times New Roman" w:cs="Times New Roman"/>
        </w:rPr>
      </w:pPr>
    </w:p>
    <w:p w:rsidR="004265B7" w:rsidRPr="006B7B80" w:rsidRDefault="004265B7" w:rsidP="004265B7">
      <w:pPr>
        <w:pStyle w:val="Default"/>
        <w:jc w:val="both"/>
        <w:rPr>
          <w:rFonts w:ascii="Times New Roman" w:hAnsi="Times New Roman" w:cs="Times New Roman"/>
        </w:rPr>
      </w:pPr>
      <w:r>
        <w:rPr>
          <w:rFonts w:ascii="Times New Roman" w:hAnsi="Times New Roman" w:cs="Times New Roman"/>
        </w:rPr>
        <w:t>El TTIP debería</w:t>
      </w:r>
      <w:r w:rsidRPr="006B7B80">
        <w:rPr>
          <w:rFonts w:ascii="Times New Roman" w:hAnsi="Times New Roman" w:cs="Times New Roman"/>
        </w:rPr>
        <w:t xml:space="preserve"> ser entendido, no sólo como un proyecto económico, sino como un proyecto político y de c</w:t>
      </w:r>
      <w:r>
        <w:rPr>
          <w:rFonts w:ascii="Times New Roman" w:hAnsi="Times New Roman" w:cs="Times New Roman"/>
        </w:rPr>
        <w:t>lase de una élite multinacional cuyo objetivo es</w:t>
      </w:r>
      <w:r w:rsidRPr="006B7B80">
        <w:rPr>
          <w:rFonts w:ascii="Times New Roman" w:hAnsi="Times New Roman" w:cs="Times New Roman"/>
        </w:rPr>
        <w:t xml:space="preserve"> revertir los logros conseguidos en materia social en occidente y preservar el lide</w:t>
      </w:r>
      <w:r>
        <w:rPr>
          <w:rFonts w:ascii="Times New Roman" w:hAnsi="Times New Roman" w:cs="Times New Roman"/>
        </w:rPr>
        <w:t xml:space="preserve">razgo internacional de </w:t>
      </w:r>
      <w:r w:rsidRPr="006B7B80">
        <w:rPr>
          <w:rFonts w:ascii="Times New Roman" w:hAnsi="Times New Roman" w:cs="Times New Roman"/>
        </w:rPr>
        <w:t>EEEUU</w:t>
      </w:r>
      <w:r>
        <w:rPr>
          <w:rFonts w:ascii="Times New Roman" w:hAnsi="Times New Roman" w:cs="Times New Roman"/>
        </w:rPr>
        <w:t>, reservando para la UE un triste papel de “partenaire”</w:t>
      </w:r>
      <w:r w:rsidRPr="006B7B80">
        <w:rPr>
          <w:rFonts w:ascii="Times New Roman" w:hAnsi="Times New Roman" w:cs="Times New Roman"/>
        </w:rPr>
        <w:t xml:space="preserve">. La consecuencia de este proyecto podría ser una vuelta a un lejano oeste sin ley, en el cual las grandes corporaciones y bancos lleven la voz cantante poniendo sus intereses por delante de las necesidades e intereses de los ciudadanos, dentro, y más allá del Atlántico. </w:t>
      </w:r>
    </w:p>
    <w:p w:rsidR="004265B7" w:rsidRPr="006B7B80" w:rsidRDefault="004265B7" w:rsidP="004265B7">
      <w:pPr>
        <w:pStyle w:val="Default"/>
        <w:jc w:val="both"/>
        <w:rPr>
          <w:rFonts w:ascii="Times New Roman" w:hAnsi="Times New Roman" w:cs="Times New Roman"/>
        </w:rPr>
      </w:pPr>
    </w:p>
    <w:p w:rsidR="004265B7" w:rsidRPr="006B7B80" w:rsidRDefault="004265B7" w:rsidP="004265B7">
      <w:pPr>
        <w:pStyle w:val="Default"/>
        <w:jc w:val="both"/>
        <w:rPr>
          <w:rFonts w:ascii="Times New Roman" w:hAnsi="Times New Roman" w:cs="Times New Roman"/>
        </w:rPr>
      </w:pPr>
      <w:r>
        <w:rPr>
          <w:rFonts w:ascii="Times New Roman" w:hAnsi="Times New Roman" w:cs="Times New Roman"/>
        </w:rPr>
        <w:t xml:space="preserve">Dado que </w:t>
      </w:r>
      <w:r w:rsidRPr="006B7B80">
        <w:rPr>
          <w:rFonts w:ascii="Times New Roman" w:hAnsi="Times New Roman" w:cs="Times New Roman"/>
        </w:rPr>
        <w:t>EEUU</w:t>
      </w:r>
      <w:r>
        <w:rPr>
          <w:rFonts w:ascii="Times New Roman" w:hAnsi="Times New Roman" w:cs="Times New Roman"/>
        </w:rPr>
        <w:t xml:space="preserve"> y la UE</w:t>
      </w:r>
      <w:r w:rsidRPr="006B7B80">
        <w:rPr>
          <w:rFonts w:ascii="Times New Roman" w:hAnsi="Times New Roman" w:cs="Times New Roman"/>
        </w:rPr>
        <w:t xml:space="preserve"> dan cuenta de la mitad del PIB mundial y un tercio de todos los intercambios comerciales globales, es fácil suponer que la creación de la mayor zona de libre comercio hasta la fecha nunca vista tendría un impacto considerable en el resto del mundo. Los intereses de los países ricos y los países empobrecidos parecen irreconciliables dentro del sistema de acuerdos comerciales multilaterales. Por ello, la UE ve las charlas con los EEUU sobre el TTIP como una manera de evitar el estancamiento de las negociaciones dentro de la Organización Mundial del Comercio e imponer el nivel de liberalización conseguida en el Atlántico al resto del mundo. Los objetivos de este proyecto son los países emergentes: Brasil, Rusia, China, India y Sudáfrica, cuyas economías crecientes son vistas como una amenaza a</w:t>
      </w:r>
      <w:r>
        <w:rPr>
          <w:rFonts w:ascii="Times New Roman" w:hAnsi="Times New Roman" w:cs="Times New Roman"/>
        </w:rPr>
        <w:t xml:space="preserve"> la hegemonía global de los </w:t>
      </w:r>
      <w:r w:rsidRPr="006B7B80">
        <w:rPr>
          <w:rFonts w:ascii="Times New Roman" w:hAnsi="Times New Roman" w:cs="Times New Roman"/>
        </w:rPr>
        <w:t>EEUU</w:t>
      </w:r>
      <w:r>
        <w:rPr>
          <w:rFonts w:ascii="Times New Roman" w:hAnsi="Times New Roman" w:cs="Times New Roman"/>
        </w:rPr>
        <w:t xml:space="preserve"> y la UE (ilusionada de estar del lado bueno de las vías del tren)</w:t>
      </w:r>
      <w:r w:rsidRPr="006B7B80">
        <w:rPr>
          <w:rFonts w:ascii="Times New Roman" w:hAnsi="Times New Roman" w:cs="Times New Roman"/>
        </w:rPr>
        <w:t xml:space="preserve">. </w:t>
      </w:r>
    </w:p>
    <w:p w:rsidR="004265B7" w:rsidRPr="006B7B80"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6B7B80">
        <w:rPr>
          <w:rFonts w:ascii="Times New Roman" w:hAnsi="Times New Roman" w:cs="Times New Roman"/>
        </w:rPr>
        <w:t xml:space="preserve">Además de conocer la dimensión del TTIP como proyecto político, es necesario reconocer sus importantes implicaciones a nivel doméstico. El TTIP podría dejar libres a las compañías de cualquier tipo de atadura, siendo éstos, los aranceles o la regulación en materia social o medioambiental; por otro lado, tendrían la posibilidad de demandar la </w:t>
      </w:r>
      <w:r w:rsidRPr="006B7B80">
        <w:rPr>
          <w:rFonts w:ascii="Times New Roman" w:hAnsi="Times New Roman" w:cs="Times New Roman"/>
        </w:rPr>
        <w:lastRenderedPageBreak/>
        <w:t>autoridad de cualquier gobierno que pudiera interferir con sus futuras ganancias, lo que podría debilitar seriamente las regulaciones socio-económicas y medioambientales que salvaguardan el bienestar de</w:t>
      </w:r>
      <w:r>
        <w:rPr>
          <w:rFonts w:ascii="Times New Roman" w:hAnsi="Times New Roman" w:cs="Times New Roman"/>
        </w:rPr>
        <w:t xml:space="preserve"> las personas y el hábitat,</w:t>
      </w:r>
      <w:r w:rsidRPr="006B7B80">
        <w:rPr>
          <w:rFonts w:ascii="Times New Roman" w:hAnsi="Times New Roman" w:cs="Times New Roman"/>
        </w:rPr>
        <w:t xml:space="preserve"> de las acciones corporativas con consecuencias negativas. </w:t>
      </w:r>
    </w:p>
    <w:p w:rsidR="004265B7" w:rsidRPr="006B7B80"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6B7B80">
        <w:rPr>
          <w:rFonts w:ascii="Times New Roman" w:hAnsi="Times New Roman" w:cs="Times New Roman"/>
        </w:rPr>
        <w:t>Al eliminar barreras de todo tipo al libre comercio, sectores industriales enteros quedarían expuestos a una competencia transatlántica salvaje que beneficiaría a las grandes multinacionales a costa de reducir o eliminar a los competidores nacionales más pequeños gracias a la economía de escala. Sería particularmente difícil para algunos sectores, como la agricultura europea, donde las diferencias son demasiado grandes como para establecer una competencia justa. Los estudios preliminares indic</w:t>
      </w:r>
      <w:r>
        <w:rPr>
          <w:rFonts w:ascii="Times New Roman" w:hAnsi="Times New Roman" w:cs="Times New Roman"/>
        </w:rPr>
        <w:t>an que desmantelar las barreras arancelarias y no arancelarias,</w:t>
      </w:r>
      <w:r w:rsidRPr="006B7B80">
        <w:rPr>
          <w:rFonts w:ascii="Times New Roman" w:hAnsi="Times New Roman" w:cs="Times New Roman"/>
        </w:rPr>
        <w:t xml:space="preserve"> tendría repercusiones serias sobre el empleo, especialmente en la UE. </w:t>
      </w:r>
    </w:p>
    <w:p w:rsidR="004265B7" w:rsidRPr="006B7B80"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6B7B80">
        <w:rPr>
          <w:rFonts w:ascii="Times New Roman" w:hAnsi="Times New Roman" w:cs="Times New Roman"/>
        </w:rPr>
        <w:t xml:space="preserve">La armonización de la regulación, pensemos especialmente en los estándares que incluyen los alimentos modificados genéticamente y el REACH sobre regulación química, incluiría un reconocimiento de ambos marcos regulatorios como equivalentes, por lo tanto, muchas regulaciones medioambientales y sociales europeas dejarían de ser efectivas a la hora de proteger a consumidores, pacientes o el medioambiente. </w:t>
      </w:r>
    </w:p>
    <w:p w:rsidR="004265B7" w:rsidRPr="006B7B80"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6B7B80">
        <w:rPr>
          <w:rFonts w:ascii="Times New Roman" w:hAnsi="Times New Roman" w:cs="Times New Roman"/>
        </w:rPr>
        <w:t xml:space="preserve">Más todavía, si se incluyera en el TTIP un capítulo de protección de la inversión, las compañías podrían demandar a los gobiernos por poner en riesgo sus beneficios potenciales y pedir indemnizaciones millonarias. Las regulaciones que podrían implicar un riesgo para las corporaciones incluyen: las moratorias y prohibiciones sobre tecnologías arriesgadas o peligrosas como el “fracking” o la biotecnología, y limitaría, considerablemente, la capacidad de los reguladores para intervenir en el mercado. A través del mecanismo de resolución de conflictos entre Inversor y Estado, se garantizarían a las corporaciones y bancos más derechos que a los ciudadanos, dejando a los contribuyentes con la responsabilidad de pagar indemnizaciones millonarias en un momento en el que los presupuestos nacionales están luchando para cubrir los costes esenciales de los servicios públicos. </w:t>
      </w:r>
    </w:p>
    <w:p w:rsidR="004265B7" w:rsidRPr="006B7B80"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sidRPr="006B7B80">
        <w:rPr>
          <w:rFonts w:ascii="Times New Roman" w:hAnsi="Times New Roman" w:cs="Times New Roman"/>
        </w:rPr>
        <w:t>Cuando juntamos todos estos elementos, queda claro que se trata no sólo de un acuerdo económico, sino de un plan político de una élite transatlántica cuyo objetivo es revertir todos los logros que los pueblos han logrado conseguir a través de décadas de lucha. Las fuentes de algunas industrias han descri</w:t>
      </w:r>
      <w:r>
        <w:rPr>
          <w:rFonts w:ascii="Times New Roman" w:hAnsi="Times New Roman" w:cs="Times New Roman"/>
        </w:rPr>
        <w:t>p</w:t>
      </w:r>
      <w:r w:rsidRPr="006B7B80">
        <w:rPr>
          <w:rFonts w:ascii="Times New Roman" w:hAnsi="Times New Roman" w:cs="Times New Roman"/>
        </w:rPr>
        <w:t>to al TTIP como “la última acción de los lobbies”, y los lobbies industriales se han embarcado ya en una serie de rondas diplomáticas entre Washington y Bruselas a puerta cerrada. Por est</w:t>
      </w:r>
      <w:r>
        <w:rPr>
          <w:rFonts w:ascii="Times New Roman" w:hAnsi="Times New Roman" w:cs="Times New Roman"/>
        </w:rPr>
        <w:t>a razón, es vital asegurarse</w:t>
      </w:r>
      <w:r w:rsidRPr="006B7B80">
        <w:rPr>
          <w:rFonts w:ascii="Times New Roman" w:hAnsi="Times New Roman" w:cs="Times New Roman"/>
        </w:rPr>
        <w:t xml:space="preserve"> que dicho acuerdo</w:t>
      </w:r>
      <w:r>
        <w:rPr>
          <w:rFonts w:ascii="Times New Roman" w:hAnsi="Times New Roman" w:cs="Times New Roman"/>
        </w:rPr>
        <w:t xml:space="preserve"> respete las disposiciones laborales, sociales, sanitarias, seguridad, etiquetado, denominación de origen, principio de precaución, protección al consumidor, medioambientales, financieras, de servicios, propiedad intelectual, derecho a la privacidad de los ciudadanos, igualdad ante la ley, información pública y debate abierto sobre los tratados, aprobación democrática de los tratados  … “armonizando” las regulaciones y normas a ambos lados del Atlántico,  al “máximo común denominador” dispositivo entre las dos regiones (elegir, de las dos, la más exigente de las normativas, en cada caso).</w:t>
      </w:r>
    </w:p>
    <w:p w:rsidR="004265B7"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Pr>
          <w:rFonts w:ascii="Times New Roman" w:hAnsi="Times New Roman" w:cs="Times New Roman"/>
        </w:rPr>
        <w:t>Sin este mínimo de “garantías”, Europa estaría pasando de la “primacía” americana a la “hegemonía” americana, con la UE (mujer maltratada), como víctima propiciatoria.</w:t>
      </w:r>
    </w:p>
    <w:p w:rsidR="004265B7"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Pr>
          <w:rFonts w:ascii="Times New Roman" w:hAnsi="Times New Roman" w:cs="Times New Roman"/>
        </w:rPr>
        <w:lastRenderedPageBreak/>
        <w:t>Si para los EEUU América Latina fue considerada su “patio trasero”…y así se la trató, la Unión Europea pasaría a ser considerada como su “alfombrilla de baño” (¿queda un poco fuerte decir, “papel higiénico?)…y así se la tratará.</w:t>
      </w:r>
    </w:p>
    <w:p w:rsidR="004265B7" w:rsidRDefault="004265B7" w:rsidP="004265B7">
      <w:pPr>
        <w:pStyle w:val="Default"/>
        <w:jc w:val="both"/>
        <w:rPr>
          <w:rFonts w:ascii="Times New Roman" w:hAnsi="Times New Roman" w:cs="Times New Roman"/>
        </w:rPr>
      </w:pPr>
    </w:p>
    <w:p w:rsidR="004265B7" w:rsidRDefault="004265B7" w:rsidP="004265B7">
      <w:pPr>
        <w:pStyle w:val="Default"/>
        <w:jc w:val="both"/>
        <w:rPr>
          <w:rFonts w:ascii="Times New Roman" w:hAnsi="Times New Roman" w:cs="Times New Roman"/>
        </w:rPr>
      </w:pPr>
      <w:r>
        <w:rPr>
          <w:rFonts w:ascii="Times New Roman" w:hAnsi="Times New Roman" w:cs="Times New Roman"/>
        </w:rPr>
        <w:t>Entonces, parafraseando a Churchill, cabría decir: La Unión Europea tuvo que elegir entre la humillación y el mercado. Eligió la humillación y se quedará sin el mercado.</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sidRPr="000721AA">
        <w:rPr>
          <w:rFonts w:ascii="Times New Roman" w:hAnsi="Times New Roman" w:cs="Times New Roman"/>
          <w:b/>
          <w:color w:val="222222"/>
          <w:sz w:val="24"/>
          <w:szCs w:val="24"/>
        </w:rPr>
        <w:t>Allá por el año 2003, Robert Kagan escribía: “Ha llegado el momento de dejar de fingir que Europa y los EEUU comparten la misma visión del mundo o incluso que viven en el mismo mundo”.</w:t>
      </w:r>
      <w:r w:rsidRPr="00A71441">
        <w:rPr>
          <w:rFonts w:ascii="Times New Roman" w:hAnsi="Times New Roman" w:cs="Times New Roman"/>
          <w:color w:val="222222"/>
          <w:sz w:val="24"/>
          <w:szCs w:val="24"/>
        </w:rPr>
        <w:t xml:space="preserve"> </w:t>
      </w:r>
      <w:r>
        <w:rPr>
          <w:rFonts w:ascii="Times New Roman" w:hAnsi="Times New Roman" w:cs="Times New Roman"/>
          <w:color w:val="222222"/>
          <w:sz w:val="24"/>
          <w:szCs w:val="24"/>
        </w:rPr>
        <w:t>Según Kagan, los EEUU</w:t>
      </w:r>
      <w:r w:rsidRPr="00A71441">
        <w:rPr>
          <w:rFonts w:ascii="Times New Roman" w:hAnsi="Times New Roman" w:cs="Times New Roman"/>
          <w:color w:val="222222"/>
          <w:sz w:val="24"/>
          <w:szCs w:val="24"/>
        </w:rPr>
        <w:t>, por su pod</w:t>
      </w:r>
      <w:r>
        <w:rPr>
          <w:rFonts w:ascii="Times New Roman" w:hAnsi="Times New Roman" w:cs="Times New Roman"/>
          <w:color w:val="222222"/>
          <w:sz w:val="24"/>
          <w:szCs w:val="24"/>
        </w:rPr>
        <w:t xml:space="preserve">er militar sin rival, vive </w:t>
      </w:r>
      <w:r w:rsidRPr="00A71441">
        <w:rPr>
          <w:rFonts w:ascii="Times New Roman" w:hAnsi="Times New Roman" w:cs="Times New Roman"/>
          <w:color w:val="222222"/>
          <w:sz w:val="24"/>
          <w:szCs w:val="24"/>
        </w:rPr>
        <w:t>en un mundo anárquico y hobbesiano, de buenos y malos, donde los conflictos se resuelven por la fuerza, mediante la coerción, prescindiendo del derecho y de las instituciones internacionales cuando convenga. Europa, en cambio, por su debilidad militar y su experiencia histórica desde mediados del siglo pasado, vive en un mundo kantiano, donde los conflictos se resuelven con negociaciones, el derecho y las organizaciones internacionales, la diplomacia, la presión económica y comercial. El proceso es igual o más importante que los resultados.</w:t>
      </w:r>
    </w:p>
    <w:p w:rsidR="004265B7" w:rsidRDefault="004265B7" w:rsidP="004265B7">
      <w:pPr>
        <w:spacing w:before="100" w:beforeAutospacing="1" w:after="100" w:afterAutospacing="1" w:line="240" w:lineRule="auto"/>
        <w:jc w:val="both"/>
        <w:rPr>
          <w:rFonts w:ascii="Times New Roman" w:hAnsi="Times New Roman" w:cs="Times New Roman"/>
          <w:color w:val="222222"/>
          <w:sz w:val="24"/>
          <w:szCs w:val="24"/>
        </w:rPr>
      </w:pPr>
      <w:r w:rsidRPr="007008DD">
        <w:rPr>
          <w:rFonts w:ascii="Times New Roman" w:hAnsi="Times New Roman" w:cs="Times New Roman"/>
          <w:color w:val="222222"/>
          <w:sz w:val="24"/>
          <w:szCs w:val="24"/>
        </w:rPr>
        <w:t xml:space="preserve">El autor de </w:t>
      </w:r>
      <w:r w:rsidRPr="007008DD">
        <w:rPr>
          <w:rFonts w:ascii="Times New Roman" w:hAnsi="Times New Roman" w:cs="Times New Roman"/>
          <w:i/>
          <w:color w:val="222222"/>
          <w:sz w:val="24"/>
          <w:szCs w:val="24"/>
        </w:rPr>
        <w:t>Poder y debilidad</w:t>
      </w:r>
      <w:r>
        <w:rPr>
          <w:rFonts w:ascii="Times New Roman" w:hAnsi="Times New Roman" w:cs="Times New Roman"/>
          <w:color w:val="222222"/>
          <w:sz w:val="24"/>
          <w:szCs w:val="24"/>
        </w:rPr>
        <w:t xml:space="preserve"> nos revela sin rodeos la forma </w:t>
      </w:r>
      <w:r w:rsidRPr="007008DD">
        <w:rPr>
          <w:rFonts w:ascii="Times New Roman" w:hAnsi="Times New Roman" w:cs="Times New Roman"/>
          <w:color w:val="222222"/>
          <w:sz w:val="24"/>
          <w:szCs w:val="24"/>
        </w:rPr>
        <w:t>en que desde la Casa Blanca se en</w:t>
      </w:r>
      <w:r>
        <w:rPr>
          <w:rFonts w:ascii="Times New Roman" w:hAnsi="Times New Roman" w:cs="Times New Roman"/>
          <w:color w:val="222222"/>
          <w:sz w:val="24"/>
          <w:szCs w:val="24"/>
        </w:rPr>
        <w:t xml:space="preserve">tienden las actuales relaciones </w:t>
      </w:r>
      <w:r w:rsidRPr="007008DD">
        <w:rPr>
          <w:rFonts w:ascii="Times New Roman" w:hAnsi="Times New Roman" w:cs="Times New Roman"/>
          <w:color w:val="222222"/>
          <w:sz w:val="24"/>
          <w:szCs w:val="24"/>
        </w:rPr>
        <w:t>europeo-estadounidenses, o más explícitam</w:t>
      </w:r>
      <w:r>
        <w:rPr>
          <w:rFonts w:ascii="Times New Roman" w:hAnsi="Times New Roman" w:cs="Times New Roman"/>
          <w:color w:val="222222"/>
          <w:sz w:val="24"/>
          <w:szCs w:val="24"/>
        </w:rPr>
        <w:t xml:space="preserve">ente, la brecha transatlántica, </w:t>
      </w:r>
      <w:r w:rsidRPr="007008DD">
        <w:rPr>
          <w:rFonts w:ascii="Times New Roman" w:hAnsi="Times New Roman" w:cs="Times New Roman"/>
          <w:color w:val="222222"/>
          <w:sz w:val="24"/>
          <w:szCs w:val="24"/>
        </w:rPr>
        <w:t>que la última intervención en Irak ha puesto de manifiesto. A la hora de establecer pr</w:t>
      </w:r>
      <w:r>
        <w:rPr>
          <w:rFonts w:ascii="Times New Roman" w:hAnsi="Times New Roman" w:cs="Times New Roman"/>
          <w:color w:val="222222"/>
          <w:sz w:val="24"/>
          <w:szCs w:val="24"/>
        </w:rPr>
        <w:t xml:space="preserve">ioridades en política interior, </w:t>
      </w:r>
      <w:r w:rsidRPr="007008DD">
        <w:rPr>
          <w:rFonts w:ascii="Times New Roman" w:hAnsi="Times New Roman" w:cs="Times New Roman"/>
          <w:color w:val="222222"/>
          <w:sz w:val="24"/>
          <w:szCs w:val="24"/>
        </w:rPr>
        <w:t>definir las posibles amenazas, plantea</w:t>
      </w:r>
      <w:r>
        <w:rPr>
          <w:rFonts w:ascii="Times New Roman" w:hAnsi="Times New Roman" w:cs="Times New Roman"/>
          <w:color w:val="222222"/>
          <w:sz w:val="24"/>
          <w:szCs w:val="24"/>
        </w:rPr>
        <w:t xml:space="preserve">rse retos y diseñar la política </w:t>
      </w:r>
      <w:r w:rsidRPr="007008DD">
        <w:rPr>
          <w:rFonts w:ascii="Times New Roman" w:hAnsi="Times New Roman" w:cs="Times New Roman"/>
          <w:color w:val="222222"/>
          <w:sz w:val="24"/>
          <w:szCs w:val="24"/>
        </w:rPr>
        <w:t>exte</w:t>
      </w:r>
      <w:r>
        <w:rPr>
          <w:rFonts w:ascii="Times New Roman" w:hAnsi="Times New Roman" w:cs="Times New Roman"/>
          <w:color w:val="222222"/>
          <w:sz w:val="24"/>
          <w:szCs w:val="24"/>
        </w:rPr>
        <w:t xml:space="preserve">rior y de defensa, hace tiempo -dice Kagan- que Estados </w:t>
      </w:r>
      <w:r w:rsidRPr="007008DD">
        <w:rPr>
          <w:rFonts w:ascii="Times New Roman" w:hAnsi="Times New Roman" w:cs="Times New Roman"/>
          <w:color w:val="222222"/>
          <w:sz w:val="24"/>
          <w:szCs w:val="24"/>
        </w:rPr>
        <w:t>Unidos y Europa han tomado caminos diferentes.</w:t>
      </w:r>
    </w:p>
    <w:p w:rsidR="004265B7" w:rsidRPr="00E9239D" w:rsidRDefault="004265B7" w:rsidP="004265B7">
      <w:pPr>
        <w:spacing w:line="240" w:lineRule="auto"/>
        <w:jc w:val="both"/>
        <w:rPr>
          <w:rFonts w:ascii="Times New Roman" w:hAnsi="Times New Roman" w:cs="Times New Roman"/>
          <w:b/>
          <w:color w:val="222222"/>
          <w:sz w:val="24"/>
          <w:szCs w:val="24"/>
        </w:rPr>
      </w:pPr>
      <w:r w:rsidRPr="00E9239D">
        <w:rPr>
          <w:rFonts w:ascii="Times New Roman" w:hAnsi="Times New Roman" w:cs="Times New Roman"/>
          <w:b/>
          <w:sz w:val="24"/>
          <w:szCs w:val="24"/>
        </w:rPr>
        <w:t>Doce años después (Marzo de 2015):</w:t>
      </w:r>
      <w:r>
        <w:rPr>
          <w:rFonts w:ascii="Times New Roman" w:hAnsi="Times New Roman" w:cs="Times New Roman"/>
          <w:b/>
          <w:sz w:val="24"/>
          <w:szCs w:val="24"/>
        </w:rPr>
        <w:t xml:space="preserve"> Con TTIP o sin TTIP,</w:t>
      </w:r>
      <w:r w:rsidRPr="00E9239D">
        <w:rPr>
          <w:rFonts w:ascii="Times New Roman" w:hAnsi="Times New Roman" w:cs="Times New Roman"/>
          <w:b/>
          <w:sz w:val="24"/>
          <w:szCs w:val="24"/>
        </w:rPr>
        <w:t xml:space="preserve"> </w:t>
      </w:r>
      <w:r w:rsidRPr="00E9239D">
        <w:rPr>
          <w:rFonts w:ascii="Times New Roman" w:hAnsi="Times New Roman" w:cs="Times New Roman"/>
          <w:b/>
          <w:color w:val="222222"/>
          <w:sz w:val="24"/>
          <w:szCs w:val="24"/>
        </w:rPr>
        <w:t xml:space="preserve">Europa </w:t>
      </w:r>
      <w:r>
        <w:rPr>
          <w:rFonts w:ascii="Times New Roman" w:hAnsi="Times New Roman" w:cs="Times New Roman"/>
          <w:b/>
          <w:color w:val="222222"/>
          <w:sz w:val="24"/>
          <w:szCs w:val="24"/>
        </w:rPr>
        <w:t xml:space="preserve">sigue inmersa </w:t>
      </w:r>
      <w:r w:rsidRPr="00E9239D">
        <w:rPr>
          <w:rFonts w:ascii="Times New Roman" w:hAnsi="Times New Roman" w:cs="Times New Roman"/>
          <w:b/>
          <w:color w:val="222222"/>
          <w:sz w:val="24"/>
          <w:szCs w:val="24"/>
        </w:rPr>
        <w:t>en el círculo “vicioso” del decrecimiento (más allá de los complejos). Con Kagan (la son</w:t>
      </w:r>
      <w:r>
        <w:rPr>
          <w:rFonts w:ascii="Times New Roman" w:hAnsi="Times New Roman" w:cs="Times New Roman"/>
          <w:b/>
          <w:color w:val="222222"/>
          <w:sz w:val="24"/>
          <w:szCs w:val="24"/>
        </w:rPr>
        <w:t xml:space="preserve">risa) o sin Kagan (el sonrojo)… </w:t>
      </w:r>
      <w:r w:rsidRPr="00E9239D">
        <w:rPr>
          <w:rFonts w:ascii="Times New Roman" w:hAnsi="Times New Roman" w:cs="Times New Roman"/>
          <w:b/>
          <w:color w:val="222222"/>
          <w:sz w:val="24"/>
          <w:szCs w:val="24"/>
        </w:rPr>
        <w:t>seguimos “cagados”. ¿Por qué será?</w:t>
      </w:r>
    </w:p>
    <w:p w:rsidR="004265B7" w:rsidRDefault="004265B7" w:rsidP="004265B7">
      <w:pPr>
        <w:pStyle w:val="NormalWeb"/>
        <w:shd w:val="clear" w:color="auto" w:fill="FFFFFF"/>
        <w:jc w:val="both"/>
        <w:rPr>
          <w:b/>
        </w:rPr>
      </w:pPr>
      <w:r w:rsidRPr="00E9239D">
        <w:rPr>
          <w:b/>
        </w:rPr>
        <w:t>Nadie es capaz de predecir por cuánto tiempo más los gobernantes europeos</w:t>
      </w:r>
      <w:r>
        <w:rPr>
          <w:b/>
        </w:rPr>
        <w:t xml:space="preserve"> (entre paradigmas fallidos y retóricas absurdas)</w:t>
      </w:r>
      <w:r w:rsidRPr="00E9239D">
        <w:rPr>
          <w:b/>
        </w:rPr>
        <w:t xml:space="preserve"> podrán seguir convenciendo a sus ciudadanos (¿contribuyentes expoliados, súbditos obedientes, manada dócil, pesebre silencioso?) con un crecimiento falso, dinero falso, trabajos falsos, estabilidad financiera falsa, inflación falsa y crecimiento de los ingresos falsos</w:t>
      </w:r>
      <w:r>
        <w:rPr>
          <w:b/>
        </w:rPr>
        <w:t>.</w:t>
      </w:r>
    </w:p>
    <w:p w:rsidR="00DF333C" w:rsidRDefault="00DF333C" w:rsidP="004265B7">
      <w:pPr>
        <w:pStyle w:val="NormalWeb"/>
        <w:shd w:val="clear" w:color="auto" w:fill="FFFFFF"/>
        <w:jc w:val="both"/>
        <w:rPr>
          <w:b/>
        </w:rPr>
      </w:pPr>
    </w:p>
    <w:p w:rsidR="004265B7" w:rsidRPr="00F15CEC" w:rsidRDefault="00DF333C" w:rsidP="00DF333C">
      <w:pPr>
        <w:shd w:val="clear" w:color="auto" w:fill="FFFFFF"/>
        <w:spacing w:after="360" w:line="240" w:lineRule="auto"/>
        <w:jc w:val="both"/>
        <w:rPr>
          <w:rFonts w:ascii="Times New Roman" w:eastAsia="Times New Roman" w:hAnsi="Times New Roman"/>
          <w:b/>
          <w:sz w:val="24"/>
          <w:szCs w:val="24"/>
          <w:lang w:eastAsia="es-ES"/>
        </w:rPr>
      </w:pPr>
      <w:r w:rsidRPr="00F15CEC">
        <w:rPr>
          <w:rFonts w:ascii="Times New Roman" w:eastAsia="Times New Roman" w:hAnsi="Times New Roman"/>
          <w:b/>
          <w:sz w:val="24"/>
          <w:szCs w:val="24"/>
          <w:lang w:eastAsia="es-ES"/>
        </w:rPr>
        <w:t>La divergencia entre los Estados Unidos y la Unión Europea es un fenómeno tanto político como económico y financiero.  Para superarlo hay que garantizar un crecimiento constante y fina</w:t>
      </w:r>
      <w:r w:rsidR="00F15CEC" w:rsidRPr="00F15CEC">
        <w:rPr>
          <w:rFonts w:ascii="Times New Roman" w:eastAsia="Times New Roman" w:hAnsi="Times New Roman"/>
          <w:b/>
          <w:sz w:val="24"/>
          <w:szCs w:val="24"/>
          <w:lang w:eastAsia="es-ES"/>
        </w:rPr>
        <w:t>ncieramente sostenible</w:t>
      </w:r>
      <w:r w:rsidR="00F65FB5">
        <w:rPr>
          <w:rFonts w:ascii="Times New Roman" w:eastAsia="Times New Roman" w:hAnsi="Times New Roman"/>
          <w:b/>
          <w:sz w:val="24"/>
          <w:szCs w:val="24"/>
          <w:lang w:eastAsia="es-ES"/>
        </w:rPr>
        <w:t>, que requiere</w:t>
      </w:r>
      <w:r w:rsidRPr="00F15CEC">
        <w:rPr>
          <w:rFonts w:ascii="Times New Roman" w:eastAsia="Times New Roman" w:hAnsi="Times New Roman"/>
          <w:b/>
          <w:sz w:val="24"/>
          <w:szCs w:val="24"/>
          <w:lang w:eastAsia="es-ES"/>
        </w:rPr>
        <w:t xml:space="preserve"> la adopción de políticas nacionales receptivas y una amplia</w:t>
      </w:r>
      <w:r w:rsidR="00F15CEC" w:rsidRPr="00F15CEC">
        <w:rPr>
          <w:rFonts w:ascii="Times New Roman" w:eastAsia="Times New Roman" w:hAnsi="Times New Roman"/>
          <w:b/>
          <w:sz w:val="24"/>
          <w:szCs w:val="24"/>
          <w:lang w:eastAsia="es-ES"/>
        </w:rPr>
        <w:t xml:space="preserve"> (y generosa)</w:t>
      </w:r>
      <w:r w:rsidRPr="00F15CEC">
        <w:rPr>
          <w:rFonts w:ascii="Times New Roman" w:eastAsia="Times New Roman" w:hAnsi="Times New Roman"/>
          <w:b/>
          <w:sz w:val="24"/>
          <w:szCs w:val="24"/>
          <w:lang w:eastAsia="es-ES"/>
        </w:rPr>
        <w:t xml:space="preserve"> coordinación bilateral. Lamentablemente, el ambiente político actual, bastante complicado, ha impedido hasta el momento la </w:t>
      </w:r>
      <w:r w:rsidR="008A7F60">
        <w:rPr>
          <w:rFonts w:ascii="Times New Roman" w:eastAsia="Times New Roman" w:hAnsi="Times New Roman"/>
          <w:b/>
          <w:sz w:val="24"/>
          <w:szCs w:val="24"/>
          <w:lang w:eastAsia="es-ES"/>
        </w:rPr>
        <w:t>aplicación de este proyecto</w:t>
      </w:r>
      <w:r w:rsidRPr="00F15CEC">
        <w:rPr>
          <w:rFonts w:ascii="Times New Roman" w:eastAsia="Times New Roman" w:hAnsi="Times New Roman"/>
          <w:b/>
          <w:sz w:val="24"/>
          <w:szCs w:val="24"/>
          <w:lang w:eastAsia="es-ES"/>
        </w:rPr>
        <w:t>.</w:t>
      </w:r>
      <w:r w:rsidR="004D10B3">
        <w:rPr>
          <w:rFonts w:ascii="Times New Roman" w:eastAsia="Times New Roman" w:hAnsi="Times New Roman"/>
          <w:b/>
          <w:sz w:val="24"/>
          <w:szCs w:val="24"/>
          <w:lang w:eastAsia="es-ES"/>
        </w:rPr>
        <w:t xml:space="preserve"> ¿Con esta</w:t>
      </w:r>
      <w:r w:rsidR="006A3FC3">
        <w:rPr>
          <w:rFonts w:ascii="Times New Roman" w:eastAsia="Times New Roman" w:hAnsi="Times New Roman"/>
          <w:b/>
          <w:sz w:val="24"/>
          <w:szCs w:val="24"/>
          <w:lang w:eastAsia="es-ES"/>
        </w:rPr>
        <w:t>s</w:t>
      </w:r>
      <w:r w:rsidR="008A7F60">
        <w:rPr>
          <w:rFonts w:ascii="Times New Roman" w:eastAsia="Times New Roman" w:hAnsi="Times New Roman"/>
          <w:b/>
          <w:sz w:val="24"/>
          <w:szCs w:val="24"/>
          <w:lang w:eastAsia="es-ES"/>
        </w:rPr>
        <w:t xml:space="preserve"> asimetrías</w:t>
      </w:r>
      <w:r w:rsidR="00D1550D">
        <w:rPr>
          <w:rFonts w:ascii="Times New Roman" w:eastAsia="Times New Roman" w:hAnsi="Times New Roman"/>
          <w:b/>
          <w:sz w:val="24"/>
          <w:szCs w:val="24"/>
          <w:lang w:eastAsia="es-ES"/>
        </w:rPr>
        <w:t>,</w:t>
      </w:r>
      <w:r w:rsidR="004D10B3">
        <w:rPr>
          <w:rFonts w:ascii="Times New Roman" w:eastAsia="Times New Roman" w:hAnsi="Times New Roman"/>
          <w:b/>
          <w:sz w:val="24"/>
          <w:szCs w:val="24"/>
          <w:lang w:eastAsia="es-ES"/>
        </w:rPr>
        <w:t xml:space="preserve"> un TTIP?</w:t>
      </w:r>
    </w:p>
    <w:p w:rsidR="000369FD" w:rsidRPr="008A7F60" w:rsidRDefault="00DF333C" w:rsidP="008A7F60">
      <w:pPr>
        <w:shd w:val="clear" w:color="auto" w:fill="FFFFFF"/>
        <w:spacing w:after="360" w:line="240" w:lineRule="auto"/>
        <w:jc w:val="both"/>
        <w:rPr>
          <w:rFonts w:ascii="Times New Roman" w:eastAsia="Times New Roman" w:hAnsi="Times New Roman"/>
          <w:b/>
          <w:sz w:val="24"/>
          <w:szCs w:val="24"/>
          <w:lang w:eastAsia="es-ES"/>
        </w:rPr>
      </w:pPr>
      <w:r w:rsidRPr="00F15CEC">
        <w:rPr>
          <w:rFonts w:ascii="Times New Roman" w:eastAsia="Times New Roman" w:hAnsi="Times New Roman"/>
          <w:b/>
          <w:sz w:val="24"/>
          <w:szCs w:val="24"/>
          <w:lang w:eastAsia="es-ES"/>
        </w:rPr>
        <w:t>Demasiados dirige</w:t>
      </w:r>
      <w:r w:rsidR="00F15CEC" w:rsidRPr="00F15CEC">
        <w:rPr>
          <w:rFonts w:ascii="Times New Roman" w:eastAsia="Times New Roman" w:hAnsi="Times New Roman"/>
          <w:b/>
          <w:sz w:val="24"/>
          <w:szCs w:val="24"/>
          <w:lang w:eastAsia="es-ES"/>
        </w:rPr>
        <w:t>ntes políticos</w:t>
      </w:r>
      <w:r w:rsidR="00A17C42">
        <w:rPr>
          <w:rFonts w:ascii="Times New Roman" w:eastAsia="Times New Roman" w:hAnsi="Times New Roman"/>
          <w:b/>
          <w:sz w:val="24"/>
          <w:szCs w:val="24"/>
          <w:lang w:eastAsia="es-ES"/>
        </w:rPr>
        <w:t xml:space="preserve"> europeos (arrogantes o corruptos</w:t>
      </w:r>
      <w:r w:rsidR="00F65FB5">
        <w:rPr>
          <w:rFonts w:ascii="Times New Roman" w:eastAsia="Times New Roman" w:hAnsi="Times New Roman"/>
          <w:b/>
          <w:sz w:val="24"/>
          <w:szCs w:val="24"/>
          <w:lang w:eastAsia="es-ES"/>
        </w:rPr>
        <w:t>... tal vez, las dos cosas)</w:t>
      </w:r>
      <w:r w:rsidR="00F15CEC" w:rsidRPr="00F15CEC">
        <w:rPr>
          <w:rFonts w:ascii="Times New Roman" w:eastAsia="Times New Roman" w:hAnsi="Times New Roman"/>
          <w:b/>
          <w:sz w:val="24"/>
          <w:szCs w:val="24"/>
          <w:lang w:eastAsia="es-ES"/>
        </w:rPr>
        <w:t xml:space="preserve"> </w:t>
      </w:r>
      <w:r w:rsidRPr="00F15CEC">
        <w:rPr>
          <w:rFonts w:ascii="Times New Roman" w:eastAsia="Times New Roman" w:hAnsi="Times New Roman"/>
          <w:b/>
          <w:sz w:val="24"/>
          <w:szCs w:val="24"/>
          <w:lang w:eastAsia="es-ES"/>
        </w:rPr>
        <w:t>sigue</w:t>
      </w:r>
      <w:r w:rsidR="004C6CDB">
        <w:rPr>
          <w:rFonts w:ascii="Times New Roman" w:eastAsia="Times New Roman" w:hAnsi="Times New Roman"/>
          <w:b/>
          <w:sz w:val="24"/>
          <w:szCs w:val="24"/>
          <w:lang w:eastAsia="es-ES"/>
        </w:rPr>
        <w:t xml:space="preserve">n incapacitados -o poco </w:t>
      </w:r>
      <w:r w:rsidR="00F15CEC" w:rsidRPr="00F15CEC">
        <w:rPr>
          <w:rFonts w:ascii="Times New Roman" w:eastAsia="Times New Roman" w:hAnsi="Times New Roman"/>
          <w:b/>
          <w:sz w:val="24"/>
          <w:szCs w:val="24"/>
          <w:lang w:eastAsia="es-ES"/>
        </w:rPr>
        <w:t>dispuestos</w:t>
      </w:r>
      <w:r w:rsidRPr="00F15CEC">
        <w:rPr>
          <w:rFonts w:ascii="Times New Roman" w:eastAsia="Times New Roman" w:hAnsi="Times New Roman"/>
          <w:b/>
          <w:sz w:val="24"/>
          <w:szCs w:val="24"/>
          <w:lang w:eastAsia="es-ES"/>
        </w:rPr>
        <w:t>- para cumplir con sus deberes en materia de gobernación económica. Resulta particularmente lam</w:t>
      </w:r>
      <w:r w:rsidR="00F15CEC" w:rsidRPr="00F15CEC">
        <w:rPr>
          <w:rFonts w:ascii="Times New Roman" w:eastAsia="Times New Roman" w:hAnsi="Times New Roman"/>
          <w:b/>
          <w:sz w:val="24"/>
          <w:szCs w:val="24"/>
          <w:lang w:eastAsia="es-ES"/>
        </w:rPr>
        <w:t>entable,</w:t>
      </w:r>
      <w:r w:rsidR="00F65FB5">
        <w:rPr>
          <w:rFonts w:ascii="Times New Roman" w:eastAsia="Times New Roman" w:hAnsi="Times New Roman"/>
          <w:b/>
          <w:sz w:val="24"/>
          <w:szCs w:val="24"/>
          <w:lang w:eastAsia="es-ES"/>
        </w:rPr>
        <w:t xml:space="preserve"> la falta de acción para concretar</w:t>
      </w:r>
      <w:r w:rsidRPr="00F15CEC">
        <w:rPr>
          <w:rFonts w:ascii="Times New Roman" w:eastAsia="Times New Roman" w:hAnsi="Times New Roman"/>
          <w:b/>
          <w:sz w:val="24"/>
          <w:szCs w:val="24"/>
          <w:lang w:eastAsia="es-ES"/>
        </w:rPr>
        <w:t>: reformas estructurales para reavivar los motores del crecimiento, medidas encaminadas a reequilibrar la demanda agregada y la eliminació</w:t>
      </w:r>
      <w:r w:rsidR="00F15CEC" w:rsidRPr="00F15CEC">
        <w:rPr>
          <w:rFonts w:ascii="Times New Roman" w:eastAsia="Times New Roman" w:hAnsi="Times New Roman"/>
          <w:b/>
          <w:sz w:val="24"/>
          <w:szCs w:val="24"/>
          <w:lang w:eastAsia="es-ES"/>
        </w:rPr>
        <w:t>n del endeuda</w:t>
      </w:r>
      <w:r w:rsidR="007732F0">
        <w:rPr>
          <w:rFonts w:ascii="Times New Roman" w:eastAsia="Times New Roman" w:hAnsi="Times New Roman"/>
          <w:b/>
          <w:sz w:val="24"/>
          <w:szCs w:val="24"/>
          <w:lang w:eastAsia="es-ES"/>
        </w:rPr>
        <w:t xml:space="preserve">miento excesivo. </w:t>
      </w:r>
      <w:r w:rsidR="007732F0" w:rsidRPr="007732F0">
        <w:rPr>
          <w:rFonts w:ascii="Times New Roman" w:eastAsia="Times New Roman" w:hAnsi="Times New Roman"/>
          <w:b/>
          <w:sz w:val="24"/>
          <w:szCs w:val="24"/>
          <w:lang w:eastAsia="es-ES"/>
        </w:rPr>
        <w:t>La dura realidad</w:t>
      </w:r>
      <w:r w:rsidR="004D10B3">
        <w:rPr>
          <w:rFonts w:ascii="Times New Roman" w:eastAsia="Times New Roman" w:hAnsi="Times New Roman"/>
          <w:b/>
          <w:sz w:val="24"/>
          <w:szCs w:val="24"/>
          <w:lang w:eastAsia="es-ES"/>
        </w:rPr>
        <w:t xml:space="preserve"> de la UE (y también de los</w:t>
      </w:r>
      <w:r w:rsidR="00D1550D">
        <w:rPr>
          <w:rFonts w:ascii="Times New Roman" w:eastAsia="Times New Roman" w:hAnsi="Times New Roman"/>
          <w:b/>
          <w:sz w:val="24"/>
          <w:szCs w:val="24"/>
          <w:lang w:eastAsia="es-ES"/>
        </w:rPr>
        <w:t xml:space="preserve"> EEUU, hasta donde logro entender</w:t>
      </w:r>
      <w:r w:rsidR="004D10B3">
        <w:rPr>
          <w:rFonts w:ascii="Times New Roman" w:eastAsia="Times New Roman" w:hAnsi="Times New Roman"/>
          <w:b/>
          <w:sz w:val="24"/>
          <w:szCs w:val="24"/>
          <w:lang w:eastAsia="es-ES"/>
        </w:rPr>
        <w:t>)</w:t>
      </w:r>
      <w:r w:rsidR="007732F0" w:rsidRPr="007732F0">
        <w:rPr>
          <w:rFonts w:ascii="Times New Roman" w:eastAsia="Times New Roman" w:hAnsi="Times New Roman"/>
          <w:b/>
          <w:sz w:val="24"/>
          <w:szCs w:val="24"/>
          <w:lang w:eastAsia="es-ES"/>
        </w:rPr>
        <w:t xml:space="preserve"> es una </w:t>
      </w:r>
      <w:r w:rsidR="007732F0">
        <w:rPr>
          <w:rFonts w:ascii="Times New Roman" w:eastAsia="Times New Roman" w:hAnsi="Times New Roman"/>
          <w:b/>
          <w:sz w:val="24"/>
          <w:szCs w:val="24"/>
          <w:lang w:eastAsia="es-ES"/>
        </w:rPr>
        <w:t>desoladora confusión de</w:t>
      </w:r>
      <w:r w:rsidR="00A17C42">
        <w:rPr>
          <w:rFonts w:ascii="Times New Roman" w:eastAsia="Times New Roman" w:hAnsi="Times New Roman"/>
          <w:b/>
          <w:sz w:val="24"/>
          <w:szCs w:val="24"/>
          <w:lang w:eastAsia="es-ES"/>
        </w:rPr>
        <w:t xml:space="preserve"> cegueras voluntarias,</w:t>
      </w:r>
      <w:r w:rsidR="007732F0">
        <w:rPr>
          <w:rFonts w:ascii="Times New Roman" w:eastAsia="Times New Roman" w:hAnsi="Times New Roman"/>
          <w:b/>
          <w:sz w:val="24"/>
          <w:szCs w:val="24"/>
          <w:lang w:eastAsia="es-ES"/>
        </w:rPr>
        <w:t xml:space="preserve"> </w:t>
      </w:r>
      <w:r w:rsidR="007732F0" w:rsidRPr="007732F0">
        <w:rPr>
          <w:rFonts w:ascii="Times New Roman" w:eastAsia="Times New Roman" w:hAnsi="Times New Roman"/>
          <w:b/>
          <w:sz w:val="24"/>
          <w:szCs w:val="24"/>
          <w:lang w:eastAsia="es-ES"/>
        </w:rPr>
        <w:t>ideales</w:t>
      </w:r>
      <w:r w:rsidR="007732F0">
        <w:rPr>
          <w:rFonts w:ascii="Times New Roman" w:eastAsia="Times New Roman" w:hAnsi="Times New Roman"/>
          <w:b/>
          <w:sz w:val="24"/>
          <w:szCs w:val="24"/>
          <w:lang w:eastAsia="es-ES"/>
        </w:rPr>
        <w:t xml:space="preserve"> pendientes y torpes realizaciones</w:t>
      </w:r>
      <w:r w:rsidR="007732F0" w:rsidRPr="007732F0">
        <w:rPr>
          <w:rFonts w:ascii="Times New Roman" w:eastAsia="Times New Roman" w:hAnsi="Times New Roman"/>
          <w:b/>
          <w:sz w:val="24"/>
          <w:szCs w:val="24"/>
          <w:lang w:eastAsia="es-ES"/>
        </w:rPr>
        <w:t>.</w:t>
      </w:r>
      <w:r w:rsidR="00BA209C">
        <w:rPr>
          <w:rFonts w:ascii="Times New Roman" w:eastAsia="Times New Roman" w:hAnsi="Times New Roman"/>
          <w:b/>
          <w:sz w:val="24"/>
          <w:szCs w:val="24"/>
          <w:lang w:eastAsia="es-ES"/>
        </w:rPr>
        <w:t xml:space="preserve"> ¿Con estos fatuos</w:t>
      </w:r>
      <w:bookmarkStart w:id="5" w:name="_GoBack"/>
      <w:bookmarkEnd w:id="5"/>
      <w:r w:rsidR="00D1550D">
        <w:rPr>
          <w:rFonts w:ascii="Times New Roman" w:eastAsia="Times New Roman" w:hAnsi="Times New Roman"/>
          <w:b/>
          <w:sz w:val="24"/>
          <w:szCs w:val="24"/>
          <w:lang w:eastAsia="es-ES"/>
        </w:rPr>
        <w:t>,</w:t>
      </w:r>
      <w:r w:rsidR="004D10B3">
        <w:rPr>
          <w:rFonts w:ascii="Times New Roman" w:eastAsia="Times New Roman" w:hAnsi="Times New Roman"/>
          <w:b/>
          <w:sz w:val="24"/>
          <w:szCs w:val="24"/>
          <w:lang w:eastAsia="es-ES"/>
        </w:rPr>
        <w:t xml:space="preserve"> un TTIP?</w:t>
      </w:r>
    </w:p>
    <w:sectPr w:rsidR="000369FD" w:rsidRPr="008A7F60">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Lato">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Helvetica">
    <w:panose1 w:val="020B05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87045"/>
    <w:multiLevelType w:val="multilevel"/>
    <w:tmpl w:val="A7AAA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4E55479"/>
    <w:multiLevelType w:val="multilevel"/>
    <w:tmpl w:val="EE6AF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F8218B"/>
    <w:multiLevelType w:val="multilevel"/>
    <w:tmpl w:val="06041058"/>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Times New Roman" w:eastAsia="Times New Roman" w:hAnsi="Times New Roman" w:cs="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D5459B9"/>
    <w:multiLevelType w:val="multilevel"/>
    <w:tmpl w:val="C3565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1915F59"/>
    <w:multiLevelType w:val="hybridMultilevel"/>
    <w:tmpl w:val="8496D922"/>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22FA02CC"/>
    <w:multiLevelType w:val="multilevel"/>
    <w:tmpl w:val="0804C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B9358B"/>
    <w:multiLevelType w:val="hybridMultilevel"/>
    <w:tmpl w:val="0DD4E2A0"/>
    <w:lvl w:ilvl="0" w:tplc="25BCEBE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2EBE5E45"/>
    <w:multiLevelType w:val="multilevel"/>
    <w:tmpl w:val="AF9EF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F4245A3"/>
    <w:multiLevelType w:val="multilevel"/>
    <w:tmpl w:val="831EA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993098"/>
    <w:multiLevelType w:val="multilevel"/>
    <w:tmpl w:val="E1E25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2DD7E28"/>
    <w:multiLevelType w:val="multilevel"/>
    <w:tmpl w:val="335245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EF8028A"/>
    <w:multiLevelType w:val="multilevel"/>
    <w:tmpl w:val="16041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9BD2B9E"/>
    <w:multiLevelType w:val="multilevel"/>
    <w:tmpl w:val="FEC8F9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651772C6"/>
    <w:multiLevelType w:val="multilevel"/>
    <w:tmpl w:val="BA422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66A75F1A"/>
    <w:multiLevelType w:val="multilevel"/>
    <w:tmpl w:val="67FCC33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698F6027"/>
    <w:multiLevelType w:val="multilevel"/>
    <w:tmpl w:val="E0408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AAD3A19"/>
    <w:multiLevelType w:val="hybridMultilevel"/>
    <w:tmpl w:val="5BDC8B02"/>
    <w:lvl w:ilvl="0" w:tplc="C45EC2C4">
      <w:start w:val="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6FAD0A03"/>
    <w:multiLevelType w:val="multilevel"/>
    <w:tmpl w:val="A62EB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E6F3C3E"/>
    <w:multiLevelType w:val="multilevel"/>
    <w:tmpl w:val="D0F28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4"/>
  </w:num>
  <w:num w:numId="3">
    <w:abstractNumId w:val="7"/>
    <w:lvlOverride w:ilvl="0">
      <w:lvl w:ilvl="0">
        <w:numFmt w:val="bullet"/>
        <w:lvlText w:val=""/>
        <w:lvlJc w:val="left"/>
        <w:pPr>
          <w:tabs>
            <w:tab w:val="num" w:pos="720"/>
          </w:tabs>
          <w:ind w:left="720" w:hanging="360"/>
        </w:pPr>
        <w:rPr>
          <w:rFonts w:ascii="Wingdings" w:hAnsi="Wingdings" w:hint="default"/>
          <w:sz w:val="20"/>
        </w:rPr>
      </w:lvl>
    </w:lvlOverride>
  </w:num>
  <w:num w:numId="4">
    <w:abstractNumId w:val="15"/>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17"/>
    <w:lvlOverride w:ilvl="0">
      <w:lvl w:ilvl="0">
        <w:numFmt w:val="bullet"/>
        <w:lvlText w:val=""/>
        <w:lvlJc w:val="left"/>
        <w:pPr>
          <w:tabs>
            <w:tab w:val="num" w:pos="720"/>
          </w:tabs>
          <w:ind w:left="720" w:hanging="360"/>
        </w:pPr>
        <w:rPr>
          <w:rFonts w:ascii="Wingdings" w:hAnsi="Wingdings" w:hint="default"/>
          <w:sz w:val="20"/>
        </w:rPr>
      </w:lvl>
    </w:lvlOverride>
  </w:num>
  <w:num w:numId="6">
    <w:abstractNumId w:val="9"/>
    <w:lvlOverride w:ilvl="0">
      <w:lvl w:ilvl="0">
        <w:numFmt w:val="bullet"/>
        <w:lvlText w:val=""/>
        <w:lvlJc w:val="left"/>
        <w:pPr>
          <w:tabs>
            <w:tab w:val="num" w:pos="720"/>
          </w:tabs>
          <w:ind w:left="720" w:hanging="360"/>
        </w:pPr>
        <w:rPr>
          <w:rFonts w:ascii="Wingdings" w:hAnsi="Wingdings" w:hint="default"/>
          <w:sz w:val="20"/>
        </w:rPr>
      </w:lvl>
    </w:lvlOverride>
  </w:num>
  <w:num w:numId="7">
    <w:abstractNumId w:val="16"/>
  </w:num>
  <w:num w:numId="8">
    <w:abstractNumId w:val="10"/>
  </w:num>
  <w:num w:numId="9">
    <w:abstractNumId w:val="3"/>
  </w:num>
  <w:num w:numId="10">
    <w:abstractNumId w:val="2"/>
  </w:num>
  <w:num w:numId="11">
    <w:abstractNumId w:val="13"/>
  </w:num>
  <w:num w:numId="12">
    <w:abstractNumId w:val="18"/>
  </w:num>
  <w:num w:numId="13">
    <w:abstractNumId w:val="0"/>
  </w:num>
  <w:num w:numId="14">
    <w:abstractNumId w:val="12"/>
  </w:num>
  <w:num w:numId="15">
    <w:abstractNumId w:val="8"/>
  </w:num>
  <w:num w:numId="16">
    <w:abstractNumId w:val="5"/>
  </w:num>
  <w:num w:numId="17">
    <w:abstractNumId w:val="1"/>
  </w:num>
  <w:num w:numId="18">
    <w:abstractNumId w:val="11"/>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69FD"/>
    <w:rsid w:val="000369FD"/>
    <w:rsid w:val="000721AA"/>
    <w:rsid w:val="000A5C64"/>
    <w:rsid w:val="000B6E8B"/>
    <w:rsid w:val="000E016F"/>
    <w:rsid w:val="000F7FD4"/>
    <w:rsid w:val="00134FEC"/>
    <w:rsid w:val="001C59BE"/>
    <w:rsid w:val="002B56BE"/>
    <w:rsid w:val="00382947"/>
    <w:rsid w:val="003976C3"/>
    <w:rsid w:val="003A18B6"/>
    <w:rsid w:val="003C7DEE"/>
    <w:rsid w:val="004265B7"/>
    <w:rsid w:val="004670F0"/>
    <w:rsid w:val="0049263A"/>
    <w:rsid w:val="004C6CDB"/>
    <w:rsid w:val="004D10B3"/>
    <w:rsid w:val="00620BCB"/>
    <w:rsid w:val="006A3FC3"/>
    <w:rsid w:val="007732F0"/>
    <w:rsid w:val="008742C5"/>
    <w:rsid w:val="008A7F60"/>
    <w:rsid w:val="008C309C"/>
    <w:rsid w:val="00A17C42"/>
    <w:rsid w:val="00A20232"/>
    <w:rsid w:val="00B44EDC"/>
    <w:rsid w:val="00B454ED"/>
    <w:rsid w:val="00B96388"/>
    <w:rsid w:val="00BA209C"/>
    <w:rsid w:val="00D0418B"/>
    <w:rsid w:val="00D1550D"/>
    <w:rsid w:val="00D219E3"/>
    <w:rsid w:val="00DF333C"/>
    <w:rsid w:val="00EB3BF8"/>
    <w:rsid w:val="00F012CB"/>
    <w:rsid w:val="00F15CEC"/>
    <w:rsid w:val="00F440B1"/>
    <w:rsid w:val="00F65FB5"/>
    <w:rsid w:val="00FE112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26BC36C-2D42-41FC-AC22-48D064D51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69FD"/>
    <w:pPr>
      <w:spacing w:after="200" w:line="276" w:lineRule="auto"/>
    </w:pPr>
  </w:style>
  <w:style w:type="paragraph" w:styleId="Ttulo1">
    <w:name w:val="heading 1"/>
    <w:basedOn w:val="Normal"/>
    <w:next w:val="Normal"/>
    <w:link w:val="Ttulo1Car"/>
    <w:uiPriority w:val="9"/>
    <w:qFormat/>
    <w:rsid w:val="000369F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Ttulo2">
    <w:name w:val="heading 2"/>
    <w:basedOn w:val="Normal"/>
    <w:next w:val="Normal"/>
    <w:link w:val="Ttulo2Car"/>
    <w:uiPriority w:val="9"/>
    <w:semiHidden/>
    <w:unhideWhenUsed/>
    <w:qFormat/>
    <w:rsid w:val="000369FD"/>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ar"/>
    <w:uiPriority w:val="9"/>
    <w:unhideWhenUsed/>
    <w:qFormat/>
    <w:rsid w:val="000369FD"/>
    <w:pPr>
      <w:keepNext/>
      <w:keepLines/>
      <w:spacing w:before="200" w:after="0"/>
      <w:outlineLvl w:val="2"/>
    </w:pPr>
    <w:rPr>
      <w:rFonts w:asciiTheme="majorHAnsi" w:eastAsiaTheme="majorEastAsia" w:hAnsiTheme="majorHAnsi" w:cstheme="majorBidi"/>
      <w:b/>
      <w:bCs/>
      <w:color w:val="5B9BD5" w:themeColor="accent1"/>
    </w:rPr>
  </w:style>
  <w:style w:type="paragraph" w:styleId="Ttulo4">
    <w:name w:val="heading 4"/>
    <w:basedOn w:val="Normal"/>
    <w:link w:val="Ttulo4Car"/>
    <w:uiPriority w:val="9"/>
    <w:qFormat/>
    <w:rsid w:val="000369FD"/>
    <w:pPr>
      <w:spacing w:before="100" w:beforeAutospacing="1" w:after="100" w:afterAutospacing="1" w:line="240" w:lineRule="auto"/>
      <w:outlineLvl w:val="3"/>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369FD"/>
    <w:rPr>
      <w:rFonts w:asciiTheme="majorHAnsi" w:eastAsiaTheme="majorEastAsia" w:hAnsiTheme="majorHAnsi" w:cstheme="majorBidi"/>
      <w:b/>
      <w:bCs/>
      <w:color w:val="2E74B5" w:themeColor="accent1" w:themeShade="BF"/>
      <w:sz w:val="28"/>
      <w:szCs w:val="28"/>
    </w:rPr>
  </w:style>
  <w:style w:type="character" w:customStyle="1" w:styleId="Ttulo2Car">
    <w:name w:val="Título 2 Car"/>
    <w:basedOn w:val="Fuentedeprrafopredeter"/>
    <w:link w:val="Ttulo2"/>
    <w:uiPriority w:val="9"/>
    <w:semiHidden/>
    <w:rsid w:val="000369FD"/>
    <w:rPr>
      <w:rFonts w:asciiTheme="majorHAnsi" w:eastAsiaTheme="majorEastAsia" w:hAnsiTheme="majorHAnsi" w:cstheme="majorBidi"/>
      <w:b/>
      <w:bCs/>
      <w:color w:val="5B9BD5" w:themeColor="accent1"/>
      <w:sz w:val="26"/>
      <w:szCs w:val="26"/>
    </w:rPr>
  </w:style>
  <w:style w:type="character" w:customStyle="1" w:styleId="Ttulo3Car">
    <w:name w:val="Título 3 Car"/>
    <w:basedOn w:val="Fuentedeprrafopredeter"/>
    <w:link w:val="Ttulo3"/>
    <w:uiPriority w:val="9"/>
    <w:rsid w:val="000369FD"/>
    <w:rPr>
      <w:rFonts w:asciiTheme="majorHAnsi" w:eastAsiaTheme="majorEastAsia" w:hAnsiTheme="majorHAnsi" w:cstheme="majorBidi"/>
      <w:b/>
      <w:bCs/>
      <w:color w:val="5B9BD5" w:themeColor="accent1"/>
    </w:rPr>
  </w:style>
  <w:style w:type="character" w:customStyle="1" w:styleId="Ttulo4Car">
    <w:name w:val="Título 4 Car"/>
    <w:basedOn w:val="Fuentedeprrafopredeter"/>
    <w:link w:val="Ttulo4"/>
    <w:uiPriority w:val="9"/>
    <w:rsid w:val="000369FD"/>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0369FD"/>
    <w:pPr>
      <w:ind w:left="720"/>
      <w:contextualSpacing/>
    </w:pPr>
  </w:style>
  <w:style w:type="character" w:styleId="Hipervnculo">
    <w:name w:val="Hyperlink"/>
    <w:basedOn w:val="Fuentedeprrafopredeter"/>
    <w:uiPriority w:val="99"/>
    <w:unhideWhenUsed/>
    <w:rsid w:val="000369FD"/>
    <w:rPr>
      <w:color w:val="0563C1" w:themeColor="hyperlink"/>
      <w:u w:val="single"/>
    </w:rPr>
  </w:style>
  <w:style w:type="paragraph" w:styleId="Textodeglobo">
    <w:name w:val="Balloon Text"/>
    <w:basedOn w:val="Normal"/>
    <w:link w:val="TextodegloboCar"/>
    <w:uiPriority w:val="99"/>
    <w:semiHidden/>
    <w:unhideWhenUsed/>
    <w:rsid w:val="000369F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369FD"/>
    <w:rPr>
      <w:rFonts w:ascii="Tahoma" w:hAnsi="Tahoma" w:cs="Tahoma"/>
      <w:sz w:val="16"/>
      <w:szCs w:val="16"/>
    </w:rPr>
  </w:style>
  <w:style w:type="character" w:styleId="Textoennegrita">
    <w:name w:val="Strong"/>
    <w:basedOn w:val="Fuentedeprrafopredeter"/>
    <w:uiPriority w:val="22"/>
    <w:qFormat/>
    <w:rsid w:val="000369FD"/>
    <w:rPr>
      <w:b w:val="0"/>
      <w:bCs w:val="0"/>
      <w:i w:val="0"/>
      <w:iCs w:val="0"/>
    </w:rPr>
  </w:style>
  <w:style w:type="paragraph" w:customStyle="1" w:styleId="mce">
    <w:name w:val="mce"/>
    <w:basedOn w:val="Normal"/>
    <w:rsid w:val="000369F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7">
    <w:name w:val="firma7"/>
    <w:basedOn w:val="Fuentedeprrafopredeter"/>
    <w:rsid w:val="000369FD"/>
  </w:style>
  <w:style w:type="character" w:customStyle="1" w:styleId="autor11">
    <w:name w:val="autor11"/>
    <w:basedOn w:val="Fuentedeprrafopredeter"/>
    <w:rsid w:val="000369FD"/>
  </w:style>
  <w:style w:type="character" w:customStyle="1" w:styleId="data8">
    <w:name w:val="data8"/>
    <w:basedOn w:val="Fuentedeprrafopredeter"/>
    <w:rsid w:val="000369FD"/>
  </w:style>
  <w:style w:type="character" w:styleId="nfasis">
    <w:name w:val="Emphasis"/>
    <w:basedOn w:val="Fuentedeprrafopredeter"/>
    <w:uiPriority w:val="20"/>
    <w:qFormat/>
    <w:rsid w:val="000369FD"/>
    <w:rPr>
      <w:i/>
      <w:iCs/>
    </w:rPr>
  </w:style>
  <w:style w:type="paragraph" w:styleId="NormalWeb">
    <w:name w:val="Normal (Web)"/>
    <w:basedOn w:val="Normal"/>
    <w:uiPriority w:val="99"/>
    <w:unhideWhenUsed/>
    <w:rsid w:val="000369FD"/>
    <w:pPr>
      <w:spacing w:after="0" w:line="240" w:lineRule="auto"/>
    </w:pPr>
    <w:rPr>
      <w:rFonts w:ascii="Times New Roman" w:eastAsia="Times New Roman" w:hAnsi="Times New Roman" w:cs="Times New Roman"/>
      <w:sz w:val="24"/>
      <w:szCs w:val="24"/>
      <w:lang w:eastAsia="es-ES"/>
    </w:rPr>
  </w:style>
  <w:style w:type="paragraph" w:customStyle="1" w:styleId="autor">
    <w:name w:val="autor"/>
    <w:basedOn w:val="Normal"/>
    <w:rsid w:val="000369FD"/>
    <w:pPr>
      <w:spacing w:after="0" w:line="240" w:lineRule="auto"/>
    </w:pPr>
    <w:rPr>
      <w:rFonts w:ascii="Times New Roman" w:eastAsia="Times New Roman" w:hAnsi="Times New Roman" w:cs="Times New Roman"/>
      <w:sz w:val="24"/>
      <w:szCs w:val="24"/>
      <w:lang w:eastAsia="es-ES"/>
    </w:rPr>
  </w:style>
  <w:style w:type="paragraph" w:customStyle="1" w:styleId="textogrande2">
    <w:name w:val="texto_grande2"/>
    <w:basedOn w:val="Normal"/>
    <w:rsid w:val="000369FD"/>
    <w:pPr>
      <w:spacing w:after="0" w:line="420" w:lineRule="atLeast"/>
      <w:jc w:val="right"/>
    </w:pPr>
    <w:rPr>
      <w:rFonts w:ascii="Georgia" w:eastAsia="Times New Roman" w:hAnsi="Georgia" w:cs="Times New Roman"/>
      <w:spacing w:val="-15"/>
      <w:sz w:val="30"/>
      <w:szCs w:val="30"/>
      <w:lang w:eastAsia="es-ES"/>
    </w:rPr>
  </w:style>
  <w:style w:type="paragraph" w:customStyle="1" w:styleId="notapie">
    <w:name w:val="nota_pie"/>
    <w:basedOn w:val="Normal"/>
    <w:rsid w:val="000369FD"/>
    <w:pPr>
      <w:spacing w:after="0" w:line="240" w:lineRule="auto"/>
    </w:pPr>
    <w:rPr>
      <w:rFonts w:ascii="Times New Roman" w:eastAsia="Times New Roman" w:hAnsi="Times New Roman" w:cs="Times New Roman"/>
      <w:sz w:val="24"/>
      <w:szCs w:val="24"/>
      <w:lang w:eastAsia="es-ES"/>
    </w:rPr>
  </w:style>
  <w:style w:type="paragraph" w:customStyle="1" w:styleId="textogrande3">
    <w:name w:val="texto_grande3"/>
    <w:basedOn w:val="Normal"/>
    <w:rsid w:val="000369FD"/>
    <w:pPr>
      <w:pBdr>
        <w:top w:val="single" w:sz="6" w:space="8" w:color="DDDDDD"/>
        <w:bottom w:val="single" w:sz="6" w:space="8" w:color="DDDDDD"/>
      </w:pBdr>
      <w:spacing w:after="300" w:line="420" w:lineRule="atLeast"/>
    </w:pPr>
    <w:rPr>
      <w:rFonts w:ascii="Georgia" w:eastAsia="Times New Roman" w:hAnsi="Georgia" w:cs="Times New Roman"/>
      <w:spacing w:val="-15"/>
      <w:sz w:val="30"/>
      <w:szCs w:val="30"/>
      <w:lang w:eastAsia="es-ES"/>
    </w:rPr>
  </w:style>
  <w:style w:type="paragraph" w:customStyle="1" w:styleId="textogrande4">
    <w:name w:val="texto_grande4"/>
    <w:basedOn w:val="Normal"/>
    <w:rsid w:val="000369FD"/>
    <w:pPr>
      <w:spacing w:after="0" w:line="420" w:lineRule="atLeast"/>
    </w:pPr>
    <w:rPr>
      <w:rFonts w:ascii="Georgia" w:eastAsia="Times New Roman" w:hAnsi="Georgia" w:cs="Times New Roman"/>
      <w:spacing w:val="-15"/>
      <w:sz w:val="30"/>
      <w:szCs w:val="30"/>
      <w:lang w:eastAsia="es-ES"/>
    </w:rPr>
  </w:style>
  <w:style w:type="character" w:customStyle="1" w:styleId="sinenlace18">
    <w:name w:val="sin_enlace18"/>
    <w:basedOn w:val="Fuentedeprrafopredeter"/>
    <w:rsid w:val="000369FD"/>
  </w:style>
  <w:style w:type="character" w:customStyle="1" w:styleId="sinenlace17">
    <w:name w:val="sin_enlace17"/>
    <w:basedOn w:val="Fuentedeprrafopredeter"/>
    <w:rsid w:val="000369FD"/>
  </w:style>
  <w:style w:type="paragraph" w:customStyle="1" w:styleId="Default">
    <w:name w:val="Default"/>
    <w:rsid w:val="000369FD"/>
    <w:pPr>
      <w:autoSpaceDE w:val="0"/>
      <w:autoSpaceDN w:val="0"/>
      <w:adjustRightInd w:val="0"/>
      <w:spacing w:after="0" w:line="240" w:lineRule="auto"/>
    </w:pPr>
    <w:rPr>
      <w:rFonts w:ascii="Verdana" w:hAnsi="Verdana" w:cs="Verdana"/>
      <w:color w:val="000000"/>
      <w:sz w:val="24"/>
      <w:szCs w:val="24"/>
    </w:rPr>
  </w:style>
  <w:style w:type="paragraph" w:styleId="DireccinHTML">
    <w:name w:val="HTML Address"/>
    <w:basedOn w:val="Normal"/>
    <w:link w:val="DireccinHTMLCar"/>
    <w:uiPriority w:val="99"/>
    <w:unhideWhenUsed/>
    <w:rsid w:val="000369FD"/>
    <w:pPr>
      <w:spacing w:after="0" w:line="240" w:lineRule="auto"/>
    </w:pPr>
    <w:rPr>
      <w:rFonts w:ascii="Times New Roman" w:eastAsia="Times New Roman" w:hAnsi="Times New Roman" w:cs="Times New Roman"/>
      <w:sz w:val="24"/>
      <w:szCs w:val="24"/>
      <w:lang w:eastAsia="es-ES"/>
    </w:rPr>
  </w:style>
  <w:style w:type="character" w:customStyle="1" w:styleId="DireccinHTMLCar">
    <w:name w:val="Dirección HTML Car"/>
    <w:basedOn w:val="Fuentedeprrafopredeter"/>
    <w:link w:val="DireccinHTML"/>
    <w:uiPriority w:val="99"/>
    <w:rsid w:val="000369FD"/>
    <w:rPr>
      <w:rFonts w:ascii="Times New Roman" w:eastAsia="Times New Roman" w:hAnsi="Times New Roman" w:cs="Times New Roman"/>
      <w:sz w:val="24"/>
      <w:szCs w:val="24"/>
      <w:lang w:eastAsia="es-ES"/>
    </w:rPr>
  </w:style>
  <w:style w:type="character" w:customStyle="1" w:styleId="fecha">
    <w:name w:val="fecha"/>
    <w:basedOn w:val="Fuentedeprrafopredeter"/>
    <w:rsid w:val="000369FD"/>
  </w:style>
  <w:style w:type="character" w:customStyle="1" w:styleId="hora2">
    <w:name w:val="hora2"/>
    <w:basedOn w:val="Fuentedeprrafopredeter"/>
    <w:rsid w:val="000369FD"/>
  </w:style>
  <w:style w:type="character" w:customStyle="1" w:styleId="in-widget">
    <w:name w:val="in-widget"/>
    <w:basedOn w:val="Fuentedeprrafopredeter"/>
    <w:rsid w:val="000369FD"/>
  </w:style>
  <w:style w:type="character" w:customStyle="1" w:styleId="img-author">
    <w:name w:val="img-author"/>
    <w:basedOn w:val="Fuentedeprrafopredeter"/>
    <w:rsid w:val="000369FD"/>
  </w:style>
  <w:style w:type="character" w:customStyle="1" w:styleId="drop-capinner">
    <w:name w:val="drop-cap__inner"/>
    <w:basedOn w:val="Fuentedeprrafopredeter"/>
    <w:rsid w:val="000369FD"/>
  </w:style>
  <w:style w:type="character" w:customStyle="1" w:styleId="bullet">
    <w:name w:val="bullet"/>
    <w:basedOn w:val="Fuentedeprrafopredeter"/>
    <w:rsid w:val="000369FD"/>
  </w:style>
  <w:style w:type="paragraph" w:customStyle="1" w:styleId="byauth">
    <w:name w:val="byauth"/>
    <w:basedOn w:val="Normal"/>
    <w:rsid w:val="000369F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estacado1">
    <w:name w:val="destacado1"/>
    <w:basedOn w:val="Fuentedeprrafopredeter"/>
    <w:rsid w:val="000369FD"/>
    <w:rPr>
      <w:rFonts w:ascii="Georgia" w:hAnsi="Georgia" w:hint="default"/>
      <w:color w:val="000000"/>
      <w:sz w:val="33"/>
      <w:szCs w:val="33"/>
      <w:bdr w:val="none" w:sz="0" w:space="0" w:color="auto" w:frame="1"/>
      <w:vertAlign w:val="baseline"/>
    </w:rPr>
  </w:style>
  <w:style w:type="character" w:customStyle="1" w:styleId="time1">
    <w:name w:val="time1"/>
    <w:basedOn w:val="Fuentedeprrafopredeter"/>
    <w:rsid w:val="000369FD"/>
    <w:rPr>
      <w:shd w:val="clear" w:color="auto" w:fill="FFFFFF"/>
    </w:rPr>
  </w:style>
  <w:style w:type="character" w:customStyle="1" w:styleId="folder1">
    <w:name w:val="folder1"/>
    <w:basedOn w:val="Fuentedeprrafopredeter"/>
    <w:rsid w:val="000369FD"/>
    <w:rPr>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heguardian.com/commentisfree/2013/nov/04/us-trade-deal-full-frontal-assault-on-democracy" TargetMode="External"/><Relationship Id="rId21" Type="http://schemas.openxmlformats.org/officeDocument/2006/relationships/hyperlink" Target="https://twitter.com/EU_TTIP_team" TargetMode="External"/><Relationship Id="rId42" Type="http://schemas.openxmlformats.org/officeDocument/2006/relationships/hyperlink" Target="http://www.bfna.org/publication/transatlantic-trade-and-investment-partnership-ttip-who-benefits-from-a-free-trade-deal" TargetMode="External"/><Relationship Id="rId47" Type="http://schemas.openxmlformats.org/officeDocument/2006/relationships/hyperlink" Target="http://www.elmundo.es/economia/2014/08/13/53ea585fe2704eb8448b4588.html" TargetMode="External"/><Relationship Id="rId63" Type="http://schemas.openxmlformats.org/officeDocument/2006/relationships/hyperlink" Target="http://internacional.elpais.com/internacional/2014/11/17/actualidad/1416238700_866977.html" TargetMode="External"/><Relationship Id="rId68" Type="http://schemas.openxmlformats.org/officeDocument/2006/relationships/hyperlink" Target="http://economia.elpais.com/economia/2013/07/13/actualidad/1373667542_668457.html" TargetMode="External"/><Relationship Id="rId84" Type="http://schemas.openxmlformats.org/officeDocument/2006/relationships/hyperlink" Target="http://corporateeurope.org/sites/default/files/meeting-com-be-ttip.pdf" TargetMode="External"/><Relationship Id="rId89" Type="http://schemas.openxmlformats.org/officeDocument/2006/relationships/image" Target="media/image10.jpeg"/><Relationship Id="rId7" Type="http://schemas.openxmlformats.org/officeDocument/2006/relationships/hyperlink" Target="http://ec.europa.eu/spain/pdf/ttip/usa-cinco-cosas.pdf" TargetMode="External"/><Relationship Id="rId71" Type="http://schemas.openxmlformats.org/officeDocument/2006/relationships/hyperlink" Target="http://internacional.elpais.com/internacional/2014/11/21/actualidad/1416594078_603754.html" TargetMode="External"/><Relationship Id="rId92" Type="http://schemas.openxmlformats.org/officeDocument/2006/relationships/hyperlink" Target="http://www.heritage.org/about/staff/b/theodore-bromund" TargetMode="External"/><Relationship Id="rId2" Type="http://schemas.openxmlformats.org/officeDocument/2006/relationships/styles" Target="styles.xml"/><Relationship Id="rId16" Type="http://schemas.openxmlformats.org/officeDocument/2006/relationships/image" Target="media/image7.emf"/><Relationship Id="rId29" Type="http://schemas.openxmlformats.org/officeDocument/2006/relationships/hyperlink" Target="http://www.theguardian.com/world/2011/jun/27/philip-morris-australia-cigarette-packets" TargetMode="External"/><Relationship Id="rId11" Type="http://schemas.openxmlformats.org/officeDocument/2006/relationships/hyperlink" Target="http://www.ged-project.de/why-the-transatlantic-partnership-is-about-more-than-just-europe-and-the-us-22/why-the-transatlantic-partnership-is-about-more-than-just-europe-and-the-us-12/" TargetMode="External"/><Relationship Id="rId24" Type="http://schemas.openxmlformats.org/officeDocument/2006/relationships/hyperlink" Target="http://www.scribd.com/gregorio_abascal" TargetMode="External"/><Relationship Id="rId32" Type="http://schemas.openxmlformats.org/officeDocument/2006/relationships/hyperlink" Target="http://www.br.de/fernsehen/das-erste/sendungen/report-muenchen/interview-stuart-eizenstat-100.html" TargetMode="External"/><Relationship Id="rId37" Type="http://schemas.openxmlformats.org/officeDocument/2006/relationships/hyperlink" Target="http://internacional.elpais.com/tag/estados_unidos/a/" TargetMode="External"/><Relationship Id="rId40" Type="http://schemas.openxmlformats.org/officeDocument/2006/relationships/hyperlink" Target="http://ec.europa.eu/trade/policy/in-focus/ttip/" TargetMode="External"/><Relationship Id="rId45" Type="http://schemas.openxmlformats.org/officeDocument/2006/relationships/hyperlink" Target="http://www.laquadrature.net/en/TAFTA" TargetMode="External"/><Relationship Id="rId53" Type="http://schemas.openxmlformats.org/officeDocument/2006/relationships/hyperlink" Target="http://elpais.com/tag/santiago_fisas/a/" TargetMode="External"/><Relationship Id="rId58" Type="http://schemas.openxmlformats.org/officeDocument/2006/relationships/hyperlink" Target="http://elpais.com/tag/ttip_acuerdo_transatlantico_comercio_inversion/a/" TargetMode="External"/><Relationship Id="rId66" Type="http://schemas.openxmlformats.org/officeDocument/2006/relationships/hyperlink" Target="http://economia.elpais.com/economia/2014/06/08/actualidad/1402249972_245394.html" TargetMode="External"/><Relationship Id="rId74" Type="http://schemas.openxmlformats.org/officeDocument/2006/relationships/hyperlink" Target="http://ec.europa.eu/trade/policy/in-focus/ttip/resources/index_en.htm" TargetMode="External"/><Relationship Id="rId79" Type="http://schemas.openxmlformats.org/officeDocument/2006/relationships/hyperlink" Target="http://www.amchameu.eu/portals/0/2011/documents/jointassntecco-chairsinvestmentletter20111115.pdf" TargetMode="External"/><Relationship Id="rId87" Type="http://schemas.openxmlformats.org/officeDocument/2006/relationships/hyperlink" Target="http://corporateeurope.org/trade/2013/11/leaked-european-commission-pr-strategy-communicating-ttip" TargetMode="External"/><Relationship Id="rId102" Type="http://schemas.openxmlformats.org/officeDocument/2006/relationships/hyperlink" Target="http://www.project-syndicate.org/commentary/einstein-relativity-quantum-physics-by-sabine-hossenfelder-2015-03" TargetMode="External"/><Relationship Id="rId5" Type="http://schemas.openxmlformats.org/officeDocument/2006/relationships/image" Target="media/image1.png"/><Relationship Id="rId61" Type="http://schemas.openxmlformats.org/officeDocument/2006/relationships/hyperlink" Target="http://internacional.elpais.com/internacional/2014/11/05/actualidad/1415160377_905116.html" TargetMode="External"/><Relationship Id="rId82" Type="http://schemas.openxmlformats.org/officeDocument/2006/relationships/hyperlink" Target="https://wikileaks.org/" TargetMode="External"/><Relationship Id="rId90" Type="http://schemas.openxmlformats.org/officeDocument/2006/relationships/image" Target="media/image11.png"/><Relationship Id="rId95" Type="http://schemas.openxmlformats.org/officeDocument/2006/relationships/image" Target="media/image13.png"/><Relationship Id="rId19" Type="http://schemas.openxmlformats.org/officeDocument/2006/relationships/hyperlink" Target="http://www.economiaciudadana.org/2013/12/" TargetMode="External"/><Relationship Id="rId14" Type="http://schemas.openxmlformats.org/officeDocument/2006/relationships/image" Target="media/image5.emf"/><Relationship Id="rId22" Type="http://schemas.openxmlformats.org/officeDocument/2006/relationships/hyperlink" Target="http://www.theguardian.com/commentisfree/2013/dec/02/transatlantic-free-trade-deal-regulation-by-lawyers-eu-us" TargetMode="External"/><Relationship Id="rId27" Type="http://schemas.openxmlformats.org/officeDocument/2006/relationships/hyperlink" Target="http://www.theguardian.com/commentisfree/2013/nov/06/david-cameron-eu-us-trade-deal-investor-state-dispute-settlement" TargetMode="External"/><Relationship Id="rId30" Type="http://schemas.openxmlformats.org/officeDocument/2006/relationships/hyperlink" Target="http://www.google.co.uk/url?sa=t&amp;rct=j&amp;q=&amp;esrc=s&amp;source=web&amp;cd=2&amp;cad=rja&amp;ved=0CEMQFjAB&amp;url=http%3A%2F%2Fwww.wired.it%2Fuploads%2Fattachments%2F201348%2F0511_LEAKED-document-EU-Commission.doc&amp;ei=lL-cUrzLCMaL7Ab76YCoCQ&amp;usg=AFQjCNEPOjWPTaddSA_VXh2cMzgPasN_IQ&amp;sig2=_nV9koK9plXbxF6zrIrA5w&amp;bvm=bv.57155469,d.ZGU" TargetMode="External"/><Relationship Id="rId35" Type="http://schemas.openxmlformats.org/officeDocument/2006/relationships/hyperlink" Target="http://www.theguardian.com/commentisfree/2013/nov/11/eu-us-trade-deal-transatlantic-trade-and-investment-partnership-democracy" TargetMode="External"/><Relationship Id="rId43" Type="http://schemas.openxmlformats.org/officeDocument/2006/relationships/hyperlink" Target="http://www.bfna.org/" TargetMode="External"/><Relationship Id="rId48" Type="http://schemas.openxmlformats.org/officeDocument/2006/relationships/image" Target="media/image9.png"/><Relationship Id="rId56" Type="http://schemas.openxmlformats.org/officeDocument/2006/relationships/hyperlink" Target="https://twitter.com/fmarcellesi" TargetMode="External"/><Relationship Id="rId64" Type="http://schemas.openxmlformats.org/officeDocument/2006/relationships/hyperlink" Target="http://data.consilium.europa.eu/doc/document/ST-11103-2013-DCL-1/en/pdf" TargetMode="External"/><Relationship Id="rId69" Type="http://schemas.openxmlformats.org/officeDocument/2006/relationships/hyperlink" Target="http://economia.elpais.com/economia/2013/10/18/actualidad/1382123549_976357.html" TargetMode="External"/><Relationship Id="rId77" Type="http://schemas.openxmlformats.org/officeDocument/2006/relationships/hyperlink" Target="http://www.ert.eu/" TargetMode="External"/><Relationship Id="rId100" Type="http://schemas.openxmlformats.org/officeDocument/2006/relationships/hyperlink" Target="http://elpais.com/elpais/2014/10/17/media/1413577081_550723.html" TargetMode="External"/><Relationship Id="rId105"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hyperlink" Target="http://www.europarl.es/es/sala_de_prensa/actividades/actividades_2014/asociaci/conclusiones.html;jsessionid=AA81CC62D7DA38D6C09CACD911ACE264" TargetMode="External"/><Relationship Id="rId72" Type="http://schemas.openxmlformats.org/officeDocument/2006/relationships/hyperlink" Target="http://economia.elpais.com/economia/2014/07/18/actualidad/1405707947_485153.html" TargetMode="External"/><Relationship Id="rId80" Type="http://schemas.openxmlformats.org/officeDocument/2006/relationships/hyperlink" Target="http://corporateeurope.org/power-lobbies/2015/01/ngos-make-complaint-about-goldman-sachs-entry-eu-lobby-register" TargetMode="External"/><Relationship Id="rId85" Type="http://schemas.openxmlformats.org/officeDocument/2006/relationships/hyperlink" Target="http://ariadna.elmundo.es/buscador/archivo.html?q=ttip&amp;t=1&amp;s=1" TargetMode="External"/><Relationship Id="rId93" Type="http://schemas.openxmlformats.org/officeDocument/2006/relationships/hyperlink" Target="http://www.heritage.org/about/staff/c/luke-coffey" TargetMode="External"/><Relationship Id="rId98" Type="http://schemas.openxmlformats.org/officeDocument/2006/relationships/hyperlink" Target="http://trade.ec.europa.eu/doclib/docs/2013/march/tradoc_150737.pdf" TargetMode="External"/><Relationship Id="rId3" Type="http://schemas.openxmlformats.org/officeDocument/2006/relationships/settings" Target="settings.xml"/><Relationship Id="rId12" Type="http://schemas.openxmlformats.org/officeDocument/2006/relationships/hyperlink" Target="http://ftavis.com/#2009_Worldwide" TargetMode="External"/><Relationship Id="rId17" Type="http://schemas.openxmlformats.org/officeDocument/2006/relationships/hyperlink" Target="http://trade.ec.europa.eu/doclib/docs/2015/february/tradoc_153120.pdf" TargetMode="External"/><Relationship Id="rId25" Type="http://schemas.openxmlformats.org/officeDocument/2006/relationships/hyperlink" Target="http://www.theguardian.com/world/europe-news" TargetMode="External"/><Relationship Id="rId33" Type="http://schemas.openxmlformats.org/officeDocument/2006/relationships/hyperlink" Target="http://www.globalpost.com/dispatch/news/business/global-economy/130802/us-south-korea-free-trade-agreement-obama-jobs" TargetMode="External"/><Relationship Id="rId38" Type="http://schemas.openxmlformats.org/officeDocument/2006/relationships/hyperlink" Target="http://internacional.elpais.com/tag/comision_europea/a/" TargetMode="External"/><Relationship Id="rId46" Type="http://schemas.openxmlformats.org/officeDocument/2006/relationships/hyperlink" Target="http://www.elmundo.es/internacional/2014/07/04/53b6e954e2704e175a8b4581.html" TargetMode="External"/><Relationship Id="rId59" Type="http://schemas.openxmlformats.org/officeDocument/2006/relationships/hyperlink" Target="http://elpais.com/tag/barack_obama/a/" TargetMode="External"/><Relationship Id="rId67" Type="http://schemas.openxmlformats.org/officeDocument/2006/relationships/hyperlink" Target="http://elpais.com/tag/ttip_acuerdo_transatlantico_comercio_inversion/a/" TargetMode="External"/><Relationship Id="rId103" Type="http://schemas.openxmlformats.org/officeDocument/2006/relationships/image" Target="media/image16.jpeg"/><Relationship Id="rId20" Type="http://schemas.openxmlformats.org/officeDocument/2006/relationships/hyperlink" Target="http://www.ustr.gov/" TargetMode="External"/><Relationship Id="rId41" Type="http://schemas.openxmlformats.org/officeDocument/2006/relationships/hyperlink" Target="http://economia.elpais.com/economia/2013/04/05/actualidad/1365198127_391565.html" TargetMode="External"/><Relationship Id="rId54" Type="http://schemas.openxmlformats.org/officeDocument/2006/relationships/hyperlink" Target="http://internacional.elpais.com/internacional/2014/11/17/actualidad/Inmaculada%20Rodr%C3%ADguez-Pi%C3%B1ero%20" TargetMode="External"/><Relationship Id="rId62" Type="http://schemas.openxmlformats.org/officeDocument/2006/relationships/hyperlink" Target="http://blogs.elpais.com/alternativas/2014/11/por-qu%C3%A9-los-franceses-no-quieren-ni-oir-hablar-del-ttip.html" TargetMode="External"/><Relationship Id="rId70" Type="http://schemas.openxmlformats.org/officeDocument/2006/relationships/hyperlink" Target="http://internacional.elpais.com/internacional/2014/11/17/actualidad/1416238700_866977.html" TargetMode="External"/><Relationship Id="rId75" Type="http://schemas.openxmlformats.org/officeDocument/2006/relationships/hyperlink" Target="http://www.lamarea.com/tags/ttip/" TargetMode="External"/><Relationship Id="rId83" Type="http://schemas.openxmlformats.org/officeDocument/2006/relationships/hyperlink" Target="http://www.clientearth.org/news/press-releases/chemical-industry-secretly-manipulating-us-eu-trade-negotiations-ttip-2463" TargetMode="External"/><Relationship Id="rId88" Type="http://schemas.openxmlformats.org/officeDocument/2006/relationships/hyperlink" Target="http://krugman.blogs.nytimes.com/2015/01/19/suspicious-nonsense-on-trade-agreements/?smid=tw-nytimeskrugman&amp;seid=auto&amp;_r=4" TargetMode="External"/><Relationship Id="rId91" Type="http://schemas.openxmlformats.org/officeDocument/2006/relationships/image" Target="media/image12.png"/><Relationship Id="rId96" Type="http://schemas.openxmlformats.org/officeDocument/2006/relationships/hyperlink" Target="http://www.project-syndicate.org/commentary/american-foreign-policy-2016-election-by-ana-palacio-2015-03" TargetMode="External"/><Relationship Id="rId1" Type="http://schemas.openxmlformats.org/officeDocument/2006/relationships/numbering" Target="numbering.xml"/><Relationship Id="rId6" Type="http://schemas.openxmlformats.org/officeDocument/2006/relationships/hyperlink" Target="http://ec.europa.eu/spain/pdf/ttip/ue" TargetMode="External"/><Relationship Id="rId15" Type="http://schemas.openxmlformats.org/officeDocument/2006/relationships/image" Target="media/image6.emf"/><Relationship Id="rId23" Type="http://schemas.openxmlformats.org/officeDocument/2006/relationships/hyperlink" Target="http://www.theguardian.com/commentisfree/2013/dec/18/wrong-george-monbiot-nothing-secret-eu-trade-deal" TargetMode="External"/><Relationship Id="rId28" Type="http://schemas.openxmlformats.org/officeDocument/2006/relationships/hyperlink" Target="http://twnside.org.sg/title2/twe/2013/547/5.htm" TargetMode="External"/><Relationship Id="rId36" Type="http://schemas.openxmlformats.org/officeDocument/2006/relationships/hyperlink" Target="http://internacional.elpais.com/tag/ue_union_europea/a/" TargetMode="External"/><Relationship Id="rId49" Type="http://schemas.openxmlformats.org/officeDocument/2006/relationships/hyperlink" Target="http://ase.tufts.edu/gdae/policy_research/TTIP_simulations.html" TargetMode="External"/><Relationship Id="rId57" Type="http://schemas.openxmlformats.org/officeDocument/2006/relationships/hyperlink" Target="http://www.ecologistasenaccion.es/" TargetMode="External"/><Relationship Id="rId10" Type="http://schemas.openxmlformats.org/officeDocument/2006/relationships/image" Target="media/image3.jpeg"/><Relationship Id="rId31" Type="http://schemas.openxmlformats.org/officeDocument/2006/relationships/hyperlink" Target="http://corporateeurope.org/" TargetMode="External"/><Relationship Id="rId44" Type="http://schemas.openxmlformats.org/officeDocument/2006/relationships/hyperlink" Target="http://www.cepr.org/" TargetMode="External"/><Relationship Id="rId52" Type="http://schemas.openxmlformats.org/officeDocument/2006/relationships/hyperlink" Target="http://www.europarl.es/" TargetMode="External"/><Relationship Id="rId60" Type="http://schemas.openxmlformats.org/officeDocument/2006/relationships/hyperlink" Target="http://www.aspeninstitute.es/" TargetMode="External"/><Relationship Id="rId65" Type="http://schemas.openxmlformats.org/officeDocument/2006/relationships/hyperlink" Target="http://www.efsa.europa.eu/" TargetMode="External"/><Relationship Id="rId73" Type="http://schemas.openxmlformats.org/officeDocument/2006/relationships/hyperlink" Target="http://economia.elpais.com/tag/ttip_acuerdo_transatlantico_comercio_inversion/a/" TargetMode="External"/><Relationship Id="rId78" Type="http://schemas.openxmlformats.org/officeDocument/2006/relationships/hyperlink" Target="http://www.amchamspain.com/galeria/transatlantic-trade-and-investment-partnership/" TargetMode="External"/><Relationship Id="rId81" Type="http://schemas.openxmlformats.org/officeDocument/2006/relationships/hyperlink" Target="http://www.lamarea.com/2014/06/13/filtrala-publica-documentos-secretos-sobre-las-negociaciones-del-ttip/" TargetMode="External"/><Relationship Id="rId86" Type="http://schemas.openxmlformats.org/officeDocument/2006/relationships/hyperlink" Target="http://www.ecologistasenaccion.org/article29351.html" TargetMode="External"/><Relationship Id="rId94" Type="http://schemas.openxmlformats.org/officeDocument/2006/relationships/hyperlink" Target="http://www.heritage.org/about/staff/r/bryan-riley" TargetMode="External"/><Relationship Id="rId99" Type="http://schemas.openxmlformats.org/officeDocument/2006/relationships/hyperlink" Target="http://www.cepr.net/documents/NAFTA_20_Years_PR-%20ESPA%C3%91OL.pdf" TargetMode="External"/><Relationship Id="rId10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hyperlink" Target="http://ged-blog-l.iquer.net/wp-content/uploads/2015/01/GEDBlogWhyTTIPisaboutMoreQuentin.jpg" TargetMode="External"/><Relationship Id="rId13" Type="http://schemas.openxmlformats.org/officeDocument/2006/relationships/image" Target="media/image4.png"/><Relationship Id="rId18" Type="http://schemas.openxmlformats.org/officeDocument/2006/relationships/image" Target="media/image8.jpeg"/><Relationship Id="rId39" Type="http://schemas.openxmlformats.org/officeDocument/2006/relationships/hyperlink" Target="http://internacional.elpais.com/tag/ley_acta/a/" TargetMode="External"/><Relationship Id="rId34" Type="http://schemas.openxmlformats.org/officeDocument/2006/relationships/hyperlink" Target="http://progressive.org/bernie_sanders_free_trade.html" TargetMode="External"/><Relationship Id="rId50" Type="http://schemas.openxmlformats.org/officeDocument/2006/relationships/hyperlink" Target="http://elpais.com/tag/ttip_acuerdo_transatlantico_comercio_inversion/a/" TargetMode="External"/><Relationship Id="rId55" Type="http://schemas.openxmlformats.org/officeDocument/2006/relationships/hyperlink" Target="http://ec.europa.eu/trade/policy/in-focus/ttip/index_es.htm" TargetMode="External"/><Relationship Id="rId76" Type="http://schemas.openxmlformats.org/officeDocument/2006/relationships/hyperlink" Target="http://corporateeurope.org/pressreleases/2014/07/agribusiness-biggest-lobbyist-eu-us-trade-deal-new-research-reveals" TargetMode="External"/><Relationship Id="rId97" Type="http://schemas.openxmlformats.org/officeDocument/2006/relationships/image" Target="media/image14.jpeg"/><Relationship Id="rId10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196</Pages>
  <Words>94792</Words>
  <Characters>521358</Characters>
  <Application>Microsoft Office Word</Application>
  <DocSecurity>0</DocSecurity>
  <Lines>4344</Lines>
  <Paragraphs>1229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614921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2</cp:revision>
  <dcterms:created xsi:type="dcterms:W3CDTF">2015-03-19T13:31:00Z</dcterms:created>
  <dcterms:modified xsi:type="dcterms:W3CDTF">2015-03-19T13:31:00Z</dcterms:modified>
</cp:coreProperties>
</file>