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62E6" w:rsidRPr="00AF62E6" w:rsidRDefault="00AF62E6" w:rsidP="00AF62E6">
      <w:pPr>
        <w:pStyle w:val="NormalWeb"/>
        <w:jc w:val="both"/>
        <w:rPr>
          <w:b/>
        </w:rPr>
      </w:pPr>
      <w:bookmarkStart w:id="0" w:name="_GoBack"/>
      <w:bookmarkEnd w:id="0"/>
      <w:r w:rsidRPr="002B199A">
        <w:rPr>
          <w:b/>
        </w:rPr>
        <w:t>Paper</w:t>
      </w:r>
      <w:r>
        <w:rPr>
          <w:b/>
        </w:rPr>
        <w:t xml:space="preserve"> - Análisis crítico del </w:t>
      </w:r>
      <w:r w:rsidRPr="000369FD">
        <w:rPr>
          <w:rStyle w:val="Textoennegrita"/>
          <w:rFonts w:eastAsiaTheme="majorEastAsia"/>
          <w:b/>
        </w:rPr>
        <w:t xml:space="preserve">Tratado Transatlántico de Comercio e Inversiones entre la Unión Europea y Estados Unidos (TTIP) </w:t>
      </w:r>
      <w:r>
        <w:rPr>
          <w:rStyle w:val="Textoennegrita"/>
          <w:rFonts w:eastAsiaTheme="majorEastAsia"/>
          <w:b/>
        </w:rPr>
        <w:t>- (Parte II)</w:t>
      </w:r>
    </w:p>
    <w:p w:rsidR="00AF62E6" w:rsidRPr="00C173A1" w:rsidRDefault="00AD5FB4" w:rsidP="00AF62E6">
      <w:pPr>
        <w:shd w:val="clear" w:color="auto" w:fill="FAFAFA"/>
        <w:spacing w:before="100" w:beforeAutospacing="1" w:after="360" w:line="240" w:lineRule="auto"/>
        <w:jc w:val="both"/>
        <w:rPr>
          <w:rFonts w:ascii="Times New Roman" w:eastAsia="Times New Roman" w:hAnsi="Times New Roman" w:cs="Times New Roman"/>
          <w:b/>
          <w:color w:val="000000"/>
          <w:sz w:val="24"/>
          <w:szCs w:val="24"/>
          <w:lang w:eastAsia="es-ES"/>
        </w:rPr>
      </w:pPr>
      <w:r>
        <w:rPr>
          <w:rFonts w:ascii="Times New Roman" w:eastAsia="Times New Roman" w:hAnsi="Times New Roman" w:cs="Times New Roman"/>
          <w:b/>
          <w:color w:val="000000"/>
          <w:sz w:val="24"/>
          <w:szCs w:val="24"/>
          <w:lang w:eastAsia="es-ES"/>
        </w:rPr>
        <w:t xml:space="preserve">- </w:t>
      </w:r>
      <w:r w:rsidR="00AF62E6">
        <w:rPr>
          <w:rFonts w:ascii="Times New Roman" w:eastAsia="Times New Roman" w:hAnsi="Times New Roman" w:cs="Times New Roman"/>
          <w:b/>
          <w:color w:val="000000"/>
          <w:sz w:val="24"/>
          <w:szCs w:val="24"/>
          <w:lang w:eastAsia="es-ES"/>
        </w:rPr>
        <w:t>Anexo: Informes de Consultoría,</w:t>
      </w:r>
      <w:r w:rsidR="00AF62E6" w:rsidRPr="00E83EED">
        <w:rPr>
          <w:rFonts w:ascii="Times New Roman" w:eastAsia="Times New Roman" w:hAnsi="Times New Roman" w:cs="Times New Roman"/>
          <w:b/>
          <w:color w:val="000000"/>
          <w:sz w:val="24"/>
          <w:szCs w:val="24"/>
          <w:lang w:eastAsia="es-ES"/>
        </w:rPr>
        <w:t xml:space="preserve"> sobre el</w:t>
      </w:r>
      <w:r w:rsidR="00AF62E6" w:rsidRPr="00A649AB">
        <w:rPr>
          <w:rFonts w:ascii="Times New Roman" w:hAnsi="Times New Roman" w:cs="Times New Roman"/>
          <w:color w:val="000000"/>
          <w:sz w:val="24"/>
          <w:szCs w:val="24"/>
        </w:rPr>
        <w:t xml:space="preserve"> </w:t>
      </w:r>
      <w:r w:rsidR="00AF62E6" w:rsidRPr="00A649AB">
        <w:rPr>
          <w:rFonts w:ascii="Times New Roman" w:hAnsi="Times New Roman" w:cs="Times New Roman"/>
          <w:b/>
          <w:color w:val="000000"/>
          <w:sz w:val="24"/>
          <w:szCs w:val="24"/>
        </w:rPr>
        <w:t xml:space="preserve">Tratado de Comercio e Inversión Transatlántico </w:t>
      </w:r>
      <w:r w:rsidR="00AF62E6">
        <w:rPr>
          <w:rFonts w:ascii="Times New Roman" w:hAnsi="Times New Roman" w:cs="Times New Roman"/>
          <w:b/>
          <w:color w:val="000000"/>
          <w:sz w:val="24"/>
          <w:szCs w:val="24"/>
        </w:rPr>
        <w:t>(</w:t>
      </w:r>
      <w:r w:rsidR="00AF62E6" w:rsidRPr="00A649AB">
        <w:rPr>
          <w:rFonts w:ascii="Times New Roman" w:eastAsia="Times New Roman" w:hAnsi="Times New Roman" w:cs="Times New Roman"/>
          <w:b/>
          <w:color w:val="000000"/>
          <w:sz w:val="24"/>
          <w:szCs w:val="24"/>
          <w:lang w:eastAsia="es-ES"/>
        </w:rPr>
        <w:t>TTIP</w:t>
      </w:r>
      <w:r w:rsidR="00AF62E6">
        <w:rPr>
          <w:rFonts w:ascii="Times New Roman" w:eastAsia="Times New Roman" w:hAnsi="Times New Roman" w:cs="Times New Roman"/>
          <w:b/>
          <w:color w:val="000000"/>
          <w:sz w:val="24"/>
          <w:szCs w:val="24"/>
          <w:lang w:eastAsia="es-ES"/>
        </w:rPr>
        <w:t>)</w:t>
      </w:r>
      <w:r w:rsidR="00AF62E6" w:rsidRPr="00A649AB">
        <w:rPr>
          <w:rFonts w:ascii="Times New Roman" w:eastAsia="Times New Roman" w:hAnsi="Times New Roman" w:cs="Times New Roman"/>
          <w:b/>
          <w:color w:val="000000"/>
          <w:sz w:val="24"/>
          <w:szCs w:val="24"/>
          <w:lang w:eastAsia="es-ES"/>
        </w:rPr>
        <w:t xml:space="preserve"> </w:t>
      </w:r>
    </w:p>
    <w:p w:rsidR="00AF62E6" w:rsidRDefault="00AF62E6" w:rsidP="00AF62E6">
      <w:pPr>
        <w:shd w:val="clear" w:color="auto" w:fill="FAFAFA"/>
        <w:spacing w:before="100" w:beforeAutospacing="1" w:after="360" w:line="240" w:lineRule="auto"/>
        <w:rPr>
          <w:rFonts w:ascii="Times New Roman" w:eastAsia="Times New Roman" w:hAnsi="Times New Roman" w:cs="Times New Roman"/>
          <w:b/>
          <w:color w:val="000000"/>
          <w:sz w:val="24"/>
          <w:szCs w:val="24"/>
          <w:lang w:val="en-US" w:eastAsia="es-ES"/>
        </w:rPr>
      </w:pPr>
      <w:r w:rsidRPr="00FF2954">
        <w:rPr>
          <w:rFonts w:ascii="Times New Roman" w:eastAsia="Times New Roman" w:hAnsi="Times New Roman" w:cs="Times New Roman"/>
          <w:b/>
          <w:color w:val="000000"/>
          <w:sz w:val="24"/>
          <w:szCs w:val="24"/>
          <w:lang w:val="en-US" w:eastAsia="es-ES"/>
        </w:rPr>
        <w:t>Informe</w:t>
      </w:r>
      <w:r>
        <w:rPr>
          <w:rFonts w:ascii="Times New Roman" w:eastAsia="Times New Roman" w:hAnsi="Times New Roman" w:cs="Times New Roman"/>
          <w:b/>
          <w:color w:val="000000"/>
          <w:sz w:val="24"/>
          <w:szCs w:val="24"/>
          <w:lang w:val="en-US" w:eastAsia="es-ES"/>
        </w:rPr>
        <w:t>:</w:t>
      </w:r>
      <w:r w:rsidRPr="00FF2954">
        <w:rPr>
          <w:rFonts w:ascii="Times New Roman" w:eastAsia="Times New Roman" w:hAnsi="Times New Roman" w:cs="Times New Roman"/>
          <w:b/>
          <w:color w:val="000000"/>
          <w:sz w:val="24"/>
          <w:szCs w:val="24"/>
          <w:lang w:val="en-US" w:eastAsia="es-ES"/>
        </w:rPr>
        <w:t xml:space="preserve"> Reducing Transatlantic Bar</w:t>
      </w:r>
      <w:r w:rsidR="00094425">
        <w:rPr>
          <w:rFonts w:ascii="Times New Roman" w:eastAsia="Times New Roman" w:hAnsi="Times New Roman" w:cs="Times New Roman"/>
          <w:b/>
          <w:color w:val="000000"/>
          <w:sz w:val="24"/>
          <w:szCs w:val="24"/>
          <w:lang w:val="en-US" w:eastAsia="es-ES"/>
        </w:rPr>
        <w:t>riers to Trade and Investment (M</w:t>
      </w:r>
      <w:r w:rsidRPr="00FF2954">
        <w:rPr>
          <w:rFonts w:ascii="Times New Roman" w:eastAsia="Times New Roman" w:hAnsi="Times New Roman" w:cs="Times New Roman"/>
          <w:b/>
          <w:color w:val="000000"/>
          <w:sz w:val="24"/>
          <w:szCs w:val="24"/>
          <w:lang w:val="en-US" w:eastAsia="es-ES"/>
        </w:rPr>
        <w:t>arch 2013) - Centre for Economic Policy Research, London</w:t>
      </w:r>
      <w:r>
        <w:rPr>
          <w:rFonts w:ascii="Times New Roman" w:eastAsia="Times New Roman" w:hAnsi="Times New Roman" w:cs="Times New Roman"/>
          <w:b/>
          <w:color w:val="000000"/>
          <w:sz w:val="24"/>
          <w:szCs w:val="24"/>
          <w:lang w:val="en-US" w:eastAsia="es-ES"/>
        </w:rPr>
        <w:t xml:space="preserve"> </w:t>
      </w:r>
    </w:p>
    <w:p w:rsidR="00AF62E6" w:rsidRPr="00E83EED" w:rsidRDefault="00AF62E6" w:rsidP="00AF62E6">
      <w:pPr>
        <w:shd w:val="clear" w:color="auto" w:fill="FAFAFA"/>
        <w:spacing w:before="100" w:beforeAutospacing="1" w:after="360" w:line="240" w:lineRule="auto"/>
        <w:rPr>
          <w:rFonts w:ascii="Times New Roman" w:eastAsia="Times New Roman" w:hAnsi="Times New Roman" w:cs="Times New Roman"/>
          <w:color w:val="000000"/>
          <w:sz w:val="24"/>
          <w:szCs w:val="24"/>
          <w:lang w:val="en-US" w:eastAsia="es-ES"/>
        </w:rPr>
      </w:pPr>
      <w:r w:rsidRPr="00E83EED">
        <w:rPr>
          <w:rFonts w:ascii="Times New Roman" w:eastAsia="Times New Roman" w:hAnsi="Times New Roman" w:cs="Times New Roman"/>
          <w:color w:val="000000"/>
          <w:sz w:val="24"/>
          <w:szCs w:val="24"/>
          <w:lang w:val="en-US" w:eastAsia="es-ES"/>
        </w:rPr>
        <w:t>(Reproducción parcial)</w:t>
      </w:r>
    </w:p>
    <w:p w:rsidR="00AF62E6" w:rsidRPr="00FF2954" w:rsidRDefault="00AF62E6" w:rsidP="00AF62E6">
      <w:pPr>
        <w:shd w:val="clear" w:color="auto" w:fill="FAFAFA"/>
        <w:spacing w:before="100" w:beforeAutospacing="1" w:after="360" w:line="240" w:lineRule="auto"/>
        <w:rPr>
          <w:rFonts w:ascii="Times New Roman" w:eastAsia="Times New Roman" w:hAnsi="Times New Roman" w:cs="Times New Roman"/>
          <w:b/>
          <w:color w:val="000000"/>
          <w:sz w:val="24"/>
          <w:szCs w:val="24"/>
          <w:lang w:val="en-US" w:eastAsia="es-ES"/>
        </w:rPr>
      </w:pPr>
      <w:r>
        <w:rPr>
          <w:rFonts w:ascii="Times New Roman" w:eastAsia="Times New Roman" w:hAnsi="Times New Roman" w:cs="Times New Roman"/>
          <w:b/>
          <w:color w:val="000000"/>
          <w:sz w:val="24"/>
          <w:szCs w:val="24"/>
          <w:lang w:val="en-US" w:eastAsia="es-ES"/>
        </w:rPr>
        <w:t>Key findings</w:t>
      </w:r>
    </w:p>
    <w:p w:rsidR="00AF62E6" w:rsidRPr="0097319E"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FF2954">
        <w:rPr>
          <w:rFonts w:ascii="Times New Roman" w:hAnsi="Times New Roman" w:cs="Times New Roman"/>
          <w:sz w:val="24"/>
          <w:szCs w:val="24"/>
          <w:lang w:val="en-US"/>
        </w:rPr>
        <w:t xml:space="preserve">• </w:t>
      </w:r>
      <w:r w:rsidRPr="0097319E">
        <w:rPr>
          <w:rFonts w:ascii="Times New Roman" w:hAnsi="Times New Roman" w:cs="Times New Roman"/>
          <w:color w:val="FF0000"/>
          <w:sz w:val="24"/>
          <w:szCs w:val="24"/>
          <w:lang w:val="en-US"/>
        </w:rPr>
        <w:t>An ambitious and comprehensive transatlantic trade and investment agreement could bring significant economic gains as a whole for the EU (€119 billion a year) and US (€95 billion a year). This translates to an extra €545 in disposable income each year for a family of 4 in the EU, on average, and €655 per family in the US.</w:t>
      </w:r>
    </w:p>
    <w:p w:rsidR="00AF62E6" w:rsidRPr="0097319E"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Pr="0097319E"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FF2954">
        <w:rPr>
          <w:rFonts w:ascii="Times New Roman" w:hAnsi="Times New Roman" w:cs="Times New Roman"/>
          <w:sz w:val="24"/>
          <w:szCs w:val="24"/>
          <w:lang w:val="en-US"/>
        </w:rPr>
        <w:t xml:space="preserve">• </w:t>
      </w:r>
      <w:r w:rsidRPr="0097319E">
        <w:rPr>
          <w:rFonts w:ascii="Times New Roman" w:hAnsi="Times New Roman" w:cs="Times New Roman"/>
          <w:color w:val="FF0000"/>
          <w:sz w:val="24"/>
          <w:szCs w:val="24"/>
          <w:lang w:val="en-US"/>
        </w:rPr>
        <w:t>The benefits for the EU and US would not be at the expense of the rest of the world. On the contrary, liberalising trade between the EU and the US would have a positive impact on worldwide trade and incomes, increasing global income by almost €100 billion.</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97319E"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FF2954">
        <w:rPr>
          <w:rFonts w:ascii="Times New Roman" w:hAnsi="Times New Roman" w:cs="Times New Roman"/>
          <w:sz w:val="24"/>
          <w:szCs w:val="24"/>
          <w:lang w:val="en-US"/>
        </w:rPr>
        <w:t xml:space="preserve">• </w:t>
      </w:r>
      <w:r w:rsidRPr="0097319E">
        <w:rPr>
          <w:rFonts w:ascii="Times New Roman" w:hAnsi="Times New Roman" w:cs="Times New Roman"/>
          <w:color w:val="FF0000"/>
          <w:sz w:val="24"/>
          <w:szCs w:val="24"/>
          <w:lang w:val="en-US"/>
        </w:rPr>
        <w:t>Income gains are a result of increased trade. EU exports to the US would go up by 28%, equivalent to an additional €187 billion worth of exports of EU goods and services. Overall, total exports would increase 6% in the EU and 8% in the US.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97319E"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FF2954">
        <w:rPr>
          <w:rFonts w:ascii="Times New Roman" w:hAnsi="Times New Roman" w:cs="Times New Roman"/>
          <w:sz w:val="24"/>
          <w:szCs w:val="24"/>
          <w:lang w:val="en-US"/>
        </w:rPr>
        <w:t xml:space="preserve">• </w:t>
      </w:r>
      <w:r w:rsidRPr="0097319E">
        <w:rPr>
          <w:rFonts w:ascii="Times New Roman" w:hAnsi="Times New Roman" w:cs="Times New Roman"/>
          <w:color w:val="FF0000"/>
          <w:sz w:val="24"/>
          <w:szCs w:val="24"/>
          <w:lang w:val="en-US"/>
        </w:rPr>
        <w:t>Reducing non-tariff barriers will be a key part of transatlantic liberalisation. As much as 80% of the total potential gains come from cutting costs imposed by bureaucracy and regulations, as well as from liberalising trade in services and public procurement.</w:t>
      </w:r>
    </w:p>
    <w:p w:rsidR="00AF62E6" w:rsidRPr="0097319E"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FF2954">
        <w:rPr>
          <w:rFonts w:ascii="Times New Roman" w:hAnsi="Times New Roman" w:cs="Times New Roman"/>
          <w:sz w:val="24"/>
          <w:szCs w:val="24"/>
          <w:lang w:val="en-US"/>
        </w:rPr>
        <w:t xml:space="preserve">• </w:t>
      </w:r>
      <w:r w:rsidRPr="00E32778">
        <w:rPr>
          <w:rFonts w:ascii="Times New Roman" w:hAnsi="Times New Roman" w:cs="Times New Roman"/>
          <w:color w:val="FF0000"/>
          <w:sz w:val="24"/>
          <w:szCs w:val="24"/>
          <w:lang w:val="en-US"/>
        </w:rPr>
        <w:t>The increased level of economic activity and productivity gains created by the agreement will benefit the EU and US labour markets, both in terms of overall wages and new job opportunities for high and low skilled workers. Labour displacement will be well within normal labour market movements and economic trends. This means a relatively small number of people would have to change jobs and move from one sector to another (0.2 to 0.5 per cent of the EU labour force.)</w:t>
      </w: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FF2954">
        <w:rPr>
          <w:rFonts w:ascii="Times New Roman" w:hAnsi="Times New Roman" w:cs="Times New Roman"/>
          <w:sz w:val="24"/>
          <w:szCs w:val="24"/>
          <w:lang w:val="en-US"/>
        </w:rPr>
        <w:t xml:space="preserve">• </w:t>
      </w:r>
      <w:r w:rsidRPr="00E32778">
        <w:rPr>
          <w:rFonts w:ascii="Times New Roman" w:hAnsi="Times New Roman" w:cs="Times New Roman"/>
          <w:color w:val="FF0000"/>
          <w:sz w:val="24"/>
          <w:szCs w:val="24"/>
          <w:lang w:val="en-US"/>
        </w:rPr>
        <w:t>The agreement would have negligible effects on CO2 emissions and on the sustainable use of natural resources.</w:t>
      </w: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Executive Summary</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E32778">
        <w:rPr>
          <w:rFonts w:ascii="Times New Roman" w:hAnsi="Times New Roman" w:cs="Times New Roman"/>
          <w:color w:val="FF0000"/>
          <w:sz w:val="24"/>
          <w:szCs w:val="24"/>
          <w:lang w:val="en-US"/>
        </w:rPr>
        <w:t>The economies of the European Union and the United States are very important trading partners for each other. Although average tariff levels are relatively low already, various non-tariff barriers or NTBs (often in the form of domestic regulations) on both sides of the Atlantic constitute important impediments to deepening transatlantic trade and investment linkages. This study examines the impact of the reduction of such barriers.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63686E"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63686E">
        <w:rPr>
          <w:rFonts w:ascii="Times New Roman" w:hAnsi="Times New Roman" w:cs="Times New Roman"/>
          <w:sz w:val="24"/>
          <w:szCs w:val="24"/>
          <w:lang w:val="en-US"/>
        </w:rPr>
        <w:lastRenderedPageBreak/>
        <w:t>Even where they might not be directly targeting cross-bo</w:t>
      </w:r>
      <w:r>
        <w:rPr>
          <w:rFonts w:ascii="Times New Roman" w:hAnsi="Times New Roman" w:cs="Times New Roman"/>
          <w:sz w:val="24"/>
          <w:szCs w:val="24"/>
          <w:lang w:val="en-US"/>
        </w:rPr>
        <w:t xml:space="preserve">rder activities, domestic rules </w:t>
      </w:r>
      <w:r w:rsidRPr="0063686E">
        <w:rPr>
          <w:rFonts w:ascii="Times New Roman" w:hAnsi="Times New Roman" w:cs="Times New Roman"/>
          <w:sz w:val="24"/>
          <w:szCs w:val="24"/>
          <w:lang w:val="en-US"/>
        </w:rPr>
        <w:t xml:space="preserve">and regulations nevertheless can place a cost on trade </w:t>
      </w:r>
      <w:r>
        <w:rPr>
          <w:rFonts w:ascii="Times New Roman" w:hAnsi="Times New Roman" w:cs="Times New Roman"/>
          <w:sz w:val="24"/>
          <w:szCs w:val="24"/>
          <w:lang w:val="en-US"/>
        </w:rPr>
        <w:t xml:space="preserve">and investment. However, unlike </w:t>
      </w:r>
      <w:r w:rsidRPr="0063686E">
        <w:rPr>
          <w:rFonts w:ascii="Times New Roman" w:hAnsi="Times New Roman" w:cs="Times New Roman"/>
          <w:sz w:val="24"/>
          <w:szCs w:val="24"/>
          <w:lang w:val="en-US"/>
        </w:rPr>
        <w:t>tariffs, it should also be stressed that many regulation</w:t>
      </w:r>
      <w:r>
        <w:rPr>
          <w:rFonts w:ascii="Times New Roman" w:hAnsi="Times New Roman" w:cs="Times New Roman"/>
          <w:sz w:val="24"/>
          <w:szCs w:val="24"/>
          <w:lang w:val="en-US"/>
        </w:rPr>
        <w:t xml:space="preserve">s cannot simply be removed when </w:t>
      </w:r>
      <w:r w:rsidRPr="0063686E">
        <w:rPr>
          <w:rFonts w:ascii="Times New Roman" w:hAnsi="Times New Roman" w:cs="Times New Roman"/>
          <w:sz w:val="24"/>
          <w:szCs w:val="24"/>
          <w:lang w:val="en-US"/>
        </w:rPr>
        <w:t>they serve legitimate domestic purposes. Yet in such cas</w:t>
      </w:r>
      <w:r>
        <w:rPr>
          <w:rFonts w:ascii="Times New Roman" w:hAnsi="Times New Roman" w:cs="Times New Roman"/>
          <w:sz w:val="24"/>
          <w:szCs w:val="24"/>
          <w:lang w:val="en-US"/>
        </w:rPr>
        <w:t xml:space="preserve">es the costs involved may still </w:t>
      </w:r>
      <w:r w:rsidRPr="0063686E">
        <w:rPr>
          <w:rFonts w:ascii="Times New Roman" w:hAnsi="Times New Roman" w:cs="Times New Roman"/>
          <w:sz w:val="24"/>
          <w:szCs w:val="24"/>
          <w:lang w:val="en-US"/>
        </w:rPr>
        <w:t>be mitigated or reduced through partial regulatory co</w:t>
      </w:r>
      <w:r>
        <w:rPr>
          <w:rFonts w:ascii="Times New Roman" w:hAnsi="Times New Roman" w:cs="Times New Roman"/>
          <w:sz w:val="24"/>
          <w:szCs w:val="24"/>
          <w:lang w:val="en-US"/>
        </w:rPr>
        <w:t xml:space="preserve">nvergence and cross-recognition </w:t>
      </w:r>
      <w:r w:rsidRPr="0063686E">
        <w:rPr>
          <w:rFonts w:ascii="Times New Roman" w:hAnsi="Times New Roman" w:cs="Times New Roman"/>
          <w:sz w:val="24"/>
          <w:szCs w:val="24"/>
          <w:lang w:val="en-US"/>
        </w:rPr>
        <w:t xml:space="preserve">of standards. While this is likely to be a difficult process, the potential benefits </w:t>
      </w:r>
      <w:r>
        <w:rPr>
          <w:rFonts w:ascii="Times New Roman" w:hAnsi="Times New Roman" w:cs="Times New Roman"/>
          <w:sz w:val="24"/>
          <w:szCs w:val="24"/>
          <w:lang w:val="en-US"/>
        </w:rPr>
        <w:t xml:space="preserve">in terms </w:t>
      </w:r>
      <w:r w:rsidRPr="0063686E">
        <w:rPr>
          <w:rFonts w:ascii="Times New Roman" w:hAnsi="Times New Roman" w:cs="Times New Roman"/>
          <w:sz w:val="24"/>
          <w:szCs w:val="24"/>
          <w:lang w:val="en-US"/>
        </w:rPr>
        <w:t>of productivity and incomes are substantial.</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63686E">
        <w:rPr>
          <w:rFonts w:ascii="Times New Roman" w:hAnsi="Times New Roman" w:cs="Times New Roman"/>
          <w:sz w:val="24"/>
          <w:szCs w:val="24"/>
          <w:lang w:val="en-US"/>
        </w:rPr>
        <w:t>This study reviews the importance of the bilateral economic relationship and provides</w:t>
      </w:r>
      <w:r>
        <w:rPr>
          <w:rFonts w:ascii="Times New Roman" w:hAnsi="Times New Roman" w:cs="Times New Roman"/>
          <w:sz w:val="24"/>
          <w:szCs w:val="24"/>
          <w:lang w:val="en-US"/>
        </w:rPr>
        <w:t xml:space="preserve"> </w:t>
      </w:r>
      <w:r w:rsidRPr="00E32778">
        <w:rPr>
          <w:rFonts w:ascii="Times New Roman" w:hAnsi="Times New Roman" w:cs="Times New Roman"/>
          <w:color w:val="FF0000"/>
          <w:sz w:val="24"/>
          <w:szCs w:val="24"/>
          <w:lang w:val="en-US"/>
        </w:rPr>
        <w:t>computable general equilibrium (CGE)-</w:t>
      </w:r>
      <w:r w:rsidRPr="0063686E">
        <w:rPr>
          <w:rFonts w:ascii="Times New Roman" w:hAnsi="Times New Roman" w:cs="Times New Roman"/>
          <w:sz w:val="24"/>
          <w:szCs w:val="24"/>
          <w:lang w:val="en-US"/>
        </w:rPr>
        <w:t>based estima</w:t>
      </w:r>
      <w:r>
        <w:rPr>
          <w:rFonts w:ascii="Times New Roman" w:hAnsi="Times New Roman" w:cs="Times New Roman"/>
          <w:sz w:val="24"/>
          <w:szCs w:val="24"/>
          <w:lang w:val="en-US"/>
        </w:rPr>
        <w:t xml:space="preserve">tes for the economy-wide impact </w:t>
      </w:r>
      <w:r w:rsidRPr="0063686E">
        <w:rPr>
          <w:rFonts w:ascii="Times New Roman" w:hAnsi="Times New Roman" w:cs="Times New Roman"/>
          <w:sz w:val="24"/>
          <w:szCs w:val="24"/>
          <w:lang w:val="en-US"/>
        </w:rPr>
        <w:t xml:space="preserve">of reducing both tariff and </w:t>
      </w:r>
      <w:r w:rsidRPr="00E32778">
        <w:rPr>
          <w:rFonts w:ascii="Times New Roman" w:hAnsi="Times New Roman" w:cs="Times New Roman"/>
          <w:color w:val="FF0000"/>
          <w:sz w:val="24"/>
          <w:szCs w:val="24"/>
          <w:lang w:val="en-US"/>
        </w:rPr>
        <w:t>non-tariff barriers (NTBs)</w:t>
      </w:r>
      <w:r>
        <w:rPr>
          <w:rFonts w:ascii="Times New Roman" w:hAnsi="Times New Roman" w:cs="Times New Roman"/>
          <w:sz w:val="24"/>
          <w:szCs w:val="24"/>
          <w:lang w:val="en-US"/>
        </w:rPr>
        <w:t xml:space="preserve">. Estimates are provided with </w:t>
      </w:r>
      <w:r w:rsidRPr="0063686E">
        <w:rPr>
          <w:rFonts w:ascii="Times New Roman" w:hAnsi="Times New Roman" w:cs="Times New Roman"/>
          <w:sz w:val="24"/>
          <w:szCs w:val="24"/>
          <w:lang w:val="en-US"/>
        </w:rPr>
        <w:t>regards to expected changes in GDP, sector output, aggre</w:t>
      </w:r>
      <w:r>
        <w:rPr>
          <w:rFonts w:ascii="Times New Roman" w:hAnsi="Times New Roman" w:cs="Times New Roman"/>
          <w:sz w:val="24"/>
          <w:szCs w:val="24"/>
          <w:lang w:val="en-US"/>
        </w:rPr>
        <w:t xml:space="preserve">gate and bilateral trade flows, </w:t>
      </w:r>
      <w:r w:rsidRPr="0063686E">
        <w:rPr>
          <w:rFonts w:ascii="Times New Roman" w:hAnsi="Times New Roman" w:cs="Times New Roman"/>
          <w:sz w:val="24"/>
          <w:szCs w:val="24"/>
          <w:lang w:val="en-US"/>
        </w:rPr>
        <w:t>wages, and labour displacement, among other issu</w:t>
      </w:r>
      <w:r>
        <w:rPr>
          <w:rFonts w:ascii="Times New Roman" w:hAnsi="Times New Roman" w:cs="Times New Roman"/>
          <w:sz w:val="24"/>
          <w:szCs w:val="24"/>
          <w:lang w:val="en-US"/>
        </w:rPr>
        <w:t xml:space="preserve">es. The analysis uses the GTAP8 </w:t>
      </w:r>
      <w:r w:rsidRPr="0063686E">
        <w:rPr>
          <w:rFonts w:ascii="Times New Roman" w:hAnsi="Times New Roman" w:cs="Times New Roman"/>
          <w:sz w:val="24"/>
          <w:szCs w:val="24"/>
          <w:lang w:val="en-US"/>
        </w:rPr>
        <w:t>database (projected to 2027), in conjunction with NTB e</w:t>
      </w:r>
      <w:r>
        <w:rPr>
          <w:rFonts w:ascii="Times New Roman" w:hAnsi="Times New Roman" w:cs="Times New Roman"/>
          <w:sz w:val="24"/>
          <w:szCs w:val="24"/>
          <w:lang w:val="en-US"/>
        </w:rPr>
        <w:t xml:space="preserve">stimates reported in the Ecorys </w:t>
      </w:r>
      <w:r w:rsidRPr="0063686E">
        <w:rPr>
          <w:rFonts w:ascii="Times New Roman" w:hAnsi="Times New Roman" w:cs="Times New Roman"/>
          <w:sz w:val="24"/>
          <w:szCs w:val="24"/>
          <w:lang w:val="en-US"/>
        </w:rPr>
        <w:t xml:space="preserve">(2009) study. </w:t>
      </w:r>
      <w:r w:rsidRPr="00E32778">
        <w:rPr>
          <w:rFonts w:ascii="Times New Roman" w:hAnsi="Times New Roman" w:cs="Times New Roman"/>
          <w:color w:val="FF0000"/>
          <w:sz w:val="24"/>
          <w:szCs w:val="24"/>
          <w:lang w:val="en-US"/>
        </w:rPr>
        <w:t>The study investigates different policy options for the deepening of the bilateral trade and investment relationship between the EU and US.</w:t>
      </w:r>
      <w:r>
        <w:rPr>
          <w:rFonts w:ascii="Times New Roman" w:hAnsi="Times New Roman" w:cs="Times New Roman"/>
          <w:sz w:val="24"/>
          <w:szCs w:val="24"/>
          <w:lang w:val="en-US"/>
        </w:rPr>
        <w:t xml:space="preserve"> </w:t>
      </w:r>
      <w:r w:rsidRPr="00E32778">
        <w:rPr>
          <w:rFonts w:ascii="Times New Roman" w:hAnsi="Times New Roman" w:cs="Times New Roman"/>
          <w:color w:val="FF0000"/>
          <w:sz w:val="24"/>
          <w:szCs w:val="24"/>
          <w:lang w:val="en-US"/>
        </w:rPr>
        <w:t xml:space="preserve">These range from partial agreements that are limited in the scope of barriers they would address (tariffs only, or services only, or procurement only) to a full-fledged </w:t>
      </w:r>
      <w:r w:rsidRPr="00094425">
        <w:rPr>
          <w:rFonts w:ascii="Times New Roman" w:hAnsi="Times New Roman" w:cs="Times New Roman"/>
          <w:color w:val="FF0000"/>
          <w:sz w:val="24"/>
          <w:szCs w:val="24"/>
          <w:lang w:val="en-US"/>
        </w:rPr>
        <w:t>free trade agreement (FTA)</w:t>
      </w:r>
      <w:r w:rsidRPr="00E32778">
        <w:rPr>
          <w:rFonts w:ascii="Times New Roman" w:hAnsi="Times New Roman" w:cs="Times New Roman"/>
          <w:color w:val="FF0000"/>
          <w:sz w:val="24"/>
          <w:szCs w:val="24"/>
          <w:lang w:val="en-US"/>
        </w:rPr>
        <w:t xml:space="preserve"> with a comprehensive liberalisation agenda covering simultaneously tariffs, procurement, NTBs for goods, and NTBs for services. The comprehensive option includes two scenarios: a less ambitious agreement that includes a 10 per cent reduction in trade costs from NTBs and nearly full tariff removal (98 per cent of tariffs) and an ambitious scenario that includes the elimination of 25 per cent of NTB related costs and 100 per cent of tariffs. In both scenarios more ambition is imposed on the lowering of procurement-related NTBs than for other NTBs affecting goods and services. It is assumed that NTBs linked to procurement are reduced by 25 per cent or 50 per cent, in the “less ambitious” and in the “ambitious” scenarios respectively. The impact of partial alignment of global rules and standards with a new set of EU-US standards and cross-recognition agreements is also included in the assessment.</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E32778"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E32778">
        <w:rPr>
          <w:rFonts w:ascii="Times New Roman" w:hAnsi="Times New Roman" w:cs="Times New Roman"/>
          <w:color w:val="FF0000"/>
          <w:sz w:val="24"/>
          <w:szCs w:val="24"/>
          <w:lang w:val="en-US"/>
        </w:rPr>
        <w:t>The results indicate positive and significant gains for both economies. Under a comprehensive agreement, GDP is estimated to increase by between 68.2 and 119.2 billion euros for the EU and between 49.5 and 94.9 billion euros for the US (under the less ambitious and more ambitious scenarios). However, if the FTA would be limited to tariff liberalisation only, or services or procurement liberalisation only, the estimated gains would be significantly lower. For example, an FTA limited to tariff liberalisation would lead to a lower (23.7 billion euro) increase in GDP for the EU and a 9.4 billion euros increase for the US. The study also quantifies potential benefits from NTB reduction affecting FDI. The overall message is that negotiating an agreement that would be of a comprehensive nature would bring significantly greater benefits to both economies.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Pr="0063686E"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63686E">
        <w:rPr>
          <w:rFonts w:ascii="Times New Roman" w:hAnsi="Times New Roman" w:cs="Times New Roman"/>
          <w:sz w:val="24"/>
          <w:szCs w:val="24"/>
          <w:lang w:val="en-US"/>
        </w:rPr>
        <w:t xml:space="preserve">Another core message that follows from our results is that focusing </w:t>
      </w:r>
      <w:r>
        <w:rPr>
          <w:rFonts w:ascii="Times New Roman" w:hAnsi="Times New Roman" w:cs="Times New Roman"/>
          <w:sz w:val="24"/>
          <w:szCs w:val="24"/>
          <w:lang w:val="en-US"/>
        </w:rPr>
        <w:t xml:space="preserve">efforts on reducing </w:t>
      </w:r>
      <w:r w:rsidRPr="0063686E">
        <w:rPr>
          <w:rFonts w:ascii="Times New Roman" w:hAnsi="Times New Roman" w:cs="Times New Roman"/>
          <w:sz w:val="24"/>
          <w:szCs w:val="24"/>
          <w:lang w:val="en-US"/>
        </w:rPr>
        <w:t>NTBs is critical to the logic of transatlantic trade liber</w:t>
      </w:r>
      <w:r>
        <w:rPr>
          <w:rFonts w:ascii="Times New Roman" w:hAnsi="Times New Roman" w:cs="Times New Roman"/>
          <w:sz w:val="24"/>
          <w:szCs w:val="24"/>
          <w:lang w:val="en-US"/>
        </w:rPr>
        <w:t xml:space="preserve">alization. Different approaches </w:t>
      </w:r>
      <w:r w:rsidRPr="0063686E">
        <w:rPr>
          <w:rFonts w:ascii="Times New Roman" w:hAnsi="Times New Roman" w:cs="Times New Roman"/>
          <w:sz w:val="24"/>
          <w:szCs w:val="24"/>
          <w:lang w:val="en-US"/>
        </w:rPr>
        <w:t xml:space="preserve">to the same regulatory challenges have the unintended </w:t>
      </w:r>
      <w:r>
        <w:rPr>
          <w:rFonts w:ascii="Times New Roman" w:hAnsi="Times New Roman" w:cs="Times New Roman"/>
          <w:sz w:val="24"/>
          <w:szCs w:val="24"/>
          <w:lang w:val="en-US"/>
        </w:rPr>
        <w:t xml:space="preserve">consequence of increasing costs </w:t>
      </w:r>
      <w:r w:rsidRPr="0063686E">
        <w:rPr>
          <w:rFonts w:ascii="Times New Roman" w:hAnsi="Times New Roman" w:cs="Times New Roman"/>
          <w:sz w:val="24"/>
          <w:szCs w:val="24"/>
          <w:lang w:val="en-US"/>
        </w:rPr>
        <w:t>for firms, which have to comply with two regulatory environm</w:t>
      </w:r>
      <w:r>
        <w:rPr>
          <w:rFonts w:ascii="Times New Roman" w:hAnsi="Times New Roman" w:cs="Times New Roman"/>
          <w:sz w:val="24"/>
          <w:szCs w:val="24"/>
          <w:lang w:val="en-US"/>
        </w:rPr>
        <w:t xml:space="preserve">ents, dragging down </w:t>
      </w:r>
      <w:r w:rsidRPr="0063686E">
        <w:rPr>
          <w:rFonts w:ascii="Times New Roman" w:hAnsi="Times New Roman" w:cs="Times New Roman"/>
          <w:sz w:val="24"/>
          <w:szCs w:val="24"/>
          <w:lang w:val="en-US"/>
        </w:rPr>
        <w:t>labour productivity. Negotiation on NTBs provides the</w:t>
      </w:r>
      <w:r>
        <w:rPr>
          <w:rFonts w:ascii="Times New Roman" w:hAnsi="Times New Roman" w:cs="Times New Roman"/>
          <w:sz w:val="24"/>
          <w:szCs w:val="24"/>
          <w:lang w:val="en-US"/>
        </w:rPr>
        <w:t xml:space="preserve"> opportunity to pursue a mix of </w:t>
      </w:r>
      <w:r w:rsidRPr="0063686E">
        <w:rPr>
          <w:rFonts w:ascii="Times New Roman" w:hAnsi="Times New Roman" w:cs="Times New Roman"/>
          <w:sz w:val="24"/>
          <w:szCs w:val="24"/>
          <w:lang w:val="en-US"/>
        </w:rPr>
        <w:t>cross-recognition and regulatory convergence to reduc</w:t>
      </w:r>
      <w:r>
        <w:rPr>
          <w:rFonts w:ascii="Times New Roman" w:hAnsi="Times New Roman" w:cs="Times New Roman"/>
          <w:sz w:val="24"/>
          <w:szCs w:val="24"/>
          <w:lang w:val="en-US"/>
        </w:rPr>
        <w:t xml:space="preserve">e these barriers. Compared to a </w:t>
      </w:r>
      <w:r w:rsidRPr="0063686E">
        <w:rPr>
          <w:rFonts w:ascii="Times New Roman" w:hAnsi="Times New Roman" w:cs="Times New Roman"/>
          <w:sz w:val="24"/>
          <w:szCs w:val="24"/>
          <w:lang w:val="en-US"/>
        </w:rPr>
        <w:t>focus on NTBS, just limiting the exercise to tariffs would lead to much more limited,</w:t>
      </w:r>
      <w:r>
        <w:rPr>
          <w:rFonts w:ascii="Times New Roman" w:hAnsi="Times New Roman" w:cs="Times New Roman"/>
          <w:sz w:val="24"/>
          <w:szCs w:val="24"/>
          <w:lang w:val="en-US"/>
        </w:rPr>
        <w:t xml:space="preserve"> </w:t>
      </w:r>
      <w:r w:rsidRPr="0063686E">
        <w:rPr>
          <w:rFonts w:ascii="Times New Roman" w:hAnsi="Times New Roman" w:cs="Times New Roman"/>
          <w:sz w:val="24"/>
          <w:szCs w:val="24"/>
          <w:lang w:val="en-US"/>
        </w:rPr>
        <w:t>though positive effects. Furthermore, the gains to t</w:t>
      </w:r>
      <w:r>
        <w:rPr>
          <w:rFonts w:ascii="Times New Roman" w:hAnsi="Times New Roman" w:cs="Times New Roman"/>
          <w:sz w:val="24"/>
          <w:szCs w:val="24"/>
          <w:lang w:val="en-US"/>
        </w:rPr>
        <w:t xml:space="preserve">he transatlantic economies from </w:t>
      </w:r>
      <w:r w:rsidRPr="0063686E">
        <w:rPr>
          <w:rFonts w:ascii="Times New Roman" w:hAnsi="Times New Roman" w:cs="Times New Roman"/>
          <w:sz w:val="24"/>
          <w:szCs w:val="24"/>
          <w:lang w:val="en-US"/>
        </w:rPr>
        <w:t xml:space="preserve">NTB </w:t>
      </w:r>
      <w:r w:rsidRPr="0063686E">
        <w:rPr>
          <w:rFonts w:ascii="Times New Roman" w:hAnsi="Times New Roman" w:cs="Times New Roman"/>
          <w:sz w:val="24"/>
          <w:szCs w:val="24"/>
          <w:lang w:val="en-US"/>
        </w:rPr>
        <w:lastRenderedPageBreak/>
        <w:t>reduction are not projected to be at the expense of th</w:t>
      </w:r>
      <w:r>
        <w:rPr>
          <w:rFonts w:ascii="Times New Roman" w:hAnsi="Times New Roman" w:cs="Times New Roman"/>
          <w:sz w:val="24"/>
          <w:szCs w:val="24"/>
          <w:lang w:val="en-US"/>
        </w:rPr>
        <w:t xml:space="preserve">e rest of the world, though the </w:t>
      </w:r>
      <w:r w:rsidRPr="0063686E">
        <w:rPr>
          <w:rFonts w:ascii="Times New Roman" w:hAnsi="Times New Roman" w:cs="Times New Roman"/>
          <w:sz w:val="24"/>
          <w:szCs w:val="24"/>
          <w:lang w:val="en-US"/>
        </w:rPr>
        <w:t>rest-of-world impact hinges critically on the potential for glo</w:t>
      </w:r>
      <w:r>
        <w:rPr>
          <w:rFonts w:ascii="Times New Roman" w:hAnsi="Times New Roman" w:cs="Times New Roman"/>
          <w:sz w:val="24"/>
          <w:szCs w:val="24"/>
          <w:lang w:val="en-US"/>
        </w:rPr>
        <w:t xml:space="preserve">bal convergence toward </w:t>
      </w:r>
      <w:r w:rsidRPr="0063686E">
        <w:rPr>
          <w:rFonts w:ascii="Times New Roman" w:hAnsi="Times New Roman" w:cs="Times New Roman"/>
          <w:sz w:val="24"/>
          <w:szCs w:val="24"/>
          <w:lang w:val="en-US"/>
        </w:rPr>
        <w:t>EU-US standards, which could then become de fa</w:t>
      </w:r>
      <w:r>
        <w:rPr>
          <w:rFonts w:ascii="Times New Roman" w:hAnsi="Times New Roman" w:cs="Times New Roman"/>
          <w:sz w:val="24"/>
          <w:szCs w:val="24"/>
          <w:lang w:val="en-US"/>
        </w:rPr>
        <w:t xml:space="preserve">cto global standards and have a </w:t>
      </w:r>
      <w:r w:rsidRPr="0063686E">
        <w:rPr>
          <w:rFonts w:ascii="Times New Roman" w:hAnsi="Times New Roman" w:cs="Times New Roman"/>
          <w:sz w:val="24"/>
          <w:szCs w:val="24"/>
          <w:lang w:val="en-US"/>
        </w:rPr>
        <w:t>knock-on effect lowering NTBs multilaterally. Such a</w:t>
      </w:r>
      <w:r>
        <w:rPr>
          <w:rFonts w:ascii="Times New Roman" w:hAnsi="Times New Roman" w:cs="Times New Roman"/>
          <w:sz w:val="24"/>
          <w:szCs w:val="24"/>
          <w:lang w:val="en-US"/>
        </w:rPr>
        <w:t xml:space="preserve"> process implies improvement of </w:t>
      </w:r>
      <w:r w:rsidRPr="0063686E">
        <w:rPr>
          <w:rFonts w:ascii="Times New Roman" w:hAnsi="Times New Roman" w:cs="Times New Roman"/>
          <w:sz w:val="24"/>
          <w:szCs w:val="24"/>
          <w:lang w:val="en-US"/>
        </w:rPr>
        <w:t>market access for third countries, helping to offset trade diversion.</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63686E">
        <w:rPr>
          <w:rFonts w:ascii="Times New Roman" w:hAnsi="Times New Roman" w:cs="Times New Roman"/>
          <w:sz w:val="24"/>
          <w:szCs w:val="24"/>
          <w:lang w:val="en-US"/>
        </w:rPr>
        <w:t>Finally, this study also reports estimates on susta</w:t>
      </w:r>
      <w:r>
        <w:rPr>
          <w:rFonts w:ascii="Times New Roman" w:hAnsi="Times New Roman" w:cs="Times New Roman"/>
          <w:sz w:val="24"/>
          <w:szCs w:val="24"/>
          <w:lang w:val="en-US"/>
        </w:rPr>
        <w:t xml:space="preserve">inability impacts - changes in </w:t>
      </w:r>
      <w:r w:rsidRPr="0063686E">
        <w:rPr>
          <w:rFonts w:ascii="Times New Roman" w:hAnsi="Times New Roman" w:cs="Times New Roman"/>
          <w:sz w:val="24"/>
          <w:szCs w:val="24"/>
          <w:lang w:val="en-US"/>
        </w:rPr>
        <w:t>emissions and in natural resource utilization. Elimination of NTBs implies improved</w:t>
      </w:r>
      <w:r>
        <w:rPr>
          <w:rFonts w:ascii="Times New Roman" w:hAnsi="Times New Roman" w:cs="Times New Roman"/>
          <w:sz w:val="24"/>
          <w:szCs w:val="24"/>
          <w:lang w:val="en-US"/>
        </w:rPr>
        <w:t xml:space="preserve"> </w:t>
      </w:r>
      <w:r w:rsidRPr="0063686E">
        <w:rPr>
          <w:rFonts w:ascii="Times New Roman" w:hAnsi="Times New Roman" w:cs="Times New Roman"/>
          <w:sz w:val="24"/>
          <w:szCs w:val="24"/>
          <w:lang w:val="en-US"/>
        </w:rPr>
        <w:t>productivity (i.e. less primary inputs are required for current activity). The results poi</w:t>
      </w:r>
      <w:r>
        <w:rPr>
          <w:rFonts w:ascii="Times New Roman" w:hAnsi="Times New Roman" w:cs="Times New Roman"/>
          <w:sz w:val="24"/>
          <w:szCs w:val="24"/>
          <w:lang w:val="en-US"/>
        </w:rPr>
        <w:t xml:space="preserve">nt </w:t>
      </w:r>
      <w:r w:rsidRPr="0063686E">
        <w:rPr>
          <w:rFonts w:ascii="Times New Roman" w:hAnsi="Times New Roman" w:cs="Times New Roman"/>
          <w:sz w:val="24"/>
          <w:szCs w:val="24"/>
          <w:lang w:val="en-US"/>
        </w:rPr>
        <w:t>to negligible effects on the rate of CO2 emissions and utilisation of natural resources.</w:t>
      </w:r>
    </w:p>
    <w:p w:rsidR="00AF62E6" w:rsidRPr="0063686E"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noProof/>
          <w:sz w:val="24"/>
          <w:szCs w:val="24"/>
          <w:lang w:val="en-GB" w:eastAsia="en-GB"/>
        </w:rPr>
        <w:drawing>
          <wp:inline distT="0" distB="0" distL="0" distR="0">
            <wp:extent cx="5397500" cy="32321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232150"/>
                    </a:xfrm>
                    <a:prstGeom prst="rect">
                      <a:avLst/>
                    </a:prstGeom>
                    <a:noFill/>
                    <a:ln>
                      <a:noFill/>
                    </a:ln>
                  </pic:spPr>
                </pic:pic>
              </a:graphicData>
            </a:graphic>
          </wp:inline>
        </w:drawing>
      </w:r>
    </w:p>
    <w:p w:rsidR="00AF62E6" w:rsidRPr="0063686E" w:rsidRDefault="00AF62E6" w:rsidP="00AF62E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eastAsia="es-ES"/>
        </w:rPr>
      </w:pPr>
    </w:p>
    <w:p w:rsidR="00AF62E6" w:rsidRPr="00FF2954" w:rsidRDefault="00AF62E6" w:rsidP="00AF62E6">
      <w:pPr>
        <w:pStyle w:val="NormalWeb"/>
        <w:jc w:val="both"/>
        <w:rPr>
          <w:lang w:val="en-US"/>
        </w:rPr>
      </w:pPr>
      <w:r>
        <w:rPr>
          <w:noProof/>
          <w:lang w:val="en-GB" w:eastAsia="en-GB"/>
        </w:rPr>
        <w:drawing>
          <wp:inline distT="0" distB="0" distL="0" distR="0">
            <wp:extent cx="5397500" cy="296545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9654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28003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8003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37973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7973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65913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5913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30670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670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2463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4638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262255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6225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26289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6289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55054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505450"/>
                    </a:xfrm>
                    <a:prstGeom prst="rect">
                      <a:avLst/>
                    </a:prstGeom>
                    <a:noFill/>
                    <a:ln>
                      <a:noFill/>
                    </a:ln>
                  </pic:spPr>
                </pic:pic>
              </a:graphicData>
            </a:graphic>
          </wp:inline>
        </w:drawing>
      </w:r>
    </w:p>
    <w:p w:rsidR="00AF62E6" w:rsidRDefault="00AF62E6" w:rsidP="00AF62E6">
      <w:pPr>
        <w:pStyle w:val="NormalWeb"/>
        <w:jc w:val="both"/>
      </w:pPr>
      <w:r>
        <w:t xml:space="preserve">NTB: </w:t>
      </w:r>
      <w:r w:rsidRPr="00A05D60">
        <w:t>Non-tariff barriers</w:t>
      </w:r>
    </w:p>
    <w:p w:rsidR="00AF62E6" w:rsidRDefault="00AF62E6" w:rsidP="00AF62E6">
      <w:pPr>
        <w:pStyle w:val="NormalWeb"/>
        <w:jc w:val="both"/>
      </w:pPr>
    </w:p>
    <w:p w:rsidR="00AF62E6" w:rsidRDefault="00AF62E6" w:rsidP="00AF62E6">
      <w:pPr>
        <w:pStyle w:val="NormalWeb"/>
        <w:jc w:val="both"/>
      </w:pPr>
    </w:p>
    <w:p w:rsidR="00AF62E6" w:rsidRDefault="00AF62E6" w:rsidP="00AF62E6">
      <w:pPr>
        <w:pStyle w:val="NormalWeb"/>
        <w:jc w:val="both"/>
      </w:pPr>
    </w:p>
    <w:p w:rsidR="00AF62E6" w:rsidRDefault="00AF62E6" w:rsidP="00AF62E6">
      <w:pPr>
        <w:pStyle w:val="NormalWeb"/>
        <w:jc w:val="both"/>
        <w:rPr>
          <w:lang w:val="en-US"/>
        </w:rPr>
      </w:pPr>
      <w:r>
        <w:rPr>
          <w:noProof/>
          <w:lang w:val="en-GB" w:eastAsia="en-GB"/>
        </w:rPr>
        <w:drawing>
          <wp:inline distT="0" distB="0" distL="0" distR="0">
            <wp:extent cx="5397500" cy="46545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6545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Pr="00A05D60" w:rsidRDefault="00AF62E6" w:rsidP="00AF62E6">
      <w:pPr>
        <w:pStyle w:val="NormalWeb"/>
        <w:jc w:val="both"/>
        <w:rPr>
          <w:lang w:val="en-US"/>
        </w:rPr>
      </w:pPr>
      <w:r>
        <w:rPr>
          <w:noProof/>
          <w:lang w:val="en-GB" w:eastAsia="en-GB"/>
        </w:rPr>
        <w:drawing>
          <wp:inline distT="0" distB="0" distL="0" distR="0">
            <wp:extent cx="5391150" cy="30289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028950"/>
                    </a:xfrm>
                    <a:prstGeom prst="rect">
                      <a:avLst/>
                    </a:prstGeom>
                    <a:noFill/>
                    <a:ln>
                      <a:noFill/>
                    </a:ln>
                  </pic:spPr>
                </pic:pic>
              </a:graphicData>
            </a:graphic>
          </wp:inline>
        </w:drawing>
      </w:r>
    </w:p>
    <w:p w:rsidR="00AF62E6" w:rsidRDefault="00AF62E6" w:rsidP="00AF62E6">
      <w:pPr>
        <w:pStyle w:val="NormalWeb"/>
        <w:jc w:val="both"/>
        <w:rPr>
          <w:b/>
          <w:lang w:val="en-US"/>
        </w:rPr>
      </w:pPr>
    </w:p>
    <w:p w:rsidR="00AF62E6" w:rsidRDefault="00AF62E6" w:rsidP="00AF62E6">
      <w:pPr>
        <w:pStyle w:val="NormalWeb"/>
        <w:jc w:val="both"/>
        <w:rPr>
          <w:b/>
          <w:lang w:val="en-US"/>
        </w:rPr>
      </w:pPr>
    </w:p>
    <w:p w:rsidR="00094425" w:rsidRDefault="00094425" w:rsidP="00AF62E6">
      <w:pPr>
        <w:pStyle w:val="NormalWeb"/>
        <w:jc w:val="both"/>
        <w:rPr>
          <w:b/>
          <w:lang w:val="en-US"/>
        </w:rPr>
      </w:pPr>
    </w:p>
    <w:p w:rsidR="00AF62E6" w:rsidRPr="009801B2" w:rsidRDefault="00AF62E6" w:rsidP="00AF62E6">
      <w:pPr>
        <w:pStyle w:val="NormalWeb"/>
        <w:jc w:val="both"/>
        <w:rPr>
          <w:b/>
          <w:lang w:val="en-US"/>
        </w:rPr>
      </w:pPr>
      <w:r w:rsidRPr="009801B2">
        <w:rPr>
          <w:b/>
          <w:lang w:val="en-US"/>
        </w:rPr>
        <w:lastRenderedPageBreak/>
        <w:t>Sectoral effects: Preliminary ranking</w:t>
      </w:r>
    </w:p>
    <w:p w:rsidR="00AF62E6" w:rsidRPr="00A05D60" w:rsidRDefault="00AF62E6" w:rsidP="00AF62E6">
      <w:pPr>
        <w:pStyle w:val="NormalWeb"/>
        <w:jc w:val="both"/>
        <w:rPr>
          <w:lang w:val="en-US"/>
        </w:rPr>
      </w:pPr>
    </w:p>
    <w:p w:rsidR="00AF62E6" w:rsidRPr="009C4FEF" w:rsidRDefault="00AF62E6" w:rsidP="00AF62E6">
      <w:pPr>
        <w:pStyle w:val="NormalWeb"/>
        <w:jc w:val="both"/>
        <w:rPr>
          <w:lang w:val="en-US"/>
        </w:rPr>
      </w:pPr>
      <w:r>
        <w:rPr>
          <w:lang w:val="en-US"/>
        </w:rPr>
        <w:t xml:space="preserve">In the Table, column </w:t>
      </w:r>
      <w:r w:rsidRPr="009C4FEF">
        <w:rPr>
          <w:lang w:val="en-US"/>
        </w:rPr>
        <w:t>A summarizes the total value of tariffs and actiona</w:t>
      </w:r>
      <w:r>
        <w:rPr>
          <w:lang w:val="en-US"/>
        </w:rPr>
        <w:t xml:space="preserve">ble NTBs (as defined by Ecorys) </w:t>
      </w:r>
      <w:r w:rsidRPr="009C4FEF">
        <w:rPr>
          <w:lang w:val="en-US"/>
        </w:rPr>
        <w:t>applied by the US against EU exports. The next two columns summarize the importance</w:t>
      </w:r>
      <w:r>
        <w:rPr>
          <w:lang w:val="en-US"/>
        </w:rPr>
        <w:t xml:space="preserve"> </w:t>
      </w:r>
      <w:r w:rsidRPr="009C4FEF">
        <w:rPr>
          <w:lang w:val="en-US"/>
        </w:rPr>
        <w:t xml:space="preserve">of each sector to total EU exports to the US. Column B </w:t>
      </w:r>
      <w:r>
        <w:rPr>
          <w:lang w:val="en-US"/>
        </w:rPr>
        <w:t xml:space="preserve">is based on gross values, while </w:t>
      </w:r>
      <w:r w:rsidRPr="009C4FEF">
        <w:rPr>
          <w:lang w:val="en-US"/>
        </w:rPr>
        <w:t>column C is based instead on the value added containe</w:t>
      </w:r>
      <w:r>
        <w:rPr>
          <w:lang w:val="en-US"/>
        </w:rPr>
        <w:t xml:space="preserve">d in exports. In column C, we </w:t>
      </w:r>
      <w:r w:rsidRPr="009C4FEF">
        <w:rPr>
          <w:lang w:val="en-US"/>
        </w:rPr>
        <w:t>see that while chemicals are 12.38 percent of exports o</w:t>
      </w:r>
      <w:r>
        <w:rPr>
          <w:lang w:val="en-US"/>
        </w:rPr>
        <w:t xml:space="preserve">n a gross value basis, they are </w:t>
      </w:r>
      <w:r w:rsidRPr="009C4FEF">
        <w:rPr>
          <w:lang w:val="en-US"/>
        </w:rPr>
        <w:t>somewhat less important on a value added basis, acc</w:t>
      </w:r>
      <w:r>
        <w:rPr>
          <w:lang w:val="en-US"/>
        </w:rPr>
        <w:t xml:space="preserve">ounting for 11.21 percent of EU </w:t>
      </w:r>
      <w:r w:rsidRPr="009C4FEF">
        <w:rPr>
          <w:lang w:val="en-US"/>
        </w:rPr>
        <w:t xml:space="preserve">value added contained in exports to the EU. As a crude </w:t>
      </w:r>
      <w:r>
        <w:rPr>
          <w:lang w:val="en-US"/>
        </w:rPr>
        <w:t xml:space="preserve">first pass at possible effects, </w:t>
      </w:r>
      <w:r w:rsidRPr="009C4FEF">
        <w:rPr>
          <w:lang w:val="en-US"/>
        </w:rPr>
        <w:t>column E provides an impact-ranking index. This is bas</w:t>
      </w:r>
      <w:r>
        <w:rPr>
          <w:lang w:val="en-US"/>
        </w:rPr>
        <w:t xml:space="preserve">ed on the value added contained </w:t>
      </w:r>
      <w:r w:rsidRPr="009C4FEF">
        <w:rPr>
          <w:lang w:val="en-US"/>
        </w:rPr>
        <w:t>in exports by sector (C), the scope for liberalization (A), and the price elasticity</w:t>
      </w:r>
      <w:r>
        <w:rPr>
          <w:lang w:val="en-US"/>
        </w:rPr>
        <w:t xml:space="preserve"> of </w:t>
      </w:r>
      <w:r w:rsidRPr="009C4FEF">
        <w:rPr>
          <w:lang w:val="en-US"/>
        </w:rPr>
        <w:t>demand for imports (D). Together, these provide a rough</w:t>
      </w:r>
      <w:r>
        <w:rPr>
          <w:lang w:val="en-US"/>
        </w:rPr>
        <w:t xml:space="preserve"> estimate of increased exports, </w:t>
      </w:r>
      <w:r w:rsidRPr="009C4FEF">
        <w:rPr>
          <w:lang w:val="en-US"/>
        </w:rPr>
        <w:t>on a value added basis, following from improved market access to the US for EU firms.</w:t>
      </w:r>
    </w:p>
    <w:p w:rsidR="00AF62E6" w:rsidRDefault="00AF62E6" w:rsidP="00AF62E6">
      <w:pPr>
        <w:pStyle w:val="NormalWeb"/>
        <w:jc w:val="both"/>
        <w:rPr>
          <w:lang w:val="en-US"/>
        </w:rPr>
      </w:pPr>
      <w:r w:rsidRPr="009C4FEF">
        <w:rPr>
          <w:lang w:val="en-US"/>
        </w:rPr>
        <w:t>For example, of the total value added contained in EU exports to the US, column</w:t>
      </w:r>
      <w:r>
        <w:rPr>
          <w:lang w:val="en-US"/>
        </w:rPr>
        <w:t xml:space="preserve"> E says </w:t>
      </w:r>
      <w:r w:rsidRPr="009C4FEF">
        <w:rPr>
          <w:lang w:val="en-US"/>
        </w:rPr>
        <w:t>that full liberalization in chemicals could yield an 8.39 pe</w:t>
      </w:r>
      <w:r>
        <w:rPr>
          <w:lang w:val="en-US"/>
        </w:rPr>
        <w:t xml:space="preserve">rcent increase in total exports </w:t>
      </w:r>
      <w:r w:rsidRPr="009C4FEF">
        <w:rPr>
          <w:lang w:val="en-US"/>
        </w:rPr>
        <w:t>to the US on a value added basis. As it is value added that</w:t>
      </w:r>
      <w:r>
        <w:rPr>
          <w:lang w:val="en-US"/>
        </w:rPr>
        <w:t xml:space="preserve"> translates into GDP, the index </w:t>
      </w:r>
      <w:r w:rsidRPr="009C4FEF">
        <w:rPr>
          <w:lang w:val="en-US"/>
        </w:rPr>
        <w:t>also provides a crude ranking of overall GDP impacts of sector-specific liberalization.</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52578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2578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3651250"/>
            <wp:effectExtent l="0" t="0" r="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6512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p>
    <w:p w:rsidR="00AF62E6" w:rsidRPr="00DC3DAC" w:rsidRDefault="00AF62E6" w:rsidP="00AF62E6">
      <w:pPr>
        <w:pStyle w:val="NormalWeb"/>
        <w:jc w:val="both"/>
        <w:rPr>
          <w:b/>
          <w:lang w:val="en-US"/>
        </w:rPr>
      </w:pPr>
      <w:r w:rsidRPr="00DC3DAC">
        <w:rPr>
          <w:b/>
          <w:lang w:val="en-US"/>
        </w:rPr>
        <w:t>Limited Scenarios</w:t>
      </w:r>
    </w:p>
    <w:p w:rsidR="00AF62E6" w:rsidRDefault="00AF62E6" w:rsidP="00AF62E6">
      <w:pPr>
        <w:pStyle w:val="NormalWeb"/>
        <w:jc w:val="both"/>
        <w:rPr>
          <w:lang w:val="en-US"/>
        </w:rPr>
      </w:pPr>
    </w:p>
    <w:p w:rsidR="00AF62E6" w:rsidRDefault="00AF62E6" w:rsidP="00AF62E6">
      <w:pPr>
        <w:pStyle w:val="NormalWeb"/>
        <w:jc w:val="both"/>
        <w:rPr>
          <w:lang w:val="en-US"/>
        </w:rPr>
      </w:pPr>
      <w:r w:rsidRPr="009C4FEF">
        <w:rPr>
          <w:lang w:val="en-US"/>
        </w:rPr>
        <w:t xml:space="preserve">In this section, we present results assuming that a less </w:t>
      </w:r>
      <w:r>
        <w:rPr>
          <w:lang w:val="en-US"/>
        </w:rPr>
        <w:t xml:space="preserve">ambitious, limited FTA would be </w:t>
      </w:r>
      <w:r w:rsidRPr="009C4FEF">
        <w:rPr>
          <w:lang w:val="en-US"/>
        </w:rPr>
        <w:t xml:space="preserve">implemented. We analyse the impact assuming that only a </w:t>
      </w:r>
      <w:r>
        <w:rPr>
          <w:lang w:val="en-US"/>
        </w:rPr>
        <w:t xml:space="preserve">single policy pillar, i.e. only </w:t>
      </w:r>
      <w:r w:rsidRPr="009C4FEF">
        <w:rPr>
          <w:lang w:val="en-US"/>
        </w:rPr>
        <w:t xml:space="preserve">tariff liberalisation, or only services liberalization, or </w:t>
      </w:r>
      <w:r>
        <w:rPr>
          <w:lang w:val="en-US"/>
        </w:rPr>
        <w:t xml:space="preserve">only procurement liberalization </w:t>
      </w:r>
      <w:r w:rsidRPr="009C4FEF">
        <w:rPr>
          <w:lang w:val="en-US"/>
        </w:rPr>
        <w:t>would be implemented. Note that the liberalisation ef</w:t>
      </w:r>
      <w:r>
        <w:rPr>
          <w:lang w:val="en-US"/>
        </w:rPr>
        <w:t xml:space="preserve">forts that are being considered </w:t>
      </w:r>
      <w:r w:rsidRPr="009C4FEF">
        <w:rPr>
          <w:lang w:val="en-US"/>
        </w:rPr>
        <w:t>for each pillar are similar to those envisaged in the</w:t>
      </w:r>
      <w:r>
        <w:rPr>
          <w:lang w:val="en-US"/>
        </w:rPr>
        <w:t xml:space="preserve"> less ambitious scenario of the </w:t>
      </w:r>
      <w:r w:rsidRPr="009C4FEF">
        <w:rPr>
          <w:lang w:val="en-US"/>
        </w:rPr>
        <w:t xml:space="preserve">comprehensive FTA option (see Table 4), including 20 </w:t>
      </w:r>
      <w:r>
        <w:rPr>
          <w:lang w:val="en-US"/>
        </w:rPr>
        <w:t xml:space="preserve">per cent spill-overs. For the </w:t>
      </w:r>
      <w:r w:rsidRPr="009C4FEF">
        <w:rPr>
          <w:lang w:val="en-US"/>
        </w:rPr>
        <w:t>tariff only agreement there are obviously no spill-overs.</w:t>
      </w:r>
    </w:p>
    <w:p w:rsidR="00AF62E6" w:rsidRDefault="00AF62E6" w:rsidP="00AF62E6">
      <w:pPr>
        <w:pStyle w:val="NormalWeb"/>
        <w:jc w:val="both"/>
        <w:rPr>
          <w:lang w:val="en-US"/>
        </w:rPr>
      </w:pPr>
    </w:p>
    <w:p w:rsidR="00AF62E6" w:rsidRDefault="00AF62E6" w:rsidP="00AF62E6">
      <w:pPr>
        <w:pStyle w:val="NormalWeb"/>
        <w:jc w:val="both"/>
        <w:rPr>
          <w:color w:val="FF0000"/>
          <w:lang w:val="en-US"/>
        </w:rPr>
      </w:pPr>
      <w:r w:rsidRPr="009C4FEF">
        <w:rPr>
          <w:color w:val="FF0000"/>
          <w:lang w:val="en-US"/>
        </w:rPr>
        <w:t>The first conclusion to take from the results of the partial agreements is that liberalizing each policy pillars separately leads to relatively small increases in GDP for both the US and the EU (see Table 6 and Table 7 below). For the EU, the tariffs cuts lead to a GDP increase of 0.10 per cent (23,753 million euros), while the reduction of NTBs in services and in procurement increase GDP by only 0.02 per cent (5,298 and 6,367 million euros). For the US, these changes are even smaller (ranging from 0.01 to 0.04 per cent).</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lastRenderedPageBreak/>
        <w:drawing>
          <wp:inline distT="0" distB="0" distL="0" distR="0">
            <wp:extent cx="5397500" cy="38481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848100"/>
                    </a:xfrm>
                    <a:prstGeom prst="rect">
                      <a:avLst/>
                    </a:prstGeom>
                    <a:noFill/>
                    <a:ln>
                      <a:noFill/>
                    </a:ln>
                  </pic:spPr>
                </pic:pic>
              </a:graphicData>
            </a:graphic>
          </wp:inline>
        </w:drawing>
      </w: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35750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575050"/>
                    </a:xfrm>
                    <a:prstGeom prst="rect">
                      <a:avLst/>
                    </a:prstGeom>
                    <a:noFill/>
                    <a:ln>
                      <a:noFill/>
                    </a:ln>
                  </pic:spPr>
                </pic:pic>
              </a:graphicData>
            </a:graphic>
          </wp:inline>
        </w:drawing>
      </w:r>
    </w:p>
    <w:p w:rsidR="00AF62E6" w:rsidRDefault="00AF62E6" w:rsidP="00AF62E6">
      <w:pPr>
        <w:pStyle w:val="NormalWeb"/>
        <w:jc w:val="both"/>
        <w:rPr>
          <w:lang w:val="en-US"/>
        </w:rPr>
      </w:pPr>
      <w:r w:rsidRPr="00FB766B">
        <w:rPr>
          <w:lang w:val="en-US"/>
        </w:rPr>
        <w:t>The relative size of the services impact is linked both</w:t>
      </w:r>
      <w:r>
        <w:rPr>
          <w:lang w:val="en-US"/>
        </w:rPr>
        <w:t xml:space="preserve"> to the magnitude of underlying </w:t>
      </w:r>
      <w:r w:rsidRPr="00FB766B">
        <w:rPr>
          <w:lang w:val="en-US"/>
        </w:rPr>
        <w:t>bilateral barriers that are reduced (see Table 2) and als</w:t>
      </w:r>
      <w:r>
        <w:rPr>
          <w:lang w:val="en-US"/>
        </w:rPr>
        <w:t xml:space="preserve">o to the relative trade volumes </w:t>
      </w:r>
      <w:r w:rsidRPr="00FB766B">
        <w:rPr>
          <w:lang w:val="en-US"/>
        </w:rPr>
        <w:t>(see Figure 2). NTBs are perceived by businesses as ro</w:t>
      </w:r>
      <w:r>
        <w:rPr>
          <w:lang w:val="en-US"/>
        </w:rPr>
        <w:t xml:space="preserve">ughly 2.5 times higher in goods </w:t>
      </w:r>
      <w:r w:rsidRPr="00FB766B">
        <w:rPr>
          <w:lang w:val="en-US"/>
        </w:rPr>
        <w:t>than services, as applied in the experiments. This capture</w:t>
      </w:r>
      <w:r>
        <w:rPr>
          <w:lang w:val="en-US"/>
        </w:rPr>
        <w:t xml:space="preserve">s the fact that both the EU and </w:t>
      </w:r>
      <w:r w:rsidRPr="00FB766B">
        <w:rPr>
          <w:lang w:val="en-US"/>
        </w:rPr>
        <w:t>US are relatively open, by global standards, in the ser</w:t>
      </w:r>
      <w:r>
        <w:rPr>
          <w:lang w:val="en-US"/>
        </w:rPr>
        <w:t xml:space="preserve">vice sectors. At the same time, </w:t>
      </w:r>
      <w:r w:rsidRPr="00FB766B">
        <w:rPr>
          <w:lang w:val="en-US"/>
        </w:rPr>
        <w:t>goods trade is twice the value of services trade. Thus th</w:t>
      </w:r>
      <w:r>
        <w:rPr>
          <w:lang w:val="en-US"/>
        </w:rPr>
        <w:t xml:space="preserve">e relative magnitudes for goods </w:t>
      </w:r>
      <w:r w:rsidRPr="00FB766B">
        <w:rPr>
          <w:lang w:val="en-US"/>
        </w:rPr>
        <w:t>and services NTBs are consistent with the benchmark levels of protection and trade.</w:t>
      </w:r>
    </w:p>
    <w:p w:rsidR="00AF62E6" w:rsidRDefault="00AF62E6" w:rsidP="00AF62E6">
      <w:pPr>
        <w:pStyle w:val="NormalWeb"/>
        <w:jc w:val="both"/>
        <w:rPr>
          <w:lang w:val="en-US"/>
        </w:rPr>
      </w:pPr>
      <w:r w:rsidRPr="00FB766B">
        <w:rPr>
          <w:lang w:val="en-US"/>
        </w:rPr>
        <w:lastRenderedPageBreak/>
        <w:t>Next, we look at the expected changes in trade for the</w:t>
      </w:r>
      <w:r>
        <w:rPr>
          <w:lang w:val="en-US"/>
        </w:rPr>
        <w:t xml:space="preserve"> EU and the US. The results are </w:t>
      </w:r>
      <w:r w:rsidRPr="00FB766B">
        <w:rPr>
          <w:lang w:val="en-US"/>
        </w:rPr>
        <w:t>presented for each measure separately in Table 8 and Table 9 below.</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504825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048250"/>
                    </a:xfrm>
                    <a:prstGeom prst="rect">
                      <a:avLst/>
                    </a:prstGeom>
                    <a:noFill/>
                    <a:ln>
                      <a:noFill/>
                    </a:ln>
                  </pic:spPr>
                </pic:pic>
              </a:graphicData>
            </a:graphic>
          </wp:inline>
        </w:drawing>
      </w:r>
    </w:p>
    <w:p w:rsidR="00AF62E6" w:rsidRPr="001C3060" w:rsidRDefault="00AF62E6" w:rsidP="00AF62E6">
      <w:pPr>
        <w:pStyle w:val="NormalWeb"/>
        <w:jc w:val="both"/>
        <w:rPr>
          <w:lang w:val="en-US"/>
        </w:rPr>
      </w:pPr>
      <w:r w:rsidRPr="001C3060">
        <w:rPr>
          <w:color w:val="FF0000"/>
          <w:lang w:val="en-US"/>
        </w:rPr>
        <w:t>Among the partial agreement options, the tariff cuts are shown to deliver the largest increase in trade flows. Here, both exports and imports are shown to increase by between 1 and 2 per cent. Extra-EU exports are estimated to increase by 1.18 per cent (corresponding to 44 billion euros) while imports from outside EU are expected to rise by 1.00 per cent (corresponding also to about 44 billion euros increase). The changes are estimated to be slightly higher for the US. Liberalising procurement and services will lead to relatively small, less than 0.5 per cent (about 6-7 billion euros) increases in exports and imports. The resulting changes in terms of trade are shown to be insignificant. While the procurement and services options lead to similar GDP effects, the trade effects are larger overall for procurement.</w:t>
      </w:r>
      <w:r w:rsidRPr="001C3060">
        <w:rPr>
          <w:lang w:val="en-US"/>
        </w:rPr>
        <w:t xml:space="preserve"> This traces back to the</w:t>
      </w:r>
      <w:r>
        <w:rPr>
          <w:lang w:val="en-US"/>
        </w:rPr>
        <w:t xml:space="preserve"> </w:t>
      </w:r>
      <w:r w:rsidRPr="001C3060">
        <w:rPr>
          <w:lang w:val="en-US"/>
        </w:rPr>
        <w:t xml:space="preserve">underlying trade elasticities. Goods are estimated to </w:t>
      </w:r>
      <w:r>
        <w:rPr>
          <w:lang w:val="en-US"/>
        </w:rPr>
        <w:t xml:space="preserve">be more price sensitive overall </w:t>
      </w:r>
      <w:r w:rsidRPr="001C3060">
        <w:rPr>
          <w:lang w:val="en-US"/>
        </w:rPr>
        <w:t>and this translates in</w:t>
      </w:r>
      <w:r>
        <w:rPr>
          <w:lang w:val="en-US"/>
        </w:rPr>
        <w:t xml:space="preserve">to somewhat larger trade volume </w:t>
      </w:r>
      <w:r w:rsidRPr="001C3060">
        <w:rPr>
          <w:lang w:val="en-US"/>
        </w:rPr>
        <w:t xml:space="preserve">effects. However, both sets of trade volume effects are </w:t>
      </w:r>
      <w:r>
        <w:rPr>
          <w:lang w:val="en-US"/>
        </w:rPr>
        <w:t xml:space="preserve">much smaller than the estimates </w:t>
      </w:r>
      <w:r w:rsidRPr="001C3060">
        <w:rPr>
          <w:lang w:val="en-US"/>
        </w:rPr>
        <w:t>discussed below linked to a more comprehensive agreement.</w:t>
      </w:r>
    </w:p>
    <w:p w:rsidR="00AF62E6" w:rsidRDefault="00AF62E6" w:rsidP="00AF62E6">
      <w:pPr>
        <w:pStyle w:val="NormalWeb"/>
        <w:jc w:val="both"/>
        <w:rPr>
          <w:lang w:val="en-US"/>
        </w:rPr>
      </w:pPr>
      <w:r w:rsidRPr="001C3060">
        <w:rPr>
          <w:color w:val="FF0000"/>
          <w:lang w:val="en-US"/>
        </w:rPr>
        <w:t xml:space="preserve">The tables below show the impact of the limited FTA on bilateral sectoral trade between the EU and the US. Limiting the liberalisation to services or procurement only would have a very marginal impact on sectoral trade, with the exception of some of the services exports and imports increasing as barriers removed under the services </w:t>
      </w:r>
      <w:r w:rsidRPr="001C3060">
        <w:rPr>
          <w:color w:val="FF0000"/>
          <w:lang w:val="en-US"/>
        </w:rPr>
        <w:lastRenderedPageBreak/>
        <w:t>liberalisation</w:t>
      </w:r>
      <w:r>
        <w:rPr>
          <w:lang w:val="en-US"/>
        </w:rPr>
        <w:t xml:space="preserve">. </w:t>
      </w:r>
      <w:r w:rsidRPr="001C3060">
        <w:rPr>
          <w:color w:val="FF0000"/>
          <w:lang w:val="en-US"/>
        </w:rPr>
        <w:t>Nevertheless, on average, both bilateral exports and imports would increase by about 1 per cent or less if only services or procurement is liberalised</w:t>
      </w:r>
      <w:r>
        <w:rPr>
          <w:lang w:val="en-US"/>
        </w:rPr>
        <w:t xml:space="preserve">. </w:t>
      </w:r>
      <w:r w:rsidRPr="001C3060">
        <w:rPr>
          <w:color w:val="FF0000"/>
          <w:lang w:val="en-US"/>
        </w:rPr>
        <w:t>On the other hand, the cuts in tariffs would lead to 6.6 per cent increase of EU exports to the US and to a 12.4 per cent increase in imports.</w:t>
      </w:r>
      <w:r w:rsidRPr="001C3060">
        <w:rPr>
          <w:lang w:val="en-US"/>
        </w:rPr>
        <w:t xml:space="preserve"> </w:t>
      </w:r>
      <w:r w:rsidRPr="001C3060">
        <w:rPr>
          <w:color w:val="FF0000"/>
          <w:lang w:val="en-US"/>
        </w:rPr>
        <w:t xml:space="preserve">The difference in the magnitude of change is due to the initial tariff structures between the two economies, with the EU having higher barriers towards the US. </w:t>
      </w:r>
      <w:r w:rsidRPr="001C3060">
        <w:rPr>
          <w:lang w:val="en-US"/>
        </w:rPr>
        <w:t>Thus the difference in these a</w:t>
      </w:r>
      <w:r>
        <w:rPr>
          <w:lang w:val="en-US"/>
        </w:rPr>
        <w:t xml:space="preserve">verage changes is mainly driven </w:t>
      </w:r>
      <w:r w:rsidRPr="001C3060">
        <w:rPr>
          <w:lang w:val="en-US"/>
        </w:rPr>
        <w:t>by motor vehicles. In this sector the imports would significa</w:t>
      </w:r>
      <w:r>
        <w:rPr>
          <w:lang w:val="en-US"/>
        </w:rPr>
        <w:t xml:space="preserve">ntly increase as tariffs are </w:t>
      </w:r>
      <w:r w:rsidRPr="001C3060">
        <w:rPr>
          <w:lang w:val="en-US"/>
        </w:rPr>
        <w:t xml:space="preserve">removed for US exporters. </w:t>
      </w:r>
      <w:r w:rsidRPr="001C3060">
        <w:rPr>
          <w:color w:val="FF0000"/>
          <w:lang w:val="en-US"/>
        </w:rPr>
        <w:t>In absolute terms, the greatest increase in bilateral services exports under services-only liberalization is in finance, insurance, and business services in the case of the EU, and in finance and business services in the case of the US.</w:t>
      </w:r>
      <w:r>
        <w:rPr>
          <w:lang w:val="en-US"/>
        </w:rPr>
        <w:t xml:space="preserve"> With </w:t>
      </w:r>
      <w:r w:rsidRPr="001C3060">
        <w:rPr>
          <w:lang w:val="en-US"/>
        </w:rPr>
        <w:t>procurement only, we see bilateral trade growth pr</w:t>
      </w:r>
      <w:r>
        <w:rPr>
          <w:lang w:val="en-US"/>
        </w:rPr>
        <w:t xml:space="preserve">imarily in goods (chemicals and </w:t>
      </w:r>
      <w:r w:rsidRPr="001C3060">
        <w:rPr>
          <w:lang w:val="en-US"/>
        </w:rPr>
        <w:t>vehicles exports for the EU, chemicals and metals and fabricated metal products for th</w:t>
      </w:r>
      <w:r>
        <w:rPr>
          <w:lang w:val="en-US"/>
        </w:rPr>
        <w:t xml:space="preserve">e </w:t>
      </w:r>
      <w:r w:rsidRPr="001C3060">
        <w:rPr>
          <w:lang w:val="en-US"/>
        </w:rPr>
        <w:t>US). The bilateral trade effects of tariffs outweigh bo</w:t>
      </w:r>
      <w:r>
        <w:rPr>
          <w:lang w:val="en-US"/>
        </w:rPr>
        <w:t xml:space="preserve">th the procurement and services </w:t>
      </w:r>
      <w:r w:rsidRPr="001C3060">
        <w:rPr>
          <w:lang w:val="en-US"/>
        </w:rPr>
        <w:t>only scenarios. There is substantial growth in bilatera</w:t>
      </w:r>
      <w:r>
        <w:rPr>
          <w:lang w:val="en-US"/>
        </w:rPr>
        <w:t xml:space="preserve">l trade in chemicals, vehicles, </w:t>
      </w:r>
      <w:r w:rsidRPr="001C3060">
        <w:rPr>
          <w:lang w:val="en-US"/>
        </w:rPr>
        <w:t>machinery, and other manufactures. Total trade (EU exports to the US, US exports</w:t>
      </w:r>
      <w:r>
        <w:rPr>
          <w:lang w:val="en-US"/>
        </w:rPr>
        <w:t xml:space="preserve"> </w:t>
      </w:r>
      <w:r w:rsidRPr="001C3060">
        <w:rPr>
          <w:lang w:val="en-US"/>
        </w:rPr>
        <w:t>to the EU) expands by almost 100 billion euros in the t</w:t>
      </w:r>
      <w:r>
        <w:rPr>
          <w:lang w:val="en-US"/>
        </w:rPr>
        <w:t xml:space="preserve">ariff only scenario. For example, </w:t>
      </w:r>
      <w:r w:rsidRPr="001C3060">
        <w:rPr>
          <w:lang w:val="en-US"/>
        </w:rPr>
        <w:t>US manufacturing tariffs are relatively low, and hi</w:t>
      </w:r>
      <w:r>
        <w:rPr>
          <w:lang w:val="en-US"/>
        </w:rPr>
        <w:t xml:space="preserve">ghest on other manufactures and </w:t>
      </w:r>
      <w:r w:rsidRPr="001C3060">
        <w:rPr>
          <w:lang w:val="en-US"/>
        </w:rPr>
        <w:t>processed foods (Figure 9).</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538480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384800"/>
                    </a:xfrm>
                    <a:prstGeom prst="rect">
                      <a:avLst/>
                    </a:prstGeom>
                    <a:noFill/>
                    <a:ln>
                      <a:noFill/>
                    </a:ln>
                  </pic:spPr>
                </pic:pic>
              </a:graphicData>
            </a:graphic>
          </wp:inline>
        </w:drawing>
      </w:r>
    </w:p>
    <w:p w:rsidR="00AF62E6" w:rsidRDefault="00AF62E6" w:rsidP="00AF62E6">
      <w:pPr>
        <w:pStyle w:val="NormalWeb"/>
        <w:jc w:val="both"/>
        <w:rPr>
          <w:lang w:val="en-US"/>
        </w:rPr>
      </w:pPr>
      <w:r>
        <w:rPr>
          <w:noProof/>
          <w:lang w:val="en-GB" w:eastAsia="en-GB"/>
        </w:rPr>
        <w:lastRenderedPageBreak/>
        <w:drawing>
          <wp:inline distT="0" distB="0" distL="0" distR="0">
            <wp:extent cx="5397500" cy="53022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30225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color w:val="FF0000"/>
          <w:lang w:val="en-US"/>
        </w:rPr>
      </w:pPr>
      <w:r w:rsidRPr="00050413">
        <w:rPr>
          <w:color w:val="FF0000"/>
          <w:lang w:val="en-US"/>
        </w:rPr>
        <w:t>Table 12 below shows the corresponding estimated changes in the EU’s total external trade (extra-EU). Overall, the tariff cuts are expected to cause total imports and exports to increase by 1.18 and 1.00 per cent respectively. The induced effects from liberalising trade in services and procurement are smaller, ranging from 0.13 to 0.19 per cent respectively. Nevertheless, exports in the insurance and finance sectors are estimated to increase by about 2 per cent if services are liberalised. Meanwhile, finance, communications, and personal services imports are estimated to increase by 1-1.8 per cent due to services liberalisation. Under tariff liberalisation, the highest increase in imports would take place in motor vehicles with a 9.21 per cent, while regarding exports the most pronounced increase is estimated to take place in other manufactures with a 5.50 per cent increase.</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sidRPr="00050413">
        <w:rPr>
          <w:color w:val="FF0000"/>
          <w:lang w:val="en-US"/>
        </w:rPr>
        <w:t>The reduction of tariffs will lead US imports and expor</w:t>
      </w:r>
      <w:r>
        <w:rPr>
          <w:color w:val="FF0000"/>
          <w:lang w:val="en-US"/>
        </w:rPr>
        <w:t xml:space="preserve">ts to increase by 1.91 and 1.13 </w:t>
      </w:r>
      <w:r w:rsidRPr="00050413">
        <w:rPr>
          <w:color w:val="FF0000"/>
          <w:lang w:val="en-US"/>
        </w:rPr>
        <w:t>per cent respectively (Table 13). The biggest increases are estimated to t</w:t>
      </w:r>
      <w:r>
        <w:rPr>
          <w:color w:val="FF0000"/>
          <w:lang w:val="en-US"/>
        </w:rPr>
        <w:t xml:space="preserve">ake place in </w:t>
      </w:r>
      <w:r w:rsidRPr="00050413">
        <w:rPr>
          <w:color w:val="FF0000"/>
          <w:lang w:val="en-US"/>
        </w:rPr>
        <w:t>the export of motor vehicles (15.43 per cent), chemic</w:t>
      </w:r>
      <w:r>
        <w:rPr>
          <w:color w:val="FF0000"/>
          <w:lang w:val="en-US"/>
        </w:rPr>
        <w:t xml:space="preserve">als (4.05 per cent), metals and </w:t>
      </w:r>
      <w:r w:rsidRPr="00050413">
        <w:rPr>
          <w:color w:val="FF0000"/>
          <w:lang w:val="en-US"/>
        </w:rPr>
        <w:t xml:space="preserve">metal products (4.33 per cent). As can be seen from the </w:t>
      </w:r>
      <w:r>
        <w:rPr>
          <w:color w:val="FF0000"/>
          <w:lang w:val="en-US"/>
        </w:rPr>
        <w:t xml:space="preserve">Table, the estimated effects of </w:t>
      </w:r>
      <w:r w:rsidRPr="00050413">
        <w:rPr>
          <w:color w:val="FF0000"/>
          <w:lang w:val="en-US"/>
        </w:rPr>
        <w:t>the liberalisation of services and procurement on trade are much small</w:t>
      </w:r>
      <w:r>
        <w:rPr>
          <w:color w:val="FF0000"/>
          <w:lang w:val="en-US"/>
        </w:rPr>
        <w:t xml:space="preserve">er. The biggest </w:t>
      </w:r>
      <w:r w:rsidRPr="00050413">
        <w:rPr>
          <w:color w:val="FF0000"/>
          <w:lang w:val="en-US"/>
        </w:rPr>
        <w:t>changes in imports are also attributable to the reducti</w:t>
      </w:r>
      <w:r>
        <w:rPr>
          <w:color w:val="FF0000"/>
          <w:lang w:val="en-US"/>
        </w:rPr>
        <w:t xml:space="preserve">on of tariffs, with the highest </w:t>
      </w:r>
      <w:r w:rsidRPr="00050413">
        <w:rPr>
          <w:color w:val="FF0000"/>
          <w:lang w:val="en-US"/>
        </w:rPr>
        <w:t>sector specific increases expected to take place in processed foods and metals and metal</w:t>
      </w:r>
      <w:r>
        <w:rPr>
          <w:color w:val="FF0000"/>
          <w:lang w:val="en-US"/>
        </w:rPr>
        <w:t xml:space="preserve"> </w:t>
      </w:r>
      <w:r w:rsidRPr="00050413">
        <w:rPr>
          <w:color w:val="FF0000"/>
          <w:lang w:val="en-US"/>
        </w:rPr>
        <w:lastRenderedPageBreak/>
        <w:t>productions (2.37 per cent and 2.43 per cent respectively) and m</w:t>
      </w:r>
      <w:r>
        <w:rPr>
          <w:color w:val="FF0000"/>
          <w:lang w:val="en-US"/>
        </w:rPr>
        <w:t xml:space="preserve">otor vehicles (2.13 per </w:t>
      </w:r>
      <w:r w:rsidRPr="00050413">
        <w:rPr>
          <w:color w:val="FF0000"/>
          <w:lang w:val="en-US"/>
        </w:rPr>
        <w:t>cent). The liberalisation of the services sectors is howeve</w:t>
      </w:r>
      <w:r>
        <w:rPr>
          <w:color w:val="FF0000"/>
          <w:lang w:val="en-US"/>
        </w:rPr>
        <w:t xml:space="preserve">r estimated to increase imports </w:t>
      </w:r>
      <w:r w:rsidRPr="00050413">
        <w:rPr>
          <w:color w:val="FF0000"/>
          <w:lang w:val="en-US"/>
        </w:rPr>
        <w:t>of finance and insurance services by around 3 per cent.</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616585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1658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969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9690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Pr="00DC3DAC" w:rsidRDefault="00AF62E6" w:rsidP="00AF62E6">
      <w:pPr>
        <w:pStyle w:val="NormalWeb"/>
        <w:jc w:val="both"/>
        <w:rPr>
          <w:lang w:val="en-US"/>
        </w:rPr>
      </w:pPr>
      <w:r w:rsidRPr="00DC3DAC">
        <w:rPr>
          <w:lang w:val="en-US"/>
        </w:rPr>
        <w:t>We now turn to analysing the estimated effects on the output of the different sectors.</w:t>
      </w:r>
    </w:p>
    <w:p w:rsidR="00AF62E6" w:rsidRDefault="00AF62E6" w:rsidP="00AF62E6">
      <w:pPr>
        <w:pStyle w:val="NormalWeb"/>
        <w:jc w:val="both"/>
        <w:rPr>
          <w:lang w:val="en-US"/>
        </w:rPr>
      </w:pPr>
      <w:r w:rsidRPr="00DC3DAC">
        <w:rPr>
          <w:lang w:val="en-US"/>
        </w:rPr>
        <w:t>The underlying changes for the EU and the US are presented in Table 14 and Table</w:t>
      </w:r>
      <w:r>
        <w:rPr>
          <w:lang w:val="en-US"/>
        </w:rPr>
        <w:t xml:space="preserve"> 15 </w:t>
      </w:r>
      <w:r w:rsidRPr="00DC3DAC">
        <w:rPr>
          <w:lang w:val="en-US"/>
        </w:rPr>
        <w:t>below.</w:t>
      </w:r>
    </w:p>
    <w:p w:rsidR="00AF62E6" w:rsidRPr="00DC3DAC" w:rsidRDefault="00AF62E6" w:rsidP="00AF62E6">
      <w:pPr>
        <w:pStyle w:val="NormalWeb"/>
        <w:jc w:val="both"/>
        <w:rPr>
          <w:color w:val="FF0000"/>
          <w:lang w:val="en-US"/>
        </w:rPr>
      </w:pPr>
      <w:r w:rsidRPr="00DC3DAC">
        <w:rPr>
          <w:color w:val="FF0000"/>
          <w:lang w:val="en-US"/>
        </w:rPr>
        <w:t>As can be seen in the Table 14, the corresponding estimated changes in sector specific output are very small. None of the sectors will expand or contract by more than 1 per cent in the case of the EU, and in most sectors output will basically remain unchanged.</w:t>
      </w:r>
    </w:p>
    <w:p w:rsidR="00AF62E6" w:rsidRDefault="00AF62E6" w:rsidP="00AF62E6">
      <w:pPr>
        <w:pStyle w:val="NormalWeb"/>
        <w:jc w:val="both"/>
        <w:rPr>
          <w:color w:val="FF0000"/>
          <w:lang w:val="en-US"/>
        </w:rPr>
      </w:pPr>
      <w:r w:rsidRPr="00DC3DAC">
        <w:rPr>
          <w:color w:val="FF0000"/>
          <w:lang w:val="en-US"/>
        </w:rPr>
        <w:t>Similarly, only slight changes are expected to take place in US sector-level output as a consequence of the non-comprehensive FTAs that were simulated. In only two sectors the output is estimated to change by more than 1 per cent: in the electrical machinery sector it is estimated to decrease by 1.40 per cent, while in motor vehicles it is expected to increase by 1.76 per cent (once tariffs are cut).</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Pr="00DC3DAC" w:rsidRDefault="00AF62E6" w:rsidP="00AF62E6">
      <w:pPr>
        <w:pStyle w:val="NormalWeb"/>
        <w:jc w:val="both"/>
        <w:rPr>
          <w:color w:val="FF0000"/>
          <w:lang w:val="en-US"/>
        </w:rPr>
      </w:pPr>
      <w:r>
        <w:rPr>
          <w:noProof/>
          <w:color w:val="FF0000"/>
          <w:lang w:val="en-GB" w:eastAsia="en-GB"/>
        </w:rPr>
        <w:drawing>
          <wp:inline distT="0" distB="0" distL="0" distR="0">
            <wp:extent cx="5397500" cy="5918200"/>
            <wp:effectExtent l="0" t="0" r="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918200"/>
                    </a:xfrm>
                    <a:prstGeom prst="rect">
                      <a:avLst/>
                    </a:prstGeom>
                    <a:noFill/>
                    <a:ln>
                      <a:noFill/>
                    </a:ln>
                  </pic:spPr>
                </pic:pic>
              </a:graphicData>
            </a:graphic>
          </wp:inline>
        </w:drawing>
      </w:r>
    </w:p>
    <w:p w:rsidR="00AF62E6" w:rsidRPr="00DC3DAC" w:rsidRDefault="00AF62E6" w:rsidP="00AF62E6">
      <w:pPr>
        <w:pStyle w:val="NormalWeb"/>
        <w:jc w:val="both"/>
        <w:rPr>
          <w:lang w:val="en-US"/>
        </w:rPr>
      </w:pPr>
    </w:p>
    <w:p w:rsidR="00AF62E6" w:rsidRPr="00DC3DAC" w:rsidRDefault="00AF62E6" w:rsidP="00AF62E6">
      <w:pPr>
        <w:pStyle w:val="NormalWeb"/>
        <w:jc w:val="both"/>
        <w:rPr>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365750"/>
            <wp:effectExtent l="0" t="0" r="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3657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sidRPr="00DC3DAC">
        <w:rPr>
          <w:color w:val="FF0000"/>
          <w:lang w:val="en-US"/>
        </w:rPr>
        <w:t xml:space="preserve">While the non-comprehensive FTA option, which would </w:t>
      </w:r>
      <w:r>
        <w:rPr>
          <w:color w:val="FF0000"/>
          <w:lang w:val="en-US"/>
        </w:rPr>
        <w:t xml:space="preserve">be limited to either tariff, or </w:t>
      </w:r>
      <w:r w:rsidRPr="00DC3DAC">
        <w:rPr>
          <w:color w:val="FF0000"/>
          <w:lang w:val="en-US"/>
        </w:rPr>
        <w:t>services trade, or procurement liberalization, woul</w:t>
      </w:r>
      <w:r>
        <w:rPr>
          <w:color w:val="FF0000"/>
          <w:lang w:val="en-US"/>
        </w:rPr>
        <w:t xml:space="preserve">d result in positive changes in </w:t>
      </w:r>
      <w:r w:rsidRPr="00DC3DAC">
        <w:rPr>
          <w:color w:val="FF0000"/>
          <w:lang w:val="en-US"/>
        </w:rPr>
        <w:t>sector</w:t>
      </w:r>
      <w:r>
        <w:rPr>
          <w:color w:val="FF0000"/>
          <w:lang w:val="en-US"/>
        </w:rPr>
        <w:t xml:space="preserve"> level </w:t>
      </w:r>
      <w:r w:rsidRPr="00DC3DAC">
        <w:rPr>
          <w:color w:val="FF0000"/>
          <w:lang w:val="en-US"/>
        </w:rPr>
        <w:t>output and trade patterns, these benefits would be relatively sm</w:t>
      </w:r>
      <w:r>
        <w:rPr>
          <w:color w:val="FF0000"/>
          <w:lang w:val="en-US"/>
        </w:rPr>
        <w:t xml:space="preserve">all. At an aggregate </w:t>
      </w:r>
      <w:r w:rsidRPr="00DC3DAC">
        <w:rPr>
          <w:color w:val="FF0000"/>
          <w:lang w:val="en-US"/>
        </w:rPr>
        <w:t>level, the changes would be even smaller. Whe</w:t>
      </w:r>
      <w:r>
        <w:rPr>
          <w:color w:val="FF0000"/>
          <w:lang w:val="en-US"/>
        </w:rPr>
        <w:t xml:space="preserve">n comparing the impact of these non-comprehensive </w:t>
      </w:r>
      <w:r w:rsidRPr="00DC3DAC">
        <w:rPr>
          <w:color w:val="FF0000"/>
          <w:lang w:val="en-US"/>
        </w:rPr>
        <w:t>FTAs with a comprehensive FTA that wil</w:t>
      </w:r>
      <w:r>
        <w:rPr>
          <w:color w:val="FF0000"/>
          <w:lang w:val="en-US"/>
        </w:rPr>
        <w:t xml:space="preserve">l be discussed in the following </w:t>
      </w:r>
      <w:r w:rsidRPr="00DC3DAC">
        <w:rPr>
          <w:color w:val="FF0000"/>
          <w:lang w:val="en-US"/>
        </w:rPr>
        <w:t xml:space="preserve">section, it is clear that the overall benefits would be of much larger </w:t>
      </w:r>
      <w:r>
        <w:rPr>
          <w:color w:val="FF0000"/>
          <w:lang w:val="en-US"/>
        </w:rPr>
        <w:t xml:space="preserve">magnitude in the </w:t>
      </w:r>
      <w:r w:rsidRPr="00DC3DAC">
        <w:rPr>
          <w:color w:val="FF0000"/>
          <w:lang w:val="en-US"/>
        </w:rPr>
        <w:t>case of a trade agreement that covers more policy pillars simultaneously.</w:t>
      </w:r>
    </w:p>
    <w:p w:rsidR="00AF62E6" w:rsidRDefault="00AF62E6" w:rsidP="00AF62E6">
      <w:pPr>
        <w:pStyle w:val="NormalWeb"/>
        <w:jc w:val="both"/>
        <w:rPr>
          <w:color w:val="FF0000"/>
          <w:lang w:val="en-US"/>
        </w:rPr>
      </w:pPr>
    </w:p>
    <w:p w:rsidR="00AF62E6" w:rsidRPr="00DC3DAC" w:rsidRDefault="00AF62E6" w:rsidP="00AF62E6">
      <w:pPr>
        <w:pStyle w:val="NormalWeb"/>
        <w:jc w:val="both"/>
        <w:rPr>
          <w:b/>
          <w:lang w:val="en-US"/>
        </w:rPr>
      </w:pPr>
      <w:r w:rsidRPr="00DC3DAC">
        <w:rPr>
          <w:b/>
          <w:lang w:val="en-US"/>
        </w:rPr>
        <w:t>Full FTA</w:t>
      </w:r>
    </w:p>
    <w:p w:rsidR="00AF62E6" w:rsidRDefault="00AF62E6" w:rsidP="00AF62E6">
      <w:pPr>
        <w:pStyle w:val="NormalWeb"/>
        <w:jc w:val="both"/>
        <w:rPr>
          <w:lang w:val="en-US"/>
        </w:rPr>
      </w:pPr>
    </w:p>
    <w:p w:rsidR="00AF62E6" w:rsidRDefault="00AF62E6" w:rsidP="00AF62E6">
      <w:pPr>
        <w:pStyle w:val="NormalWeb"/>
        <w:jc w:val="both"/>
        <w:rPr>
          <w:lang w:val="en-US"/>
        </w:rPr>
      </w:pPr>
      <w:r w:rsidRPr="00DC3DAC">
        <w:rPr>
          <w:lang w:val="en-US"/>
        </w:rPr>
        <w:t>Macro Results</w:t>
      </w:r>
    </w:p>
    <w:p w:rsidR="00AF62E6" w:rsidRPr="00DC3DAC" w:rsidRDefault="00AF62E6" w:rsidP="00AF62E6">
      <w:pPr>
        <w:pStyle w:val="NormalWeb"/>
        <w:jc w:val="both"/>
        <w:rPr>
          <w:lang w:val="en-US"/>
        </w:rPr>
      </w:pPr>
    </w:p>
    <w:p w:rsidR="00AF62E6" w:rsidRDefault="00AF62E6" w:rsidP="00AF62E6">
      <w:pPr>
        <w:pStyle w:val="NormalWeb"/>
        <w:jc w:val="both"/>
        <w:rPr>
          <w:lang w:val="en-US"/>
        </w:rPr>
      </w:pPr>
      <w:r w:rsidRPr="00DC3DAC">
        <w:rPr>
          <w:lang w:val="en-US"/>
        </w:rPr>
        <w:t>Here, we turn to the discussion of effects on macroeco</w:t>
      </w:r>
      <w:r>
        <w:rPr>
          <w:lang w:val="en-US"/>
        </w:rPr>
        <w:t xml:space="preserve">nomic variables, resulting from </w:t>
      </w:r>
      <w:r w:rsidRPr="00DC3DAC">
        <w:rPr>
          <w:lang w:val="en-US"/>
        </w:rPr>
        <w:t>a reduction of barriers to trade and investment be</w:t>
      </w:r>
      <w:r>
        <w:rPr>
          <w:lang w:val="en-US"/>
        </w:rPr>
        <w:t xml:space="preserve">tween the EU and the US under a </w:t>
      </w:r>
      <w:r w:rsidRPr="00DC3DAC">
        <w:rPr>
          <w:lang w:val="en-US"/>
        </w:rPr>
        <w:t>comprehensive FTA (see Table 4 for details). In so doi</w:t>
      </w:r>
      <w:r>
        <w:rPr>
          <w:lang w:val="en-US"/>
        </w:rPr>
        <w:t>ng, we present the results with regards to GDP.</w:t>
      </w:r>
      <w:r w:rsidRPr="00DC3DAC">
        <w:rPr>
          <w:lang w:val="en-US"/>
        </w:rPr>
        <w:t xml:space="preserve"> As indicated above two FTA sce</w:t>
      </w:r>
      <w:r>
        <w:rPr>
          <w:lang w:val="en-US"/>
        </w:rPr>
        <w:t xml:space="preserve">narios are considered: one less </w:t>
      </w:r>
      <w:r w:rsidRPr="00DC3DAC">
        <w:rPr>
          <w:lang w:val="en-US"/>
        </w:rPr>
        <w:t>ambitious and one more ambitious (as described in Table 4).</w:t>
      </w:r>
      <w:r>
        <w:rPr>
          <w:lang w:val="en-US"/>
        </w:rPr>
        <w:t xml:space="preserve"> </w:t>
      </w:r>
    </w:p>
    <w:p w:rsidR="00AF62E6" w:rsidRPr="00DC3DAC" w:rsidRDefault="00AF62E6" w:rsidP="00AF62E6">
      <w:pPr>
        <w:pStyle w:val="NormalWeb"/>
        <w:jc w:val="both"/>
        <w:rPr>
          <w:lang w:val="en-US"/>
        </w:rPr>
      </w:pPr>
      <w:r w:rsidRPr="00DC3DAC">
        <w:rPr>
          <w:lang w:val="en-US"/>
        </w:rPr>
        <w:lastRenderedPageBreak/>
        <w:t>Table 16 and Table 17 below show the estimated effec</w:t>
      </w:r>
      <w:r>
        <w:rPr>
          <w:lang w:val="en-US"/>
        </w:rPr>
        <w:t xml:space="preserve">t on GDP both for the ambitious </w:t>
      </w:r>
      <w:r w:rsidRPr="00DC3DAC">
        <w:rPr>
          <w:lang w:val="en-US"/>
        </w:rPr>
        <w:t>and less ambitious scenarios for the EU and the US. Th</w:t>
      </w:r>
      <w:r>
        <w:rPr>
          <w:lang w:val="en-US"/>
        </w:rPr>
        <w:t xml:space="preserve">e results are presented for the </w:t>
      </w:r>
      <w:r w:rsidRPr="00DC3DAC">
        <w:rPr>
          <w:lang w:val="en-US"/>
        </w:rPr>
        <w:t>total impact and also decomposed into the different subcomponents that correspo</w:t>
      </w:r>
      <w:r>
        <w:rPr>
          <w:lang w:val="en-US"/>
        </w:rPr>
        <w:t xml:space="preserve">nd to </w:t>
      </w:r>
      <w:r w:rsidRPr="00DC3DAC">
        <w:rPr>
          <w:lang w:val="en-US"/>
        </w:rPr>
        <w:t>the several policy pillars, namely tariffs, total NTBs on</w:t>
      </w:r>
      <w:r>
        <w:rPr>
          <w:lang w:val="en-US"/>
        </w:rPr>
        <w:t xml:space="preserve"> goods, total NTBs on services, </w:t>
      </w:r>
      <w:r w:rsidRPr="00DC3DAC">
        <w:rPr>
          <w:lang w:val="en-US"/>
        </w:rPr>
        <w:t>direct and indirect spill-overs, and procurement. Procureme</w:t>
      </w:r>
      <w:r>
        <w:rPr>
          <w:lang w:val="en-US"/>
        </w:rPr>
        <w:t xml:space="preserve">nt related barriers are in fact </w:t>
      </w:r>
      <w:r w:rsidRPr="00DC3DAC">
        <w:rPr>
          <w:lang w:val="en-US"/>
        </w:rPr>
        <w:t>captured by the NTBs in goods and in services. A procurement column is</w:t>
      </w:r>
      <w:r>
        <w:rPr>
          <w:lang w:val="en-US"/>
        </w:rPr>
        <w:t xml:space="preserve"> introduced </w:t>
      </w:r>
      <w:r w:rsidRPr="00DC3DAC">
        <w:rPr>
          <w:lang w:val="en-US"/>
        </w:rPr>
        <w:t xml:space="preserve">in the table below in order to highlight the importance </w:t>
      </w:r>
      <w:r>
        <w:rPr>
          <w:lang w:val="en-US"/>
        </w:rPr>
        <w:t xml:space="preserve">of this type of barriers in the </w:t>
      </w:r>
      <w:r w:rsidRPr="00DC3DAC">
        <w:rPr>
          <w:lang w:val="en-US"/>
        </w:rPr>
        <w:t>negotiations. However, it is important to note that the</w:t>
      </w:r>
      <w:r>
        <w:rPr>
          <w:lang w:val="en-US"/>
        </w:rPr>
        <w:t xml:space="preserve"> impact of reducing procurement </w:t>
      </w:r>
      <w:r w:rsidRPr="00DC3DAC">
        <w:rPr>
          <w:lang w:val="en-US"/>
        </w:rPr>
        <w:t>barriers should not be added to the effects from other pillars as it would mean doublecounting.</w:t>
      </w:r>
    </w:p>
    <w:p w:rsidR="00AF62E6" w:rsidRPr="009801B2" w:rsidRDefault="00AF62E6" w:rsidP="00AF62E6">
      <w:pPr>
        <w:pStyle w:val="NormalWeb"/>
        <w:jc w:val="both"/>
        <w:rPr>
          <w:color w:val="FF0000"/>
          <w:lang w:val="en-US"/>
        </w:rPr>
      </w:pPr>
      <w:r w:rsidRPr="009801B2">
        <w:rPr>
          <w:color w:val="FF0000"/>
          <w:lang w:val="en-US"/>
        </w:rPr>
        <w:t>As can be seen Table 16, the estimated impact on GDP for the EU and US range between 0.2 and 0.5 per cent, for the less ambitious and ambitious scenarios respectively. Because we are dealing with NTBs rather than tariffs, changes in trade volumes alone are not necessarily indicative of the net impact on GDP, and so the reader is cautioned when comparing Table 16 to Table 20 (changes in exports) below. This is because, as discussed earlier in the report, NTBs involve higher costs and so lower productivity. The impact on GDP will therefore hinge, in part, on cost savings linked to removing NTBs. Basically, with NTBs that raise costs the opportunity costs of new exports resulting from NTB reduction are lower than with tariffs, so that the cost side of the cost-benefit analysis of increased trade is lower. The impact on GDP will also hinge on the value added composition of exports. As such, even if trade volume effects are not relatively large in a particular sector (recall our discussion of Figure 10), they may still yield relatively large gains overall. The indirect spill-over effects are more complex still (though small in absolute terms). There will be both increased income and trade in third countries (from the other sets of results discussed here), along with improved access conditions to third markets. However, there is also scope for some diversion of trade away from the US and EU and toward intra-third country trade.</w:t>
      </w:r>
    </w:p>
    <w:p w:rsidR="00AF62E6" w:rsidRPr="009801B2" w:rsidRDefault="00AF62E6" w:rsidP="00AF62E6">
      <w:pPr>
        <w:pStyle w:val="NormalWeb"/>
        <w:jc w:val="both"/>
        <w:rPr>
          <w:color w:val="FF0000"/>
          <w:lang w:val="en-US"/>
        </w:rPr>
      </w:pPr>
      <w:r w:rsidRPr="009801B2">
        <w:rPr>
          <w:color w:val="FF0000"/>
          <w:lang w:val="en-US"/>
        </w:rPr>
        <w:t>The total impact depends on all these things, and the direction is unknown a priori.</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30543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54350"/>
                    </a:xfrm>
                    <a:prstGeom prst="rect">
                      <a:avLst/>
                    </a:prstGeom>
                    <a:noFill/>
                    <a:ln>
                      <a:noFill/>
                    </a:ln>
                  </pic:spPr>
                </pic:pic>
              </a:graphicData>
            </a:graphic>
          </wp:inline>
        </w:drawing>
      </w:r>
    </w:p>
    <w:p w:rsidR="00AF62E6" w:rsidRPr="009801B2" w:rsidRDefault="00AF62E6" w:rsidP="00AF62E6">
      <w:pPr>
        <w:pStyle w:val="NormalWeb"/>
        <w:jc w:val="both"/>
        <w:rPr>
          <w:color w:val="FF0000"/>
          <w:lang w:val="en-US"/>
        </w:rPr>
      </w:pPr>
      <w:r w:rsidRPr="009801B2">
        <w:rPr>
          <w:color w:val="FF0000"/>
          <w:lang w:val="en-US"/>
        </w:rPr>
        <w:t xml:space="preserve">An alternative measure of aggregate results is provided in Table 18 below, where a comparison is provided across scenarios of household income effects for the EU and US. Starting with the limited scenarios, a tariff only scenario yields €12.9 billion in disposable income gains across European households, and €5.1 billion in disposable </w:t>
      </w:r>
      <w:r w:rsidRPr="009801B2">
        <w:rPr>
          <w:color w:val="FF0000"/>
          <w:lang w:val="en-US"/>
        </w:rPr>
        <w:lastRenderedPageBreak/>
        <w:t>income gains for US households. The services and procurement agreements yield substantially less for European households, while the services only agreement yields the most for US households under the limited scenarios. These effects are far outweighed under both the less ambitious and more ambitious comprehensive scenarios. Here we have estimated gains to disposable income across European households of between €39.8 billion and €70.82 billion. In the US, household disposable income increase by between €29.9 and €58.4 billion. For a family of 4 the comprehensive scenarios yield disposable income gains between €306 and €545 annually in the EU and between €336 and €655 in the US.</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30162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16250"/>
                    </a:xfrm>
                    <a:prstGeom prst="rect">
                      <a:avLst/>
                    </a:prstGeom>
                    <a:noFill/>
                    <a:ln>
                      <a:noFill/>
                    </a:ln>
                  </pic:spPr>
                </pic:pic>
              </a:graphicData>
            </a:graphic>
          </wp:inline>
        </w:drawing>
      </w:r>
    </w:p>
    <w:p w:rsidR="00AF62E6" w:rsidRDefault="00AF62E6" w:rsidP="00AF62E6">
      <w:pPr>
        <w:pStyle w:val="NormalWeb"/>
        <w:jc w:val="both"/>
        <w:rPr>
          <w:color w:val="FF0000"/>
          <w:lang w:val="en-US"/>
        </w:rPr>
      </w:pPr>
      <w:r>
        <w:rPr>
          <w:noProof/>
          <w:color w:val="FF0000"/>
          <w:lang w:val="en-GB" w:eastAsia="en-GB"/>
        </w:rPr>
        <w:drawing>
          <wp:inline distT="0" distB="0" distL="0" distR="0">
            <wp:extent cx="5391150" cy="27813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27813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Pr="002458D6" w:rsidRDefault="00AF62E6" w:rsidP="00AF62E6">
      <w:pPr>
        <w:pStyle w:val="NormalWeb"/>
        <w:jc w:val="both"/>
        <w:rPr>
          <w:color w:val="FF0000"/>
          <w:lang w:val="en-US"/>
        </w:rPr>
      </w:pPr>
      <w:r w:rsidRPr="009801B2">
        <w:rPr>
          <w:lang w:val="en-US"/>
        </w:rPr>
        <w:t>The exact amount overall, as reported in Table 16, depe</w:t>
      </w:r>
      <w:r>
        <w:rPr>
          <w:lang w:val="en-US"/>
        </w:rPr>
        <w:t xml:space="preserve">nds on the combination of value </w:t>
      </w:r>
      <w:r w:rsidRPr="009801B2">
        <w:rPr>
          <w:lang w:val="en-US"/>
        </w:rPr>
        <w:t xml:space="preserve">added, barrier levels, and underlying elasticities. It </w:t>
      </w:r>
      <w:r>
        <w:rPr>
          <w:lang w:val="en-US"/>
        </w:rPr>
        <w:t xml:space="preserve">also hinges on linkages between </w:t>
      </w:r>
      <w:r w:rsidRPr="009801B2">
        <w:rPr>
          <w:lang w:val="en-US"/>
        </w:rPr>
        <w:t>sectors, and final demand responses to price changes</w:t>
      </w:r>
      <w:r>
        <w:rPr>
          <w:lang w:val="en-US"/>
        </w:rPr>
        <w:t xml:space="preserve">. Indeed this is the reason for </w:t>
      </w:r>
      <w:r w:rsidR="00094425">
        <w:rPr>
          <w:lang w:val="en-US"/>
        </w:rPr>
        <w:t>working with a CGE framework -</w:t>
      </w:r>
      <w:r w:rsidRPr="009801B2">
        <w:rPr>
          <w:lang w:val="en-US"/>
        </w:rPr>
        <w:t xml:space="preserve"> we are then better abl</w:t>
      </w:r>
      <w:r>
        <w:rPr>
          <w:lang w:val="en-US"/>
        </w:rPr>
        <w:t xml:space="preserve">e to capture the combination of </w:t>
      </w:r>
      <w:r w:rsidRPr="009801B2">
        <w:rPr>
          <w:lang w:val="en-US"/>
        </w:rPr>
        <w:t xml:space="preserve">these effects across sectors. </w:t>
      </w:r>
      <w:r w:rsidRPr="002458D6">
        <w:rPr>
          <w:color w:val="FF0000"/>
          <w:lang w:val="en-US"/>
        </w:rPr>
        <w:t xml:space="preserve">In the case of the EU, if we refer back to Table 2, combined with the underlying bilateral trade balance by sector (Figure 1), the EU has a strong, </w:t>
      </w:r>
      <w:r w:rsidRPr="002458D6">
        <w:rPr>
          <w:color w:val="FF0000"/>
          <w:lang w:val="en-US"/>
        </w:rPr>
        <w:lastRenderedPageBreak/>
        <w:t>positive balance in goods sectors with relatively high NTB levels. This means that on average European firms face a higher cost burden linked to transatlantic NTBs than do US firms, so that the reduction in the cost burden linked to NTBs will be somewhat disproportionate as well, benefiting European firms more on average. As such, we can expect somewhat greater benefits from improved market access for the EU than for the US. This is reflected in the result in Table 16 and Table 17. Indeed, where we have a similar change in trade volumes, this positive balance means the EU will benefit more in terms of GDP. This is reflected in the relative magnitudes of trade and GDP effects in Table 16 (above) and Table 20 (below).</w:t>
      </w:r>
    </w:p>
    <w:p w:rsidR="00AF62E6" w:rsidRDefault="00AF62E6" w:rsidP="00AF62E6">
      <w:pPr>
        <w:pStyle w:val="NormalWeb"/>
        <w:jc w:val="both"/>
        <w:rPr>
          <w:lang w:val="en-US"/>
        </w:rPr>
      </w:pPr>
    </w:p>
    <w:p w:rsidR="00AF62E6" w:rsidRPr="002458D6" w:rsidRDefault="00AF62E6" w:rsidP="00AF62E6">
      <w:pPr>
        <w:pStyle w:val="NormalWeb"/>
        <w:jc w:val="both"/>
        <w:rPr>
          <w:color w:val="FF0000"/>
          <w:lang w:val="en-US"/>
        </w:rPr>
      </w:pPr>
      <w:r w:rsidRPr="002458D6">
        <w:rPr>
          <w:color w:val="FF0000"/>
          <w:lang w:val="en-US"/>
        </w:rPr>
        <w:t>For the US, around three quarters of the estimated increase in GDP, across both scenarios, stem from the lowering of NTBs. For the EU, NTBs in goods are shown to be accountable for around half of the increase, while lowering tariffs is shown to be less important</w:t>
      </w:r>
      <w:r>
        <w:rPr>
          <w:color w:val="FF0000"/>
          <w:lang w:val="en-US"/>
        </w:rPr>
        <w:t>..</w:t>
      </w:r>
      <w:r w:rsidRPr="002458D6">
        <w:rPr>
          <w:color w:val="FF0000"/>
          <w:lang w:val="en-US"/>
        </w:rPr>
        <w:t xml:space="preserve">. When viewing these tables, it is also useful to recall the </w:t>
      </w:r>
      <w:r>
        <w:rPr>
          <w:color w:val="FF0000"/>
          <w:lang w:val="en-US"/>
        </w:rPr>
        <w:t xml:space="preserve">observation </w:t>
      </w:r>
      <w:r w:rsidRPr="002458D6">
        <w:rPr>
          <w:color w:val="FF0000"/>
          <w:lang w:val="en-US"/>
        </w:rPr>
        <w:t>about the relatively low level of perceived bilateral barriers in services, combined with a 65 per cent share of goods in bilateral trade.</w:t>
      </w:r>
    </w:p>
    <w:p w:rsidR="00AF62E6" w:rsidRPr="002458D6" w:rsidRDefault="00AF62E6" w:rsidP="00AF62E6">
      <w:pPr>
        <w:pStyle w:val="NormalWeb"/>
        <w:jc w:val="both"/>
        <w:rPr>
          <w:color w:val="FF0000"/>
          <w:lang w:val="en-US"/>
        </w:rPr>
      </w:pPr>
    </w:p>
    <w:p w:rsidR="00AF62E6" w:rsidRPr="002458D6" w:rsidRDefault="00AF62E6" w:rsidP="00AF62E6">
      <w:pPr>
        <w:pStyle w:val="NormalWeb"/>
        <w:jc w:val="both"/>
        <w:rPr>
          <w:color w:val="FF0000"/>
          <w:lang w:val="en-US"/>
        </w:rPr>
      </w:pPr>
      <w:r w:rsidRPr="002458D6">
        <w:rPr>
          <w:color w:val="FF0000"/>
          <w:lang w:val="en-US"/>
        </w:rPr>
        <w:t>Together, the higher barriers and trade share for goods imply that most gains will follow from NTBs and tariffs on goods. Similarly, the original Ecorys (2009) study covered limited aspects of procurement, and the barriers identified were relatively minor as a share of total protection. As such, it is not surprising that the procurement estimates are relatively small as a share of the total.</w:t>
      </w:r>
    </w:p>
    <w:p w:rsidR="00AF62E6" w:rsidRPr="002458D6" w:rsidRDefault="00AF62E6" w:rsidP="00AF62E6">
      <w:pPr>
        <w:pStyle w:val="NormalWeb"/>
        <w:jc w:val="both"/>
        <w:rPr>
          <w:color w:val="FF0000"/>
          <w:lang w:val="en-US"/>
        </w:rPr>
      </w:pPr>
    </w:p>
    <w:p w:rsidR="00AF62E6" w:rsidRDefault="00AF62E6" w:rsidP="00AF62E6">
      <w:pPr>
        <w:pStyle w:val="NormalWeb"/>
        <w:jc w:val="both"/>
        <w:rPr>
          <w:color w:val="FF0000"/>
          <w:lang w:val="en-US"/>
        </w:rPr>
      </w:pPr>
      <w:r w:rsidRPr="002458D6">
        <w:rPr>
          <w:color w:val="FF0000"/>
          <w:lang w:val="en-US"/>
        </w:rPr>
        <w:t>In summary, these results highlight that the potential main impact from liberalization stems more from NTB liberalization (especially including spill-overs) rather than just reducing tariff barriers.</w:t>
      </w:r>
    </w:p>
    <w:p w:rsidR="00AF62E6" w:rsidRDefault="00AF62E6" w:rsidP="00AF62E6">
      <w:pPr>
        <w:pStyle w:val="NormalWeb"/>
        <w:jc w:val="both"/>
        <w:rPr>
          <w:color w:val="FF0000"/>
          <w:lang w:val="en-US"/>
        </w:rPr>
      </w:pPr>
    </w:p>
    <w:p w:rsidR="00AF62E6" w:rsidRPr="002458D6" w:rsidRDefault="00AF62E6" w:rsidP="00AF62E6">
      <w:pPr>
        <w:pStyle w:val="NormalWeb"/>
        <w:jc w:val="both"/>
        <w:rPr>
          <w:b/>
          <w:lang w:val="en-US"/>
        </w:rPr>
      </w:pPr>
      <w:r w:rsidRPr="002458D6">
        <w:rPr>
          <w:b/>
          <w:lang w:val="en-US"/>
        </w:rPr>
        <w:t>Output and Trade</w:t>
      </w:r>
    </w:p>
    <w:p w:rsidR="00AF62E6" w:rsidRDefault="00AF62E6" w:rsidP="00AF62E6">
      <w:pPr>
        <w:pStyle w:val="NormalWeb"/>
        <w:jc w:val="both"/>
        <w:rPr>
          <w:color w:val="FF0000"/>
          <w:lang w:val="en-US"/>
        </w:rPr>
      </w:pPr>
    </w:p>
    <w:p w:rsidR="00AF62E6" w:rsidRPr="002458D6" w:rsidRDefault="00AF62E6" w:rsidP="00AF62E6">
      <w:pPr>
        <w:pStyle w:val="NormalWeb"/>
        <w:jc w:val="both"/>
        <w:rPr>
          <w:lang w:val="en-US"/>
        </w:rPr>
      </w:pPr>
      <w:r w:rsidRPr="002458D6">
        <w:rPr>
          <w:lang w:val="en-US"/>
        </w:rPr>
        <w:t>Next, we take a closer look at the corresponding chan</w:t>
      </w:r>
      <w:r>
        <w:rPr>
          <w:lang w:val="en-US"/>
        </w:rPr>
        <w:t xml:space="preserve">ges to trade and output for the </w:t>
      </w:r>
      <w:r w:rsidRPr="002458D6">
        <w:rPr>
          <w:lang w:val="en-US"/>
        </w:rPr>
        <w:t xml:space="preserve">EU and the US. First, we look at the overall effects on </w:t>
      </w:r>
      <w:r>
        <w:rPr>
          <w:lang w:val="en-US"/>
        </w:rPr>
        <w:t xml:space="preserve">imports and exports and then we </w:t>
      </w:r>
      <w:r w:rsidRPr="002458D6">
        <w:rPr>
          <w:lang w:val="en-US"/>
        </w:rPr>
        <w:t>move on to studying the effects on a more disaggregate, sector specific level.</w:t>
      </w:r>
    </w:p>
    <w:p w:rsidR="00AF62E6" w:rsidRDefault="00AF62E6" w:rsidP="00AF62E6">
      <w:pPr>
        <w:pStyle w:val="NormalWeb"/>
        <w:jc w:val="both"/>
        <w:rPr>
          <w:lang w:val="en-US"/>
        </w:rPr>
      </w:pPr>
    </w:p>
    <w:p w:rsidR="00AF62E6" w:rsidRDefault="00AF62E6" w:rsidP="00AF62E6">
      <w:pPr>
        <w:pStyle w:val="NormalWeb"/>
        <w:jc w:val="both"/>
        <w:rPr>
          <w:lang w:val="en-US"/>
        </w:rPr>
      </w:pPr>
      <w:r w:rsidRPr="002458D6">
        <w:rPr>
          <w:lang w:val="en-US"/>
        </w:rPr>
        <w:t>Aggregate Effects</w:t>
      </w:r>
    </w:p>
    <w:p w:rsidR="00AF62E6" w:rsidRPr="002458D6" w:rsidRDefault="00AF62E6" w:rsidP="00AF62E6">
      <w:pPr>
        <w:pStyle w:val="NormalWeb"/>
        <w:jc w:val="both"/>
        <w:rPr>
          <w:lang w:val="en-US"/>
        </w:rPr>
      </w:pPr>
    </w:p>
    <w:p w:rsidR="00AF62E6" w:rsidRPr="003C66E9" w:rsidRDefault="00AF62E6" w:rsidP="00AF62E6">
      <w:pPr>
        <w:pStyle w:val="NormalWeb"/>
        <w:jc w:val="both"/>
        <w:rPr>
          <w:color w:val="FF0000"/>
          <w:lang w:val="en-US"/>
        </w:rPr>
      </w:pPr>
      <w:r w:rsidRPr="003C66E9">
        <w:rPr>
          <w:color w:val="FF0000"/>
          <w:lang w:val="en-US"/>
        </w:rPr>
        <w:t>As can be seen from Table 19 below, liberalising trade would imply some significant increases in EU-US trade. In the less ambitious scenario, EU exports to the US will increase by 16 per cent while US exports to the EU increase by 23 per cent. In the ambitious scenario, the corresponding figures are 28 and 37 per cent. About two thirds of the increase in bilateral trade in the ambitious experiment is attributable to reducing NTBs in goods sectors. Changes in tariffs are also important, though as discussed above a given change in trade translates into greater GDP effects with NTBs.</w:t>
      </w:r>
    </w:p>
    <w:p w:rsidR="00AF62E6" w:rsidRPr="003C66E9" w:rsidRDefault="00AF62E6" w:rsidP="00AF62E6">
      <w:pPr>
        <w:pStyle w:val="NormalWeb"/>
        <w:jc w:val="both"/>
        <w:rPr>
          <w:color w:val="FF0000"/>
          <w:lang w:val="en-US"/>
        </w:rPr>
      </w:pPr>
    </w:p>
    <w:p w:rsidR="00AF62E6" w:rsidRPr="003C66E9" w:rsidRDefault="00AF62E6" w:rsidP="00AF62E6">
      <w:pPr>
        <w:pStyle w:val="NormalWeb"/>
        <w:jc w:val="both"/>
        <w:rPr>
          <w:color w:val="FF0000"/>
          <w:lang w:val="en-US"/>
        </w:rPr>
      </w:pPr>
      <w:r w:rsidRPr="003C66E9">
        <w:rPr>
          <w:color w:val="FF0000"/>
          <w:lang w:val="en-US"/>
        </w:rPr>
        <w:t>Table 20 and Table 21 provide estimates for total (as opposed to bilateral) trade. For the EU, total exports are expected to increase by 3.37 to 5.91 per cent under the less ambitious and ambitious scenarios respectively. Similar to the results presented in the previous section, the lowering of NTBs in goods is shown to be the most important factor in increasing exports, followed by the lowering of tariffs on exports to the US.</w:t>
      </w:r>
    </w:p>
    <w:p w:rsidR="00AF62E6" w:rsidRPr="003C66E9" w:rsidRDefault="00AF62E6" w:rsidP="00AF62E6">
      <w:pPr>
        <w:pStyle w:val="NormalWeb"/>
        <w:jc w:val="both"/>
        <w:rPr>
          <w:color w:val="FF0000"/>
          <w:lang w:val="en-US"/>
        </w:rPr>
      </w:pPr>
    </w:p>
    <w:p w:rsidR="00AF62E6" w:rsidRPr="003C66E9"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lastRenderedPageBreak/>
        <w:drawing>
          <wp:inline distT="0" distB="0" distL="0" distR="0">
            <wp:extent cx="5397500" cy="372745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7274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Pr="009801B2" w:rsidRDefault="00AF62E6" w:rsidP="00AF62E6">
      <w:pPr>
        <w:pStyle w:val="NormalWeb"/>
        <w:jc w:val="both"/>
        <w:rPr>
          <w:color w:val="FF0000"/>
          <w:lang w:val="en-US"/>
        </w:rPr>
      </w:pPr>
      <w:r>
        <w:rPr>
          <w:noProof/>
          <w:color w:val="FF0000"/>
          <w:lang w:val="en-GB" w:eastAsia="en-GB"/>
        </w:rPr>
        <w:drawing>
          <wp:inline distT="0" distB="0" distL="0" distR="0">
            <wp:extent cx="5397500" cy="401955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0195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Pr="0088047F" w:rsidRDefault="00AF62E6" w:rsidP="00AF62E6">
      <w:pPr>
        <w:pStyle w:val="NormalWeb"/>
        <w:jc w:val="both"/>
        <w:rPr>
          <w:color w:val="FF0000"/>
          <w:lang w:val="en-US"/>
        </w:rPr>
      </w:pPr>
      <w:r w:rsidRPr="0088047F">
        <w:rPr>
          <w:color w:val="FF0000"/>
          <w:lang w:val="en-US"/>
        </w:rPr>
        <w:t>For the US, the corresponding effect on exports is larger. They are estimated to increase by 4.75 and 8.02 per cent respectively for the two liberalizing scenarios. In the less ambitious scenario, the lowering of tariffs is accountable for around half of that increase.</w:t>
      </w:r>
    </w:p>
    <w:p w:rsidR="00AF62E6" w:rsidRPr="0088047F" w:rsidRDefault="00AF62E6" w:rsidP="00AF62E6">
      <w:pPr>
        <w:pStyle w:val="NormalWeb"/>
        <w:jc w:val="both"/>
        <w:rPr>
          <w:lang w:val="en-US"/>
        </w:rPr>
      </w:pPr>
      <w:r w:rsidRPr="0088047F">
        <w:rPr>
          <w:lang w:val="en-US"/>
        </w:rPr>
        <w:lastRenderedPageBreak/>
        <w:t>In the case of the more ambitious scenario the most im</w:t>
      </w:r>
      <w:r>
        <w:rPr>
          <w:lang w:val="en-US"/>
        </w:rPr>
        <w:t xml:space="preserve">portant contribution comes from </w:t>
      </w:r>
      <w:r w:rsidRPr="0088047F">
        <w:rPr>
          <w:lang w:val="en-US"/>
        </w:rPr>
        <w:t xml:space="preserve">the lowering of NTBs in goods. Meanwhile, the lowering </w:t>
      </w:r>
      <w:r>
        <w:rPr>
          <w:lang w:val="en-US"/>
        </w:rPr>
        <w:t xml:space="preserve">of tariffs is still shown to be </w:t>
      </w:r>
      <w:r w:rsidRPr="0088047F">
        <w:rPr>
          <w:lang w:val="en-US"/>
        </w:rPr>
        <w:t>an important factor in realizing these increases in trade.</w:t>
      </w:r>
      <w:r>
        <w:rPr>
          <w:lang w:val="en-US"/>
        </w:rPr>
        <w:t xml:space="preserve"> It is important to recall that </w:t>
      </w:r>
      <w:r w:rsidRPr="0088047F">
        <w:rPr>
          <w:lang w:val="en-US"/>
        </w:rPr>
        <w:t>the EU has high tariffs on motor vehicles and processed</w:t>
      </w:r>
      <w:r>
        <w:rPr>
          <w:lang w:val="en-US"/>
        </w:rPr>
        <w:t xml:space="preserve"> foods. This drives part of the </w:t>
      </w:r>
      <w:r w:rsidRPr="0088047F">
        <w:rPr>
          <w:lang w:val="en-US"/>
        </w:rPr>
        <w:t xml:space="preserve">larger export gain for the US in the tables above. </w:t>
      </w:r>
      <w:r w:rsidRPr="0088047F">
        <w:rPr>
          <w:color w:val="FF0000"/>
          <w:lang w:val="en-US"/>
        </w:rPr>
        <w:t>The estimated effects also tell us that spill-over effects are more important for the US than they are for the EU. (See columns E in both tables). This difference is due in part to differences in the importance of trade with third countries for the US and the EU. When we look at underlying baseline trade flows, for the US the first most important import partner is China. The EU comes second as a source of imports.</w:t>
      </w:r>
      <w:r w:rsidRPr="0088047F">
        <w:rPr>
          <w:lang w:val="en-US"/>
        </w:rPr>
        <w:t xml:space="preserve"> </w:t>
      </w:r>
      <w:r w:rsidRPr="0088047F">
        <w:rPr>
          <w:color w:val="FF0000"/>
          <w:lang w:val="en-US"/>
        </w:rPr>
        <w:t>Furthermore, NAFTA countries are also very important trading partners for the US overall</w:t>
      </w:r>
      <w:r w:rsidRPr="0088047F">
        <w:rPr>
          <w:lang w:val="en-US"/>
        </w:rPr>
        <w:t xml:space="preserve">. </w:t>
      </w:r>
      <w:r w:rsidRPr="0088047F">
        <w:rPr>
          <w:color w:val="FF0000"/>
          <w:lang w:val="en-US"/>
        </w:rPr>
        <w:t>In column E in both tables, given differences in trade composition the NTB-related direct spillovers yield falling costs from spill-overs for a larger share of imports in the case of the US compared to the EU. This is why we see a higher impact due to these spill-overs for the US. For the EU, the estimated changes in total imports are similar to the estimated changes in exports. The increase is expected to be in the range of 2.91 and 5.11 per cent, with NTBs in goods being the most important liberalizing measure.</w:t>
      </w:r>
      <w:r w:rsidRPr="0088047F">
        <w:rPr>
          <w:lang w:val="en-US"/>
        </w:rPr>
        <w:t xml:space="preserve"> One last point on the</w:t>
      </w:r>
      <w:r>
        <w:rPr>
          <w:lang w:val="en-US"/>
        </w:rPr>
        <w:t xml:space="preserve"> pattern of results in Table 20 </w:t>
      </w:r>
      <w:r w:rsidRPr="0088047F">
        <w:rPr>
          <w:lang w:val="en-US"/>
        </w:rPr>
        <w:t xml:space="preserve">and Table 21 relates to export expansion linked to direct </w:t>
      </w:r>
      <w:r>
        <w:rPr>
          <w:lang w:val="en-US"/>
        </w:rPr>
        <w:t xml:space="preserve">spillovers. It is a common (and </w:t>
      </w:r>
      <w:r w:rsidRPr="0088047F">
        <w:rPr>
          <w:lang w:val="en-US"/>
        </w:rPr>
        <w:t>even expected result) in such modelling exercises that increased imports (in</w:t>
      </w:r>
      <w:r>
        <w:rPr>
          <w:lang w:val="en-US"/>
        </w:rPr>
        <w:t xml:space="preserve"> column E, </w:t>
      </w:r>
      <w:r w:rsidRPr="0088047F">
        <w:rPr>
          <w:lang w:val="en-US"/>
        </w:rPr>
        <w:t>for example, for reduction in trade costs for third co</w:t>
      </w:r>
      <w:r>
        <w:rPr>
          <w:lang w:val="en-US"/>
        </w:rPr>
        <w:t xml:space="preserve">untries exporting to the US and </w:t>
      </w:r>
      <w:r w:rsidRPr="0088047F">
        <w:rPr>
          <w:lang w:val="en-US"/>
        </w:rPr>
        <w:t>EU) there will also be increased exports. With more d</w:t>
      </w:r>
      <w:r>
        <w:rPr>
          <w:lang w:val="en-US"/>
        </w:rPr>
        <w:t xml:space="preserve">irect competition from imports, </w:t>
      </w:r>
      <w:r w:rsidRPr="0088047F">
        <w:rPr>
          <w:lang w:val="en-US"/>
        </w:rPr>
        <w:t xml:space="preserve">domestic firms find foreign markets relatively more attractive, such that </w:t>
      </w:r>
      <w:r>
        <w:rPr>
          <w:lang w:val="en-US"/>
        </w:rPr>
        <w:t xml:space="preserve">exports reflect </w:t>
      </w:r>
      <w:r w:rsidRPr="0088047F">
        <w:rPr>
          <w:lang w:val="en-US"/>
        </w:rPr>
        <w:t>a relative shift toward overseas markets.</w:t>
      </w:r>
    </w:p>
    <w:p w:rsidR="00AF62E6" w:rsidRPr="0088047F" w:rsidRDefault="00AF62E6" w:rsidP="00AF62E6">
      <w:pPr>
        <w:pStyle w:val="NormalWeb"/>
        <w:jc w:val="both"/>
        <w:rPr>
          <w:lang w:val="en-US"/>
        </w:rPr>
      </w:pPr>
    </w:p>
    <w:p w:rsidR="00AF62E6" w:rsidRPr="0088047F" w:rsidRDefault="00AF62E6" w:rsidP="00AF62E6">
      <w:pPr>
        <w:pStyle w:val="NormalWeb"/>
        <w:jc w:val="both"/>
        <w:rPr>
          <w:lang w:val="en-US"/>
        </w:rPr>
      </w:pPr>
      <w:r>
        <w:rPr>
          <w:noProof/>
          <w:lang w:val="en-GB" w:eastAsia="en-GB"/>
        </w:rPr>
        <w:drawing>
          <wp:inline distT="0" distB="0" distL="0" distR="0">
            <wp:extent cx="5397500" cy="38354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835400"/>
                    </a:xfrm>
                    <a:prstGeom prst="rect">
                      <a:avLst/>
                    </a:prstGeom>
                    <a:noFill/>
                    <a:ln>
                      <a:noFill/>
                    </a:ln>
                  </pic:spPr>
                </pic:pic>
              </a:graphicData>
            </a:graphic>
          </wp:inline>
        </w:drawing>
      </w:r>
    </w:p>
    <w:p w:rsidR="00AF62E6" w:rsidRPr="00D7537A" w:rsidRDefault="00AF62E6" w:rsidP="00AF62E6">
      <w:pPr>
        <w:pStyle w:val="NormalWeb"/>
        <w:jc w:val="both"/>
        <w:rPr>
          <w:color w:val="FF0000"/>
          <w:lang w:val="en-US"/>
        </w:rPr>
      </w:pPr>
      <w:r w:rsidRPr="00D7537A">
        <w:rPr>
          <w:color w:val="FF0000"/>
          <w:lang w:val="en-US"/>
        </w:rPr>
        <w:t>For the US, imports will increase by 2.81 and 4.74 per cent respectively</w:t>
      </w:r>
      <w:r>
        <w:rPr>
          <w:lang w:val="en-US"/>
        </w:rPr>
        <w:t xml:space="preserve">. </w:t>
      </w:r>
      <w:r w:rsidRPr="00D7537A">
        <w:rPr>
          <w:color w:val="FF0000"/>
          <w:lang w:val="en-US"/>
        </w:rPr>
        <w:t>In the less ambitious scenario, the tariff cuts are shown to be the most important driving factor. Meanwhile, in the more ambitious scenario, lowering of NTBs in goods provides the biggest contribution to the changes in imports.</w:t>
      </w:r>
    </w:p>
    <w:p w:rsidR="00AF62E6" w:rsidRPr="0088047F" w:rsidRDefault="00AF62E6" w:rsidP="00AF62E6">
      <w:pPr>
        <w:pStyle w:val="NormalWeb"/>
        <w:jc w:val="both"/>
        <w:rPr>
          <w:lang w:val="en-US"/>
        </w:rPr>
      </w:pPr>
      <w:r w:rsidRPr="0088047F">
        <w:rPr>
          <w:lang w:val="en-US"/>
        </w:rPr>
        <w:lastRenderedPageBreak/>
        <w:t>Terms of trade for a country reflect how much its exports are worth in terms of imports.</w:t>
      </w:r>
    </w:p>
    <w:p w:rsidR="00AF62E6" w:rsidRDefault="00AF62E6" w:rsidP="00AF62E6">
      <w:pPr>
        <w:pStyle w:val="NormalWeb"/>
        <w:jc w:val="both"/>
        <w:rPr>
          <w:lang w:val="en-US"/>
        </w:rPr>
      </w:pPr>
      <w:r w:rsidRPr="0088047F">
        <w:rPr>
          <w:lang w:val="en-US"/>
        </w:rPr>
        <w:t>Thus an improvement (or a positive change) in a country’s</w:t>
      </w:r>
      <w:r>
        <w:rPr>
          <w:lang w:val="en-US"/>
        </w:rPr>
        <w:t xml:space="preserve"> terms of trade will imply that </w:t>
      </w:r>
      <w:r w:rsidRPr="0088047F">
        <w:rPr>
          <w:lang w:val="en-US"/>
        </w:rPr>
        <w:t xml:space="preserve">it can afford to buy more imports for every unit of its </w:t>
      </w:r>
      <w:r>
        <w:rPr>
          <w:lang w:val="en-US"/>
        </w:rPr>
        <w:t xml:space="preserve">exports sold. The corresponding </w:t>
      </w:r>
      <w:r w:rsidRPr="0088047F">
        <w:rPr>
          <w:lang w:val="en-US"/>
        </w:rPr>
        <w:t>changes in terms of trade are summarized in Table 22 below.</w:t>
      </w:r>
    </w:p>
    <w:p w:rsidR="00AF62E6" w:rsidRPr="0088047F" w:rsidRDefault="00AF62E6" w:rsidP="00AF62E6">
      <w:pPr>
        <w:pStyle w:val="NormalWeb"/>
        <w:jc w:val="both"/>
        <w:rPr>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2451100"/>
            <wp:effectExtent l="0" t="0" r="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4511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sidRPr="00D7537A">
        <w:rPr>
          <w:color w:val="FF0000"/>
          <w:lang w:val="en-US"/>
        </w:rPr>
        <w:t>As can be seen from Table 22, the resulting changes i</w:t>
      </w:r>
      <w:r>
        <w:rPr>
          <w:color w:val="FF0000"/>
          <w:lang w:val="en-US"/>
        </w:rPr>
        <w:t xml:space="preserve">n terms of trade are relatively </w:t>
      </w:r>
      <w:r w:rsidRPr="00D7537A">
        <w:rPr>
          <w:color w:val="FF0000"/>
          <w:lang w:val="en-US"/>
        </w:rPr>
        <w:t>small. For the EU, terms of trade are expected to re</w:t>
      </w:r>
      <w:r>
        <w:rPr>
          <w:color w:val="FF0000"/>
          <w:lang w:val="en-US"/>
        </w:rPr>
        <w:t xml:space="preserve">main essentially unchanged. For </w:t>
      </w:r>
      <w:r w:rsidRPr="00D7537A">
        <w:rPr>
          <w:color w:val="FF0000"/>
          <w:lang w:val="en-US"/>
        </w:rPr>
        <w:t xml:space="preserve">the US, terms of trade are shown to decrease somewhat. </w:t>
      </w:r>
      <w:r>
        <w:rPr>
          <w:color w:val="FF0000"/>
          <w:lang w:val="en-US"/>
        </w:rPr>
        <w:t xml:space="preserve">In the less ambitious scenarios </w:t>
      </w:r>
      <w:r w:rsidRPr="00D7537A">
        <w:rPr>
          <w:color w:val="FF0000"/>
          <w:lang w:val="en-US"/>
        </w:rPr>
        <w:t>they are expected to decrease by 0.08 per cent. Un</w:t>
      </w:r>
      <w:r>
        <w:rPr>
          <w:color w:val="FF0000"/>
          <w:lang w:val="en-US"/>
        </w:rPr>
        <w:t xml:space="preserve">der the ambitious scenario, the </w:t>
      </w:r>
      <w:r w:rsidRPr="00D7537A">
        <w:rPr>
          <w:color w:val="FF0000"/>
          <w:lang w:val="en-US"/>
        </w:rPr>
        <w:t>American terms of trade are expected to decrease by 0.</w:t>
      </w:r>
      <w:r>
        <w:rPr>
          <w:color w:val="FF0000"/>
          <w:lang w:val="en-US"/>
        </w:rPr>
        <w:t xml:space="preserve">19 per cent. As discussed above </w:t>
      </w:r>
      <w:r w:rsidRPr="00D7537A">
        <w:rPr>
          <w:color w:val="FF0000"/>
          <w:lang w:val="en-US"/>
        </w:rPr>
        <w:t>with respect to Table 20, this decrease is largely attribut</w:t>
      </w:r>
      <w:r>
        <w:rPr>
          <w:color w:val="FF0000"/>
          <w:lang w:val="en-US"/>
        </w:rPr>
        <w:t xml:space="preserve">able to direct spill-overs, and </w:t>
      </w:r>
      <w:r w:rsidRPr="00D7537A">
        <w:rPr>
          <w:color w:val="FF0000"/>
          <w:lang w:val="en-US"/>
        </w:rPr>
        <w:t>is linked to the underlying estimated trade volume e</w:t>
      </w:r>
      <w:r>
        <w:rPr>
          <w:color w:val="FF0000"/>
          <w:lang w:val="en-US"/>
        </w:rPr>
        <w:t xml:space="preserve">ffects. The US has a relatively </w:t>
      </w:r>
      <w:r w:rsidRPr="00D7537A">
        <w:rPr>
          <w:color w:val="FF0000"/>
          <w:lang w:val="en-US"/>
        </w:rPr>
        <w:t>larger import share with third countries (especially China and Canada) in goods se</w:t>
      </w:r>
      <w:r>
        <w:rPr>
          <w:color w:val="FF0000"/>
          <w:lang w:val="en-US"/>
        </w:rPr>
        <w:t xml:space="preserve">ctors </w:t>
      </w:r>
      <w:r w:rsidRPr="00D7537A">
        <w:rPr>
          <w:color w:val="FF0000"/>
          <w:lang w:val="en-US"/>
        </w:rPr>
        <w:t>affected by NTB reductions than does the EU. This leads to a greater impact when we</w:t>
      </w:r>
      <w:r>
        <w:rPr>
          <w:color w:val="FF0000"/>
          <w:lang w:val="en-US"/>
        </w:rPr>
        <w:t xml:space="preserve"> </w:t>
      </w:r>
      <w:r w:rsidRPr="00D7537A">
        <w:rPr>
          <w:color w:val="FF0000"/>
          <w:lang w:val="en-US"/>
        </w:rPr>
        <w:t>examine direct spill-overs. As NTBs are reduced also in tr</w:t>
      </w:r>
      <w:r>
        <w:rPr>
          <w:color w:val="FF0000"/>
          <w:lang w:val="en-US"/>
        </w:rPr>
        <w:t xml:space="preserve">ade with these third countries, </w:t>
      </w:r>
      <w:r w:rsidRPr="00D7537A">
        <w:rPr>
          <w:color w:val="FF0000"/>
          <w:lang w:val="en-US"/>
        </w:rPr>
        <w:t>increased US demand drives the slight deterioration in terms of trade.</w:t>
      </w:r>
    </w:p>
    <w:p w:rsidR="00AF62E6" w:rsidRPr="003C66E9" w:rsidRDefault="00AF62E6" w:rsidP="00AF62E6">
      <w:pPr>
        <w:pStyle w:val="NormalWeb"/>
        <w:jc w:val="both"/>
        <w:rPr>
          <w:color w:val="FF0000"/>
          <w:lang w:val="en-US"/>
        </w:rPr>
      </w:pPr>
      <w:r w:rsidRPr="003C66E9">
        <w:rPr>
          <w:color w:val="FF0000"/>
          <w:lang w:val="en-US"/>
        </w:rPr>
        <w:t>Lowering of tariffs naturally implies that tariff revenues in the EU will decrease somewhat. As can be seen from the first row of Table 23, the 2027 benchmark value of tariffs collected is 78.7 billion euros. Reducing tariffs alone would cause these revenues to decrease by 7.3 billion euros, relative to baseline situation in 2027. On the other hand under the ambitious and less ambitious scenarios with full liberalisation, tariff re</w:t>
      </w:r>
      <w:r>
        <w:rPr>
          <w:color w:val="FF0000"/>
          <w:lang w:val="en-US"/>
        </w:rPr>
        <w:t>venues would decreases by less -</w:t>
      </w:r>
      <w:r w:rsidRPr="003C66E9">
        <w:rPr>
          <w:color w:val="FF0000"/>
          <w:lang w:val="en-US"/>
        </w:rPr>
        <w:t xml:space="preserve"> 5.4 billion euros and 6.4 billion euros, respectively. This is due to increased trade with third countries from further liberalisation (with spill-over effects, or in other words the lowering of part of the NTBs on a MFN basis) relative to tariffs only, which would result in additional tariff revenues.</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16764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16764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Pr="003C66E9" w:rsidRDefault="00AF62E6" w:rsidP="00AF62E6">
      <w:pPr>
        <w:pStyle w:val="NormalWeb"/>
        <w:jc w:val="both"/>
        <w:rPr>
          <w:color w:val="FF0000"/>
          <w:lang w:val="en-US"/>
        </w:rPr>
      </w:pPr>
      <w:r w:rsidRPr="003C66E9">
        <w:rPr>
          <w:color w:val="FF0000"/>
          <w:lang w:val="en-US"/>
        </w:rPr>
        <w:t>Another potential impact of the Transatlantic FTA is that the lower barriers to trade with the US will cause a shift in relative costs leading to diverting some trade away from intra-EU partners towards new trade partners (see Table 24). In the table, we have defined trade diversion as the change in intra-EU trade following implementation of an FTA. This change will amount to 72.1 billion euros under full liberalization, of which 26.0 and 23.6 billion euros are caused by spill-overs and NTBs in goods respectively.</w:t>
      </w:r>
    </w:p>
    <w:p w:rsidR="00AF62E6" w:rsidRPr="003C66E9" w:rsidRDefault="00AF62E6" w:rsidP="00AF62E6">
      <w:pPr>
        <w:pStyle w:val="NormalWeb"/>
        <w:jc w:val="both"/>
        <w:rPr>
          <w:color w:val="FF0000"/>
          <w:lang w:val="en-US"/>
        </w:rPr>
      </w:pPr>
      <w:r w:rsidRPr="003C66E9">
        <w:rPr>
          <w:color w:val="FF0000"/>
          <w:lang w:val="en-US"/>
        </w:rPr>
        <w:t>Meanwhile, NTBs in services, indirect spill-overs and procurement have a minor role in redirecting trade. Half of the estimated trade diversion effect (the change in intra-EU trade flows) is attributable to the motor vehicles sector. For this sector, the lowering of tariffs is shown to be the most important contributing factor, together with NTBs in goods and direct spill-overs. Some trade diversion is also visible in chemicals, electrical machinery and metals and metal products.</w:t>
      </w:r>
    </w:p>
    <w:p w:rsidR="00AF62E6" w:rsidRDefault="00AF62E6" w:rsidP="00AF62E6">
      <w:pPr>
        <w:pStyle w:val="NormalWeb"/>
        <w:jc w:val="both"/>
        <w:rPr>
          <w:lang w:val="en-US"/>
        </w:rPr>
      </w:pPr>
    </w:p>
    <w:p w:rsidR="00AF62E6" w:rsidRPr="00D7537A" w:rsidRDefault="00AF62E6" w:rsidP="00AF62E6">
      <w:pPr>
        <w:pStyle w:val="NormalWeb"/>
        <w:jc w:val="both"/>
        <w:rPr>
          <w:lang w:val="en-US"/>
        </w:rPr>
      </w:pPr>
      <w:r>
        <w:rPr>
          <w:noProof/>
          <w:lang w:val="en-GB" w:eastAsia="en-GB"/>
        </w:rPr>
        <w:drawing>
          <wp:inline distT="0" distB="0" distL="0" distR="0">
            <wp:extent cx="5397500" cy="616585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165850"/>
                    </a:xfrm>
                    <a:prstGeom prst="rect">
                      <a:avLst/>
                    </a:prstGeom>
                    <a:noFill/>
                    <a:ln>
                      <a:noFill/>
                    </a:ln>
                  </pic:spPr>
                </pic:pic>
              </a:graphicData>
            </a:graphic>
          </wp:inline>
        </w:drawing>
      </w:r>
    </w:p>
    <w:p w:rsidR="00AF62E6" w:rsidRPr="00D7537A" w:rsidRDefault="00AF62E6" w:rsidP="00AF62E6">
      <w:pPr>
        <w:pStyle w:val="NormalWeb"/>
        <w:jc w:val="both"/>
        <w:rPr>
          <w:lang w:val="en-US"/>
        </w:rPr>
      </w:pPr>
    </w:p>
    <w:p w:rsidR="00AF62E6" w:rsidRPr="003C6806" w:rsidRDefault="00AF62E6" w:rsidP="00AF62E6">
      <w:pPr>
        <w:pStyle w:val="NormalWeb"/>
        <w:jc w:val="both"/>
        <w:rPr>
          <w:color w:val="FF0000"/>
          <w:lang w:val="en-US"/>
        </w:rPr>
      </w:pPr>
      <w:r w:rsidRPr="003C66E9">
        <w:rPr>
          <w:color w:val="FF0000"/>
          <w:lang w:val="en-US"/>
        </w:rPr>
        <w:lastRenderedPageBreak/>
        <w:t xml:space="preserve">Overall, EU exports to non-US, extra-EU destinations are expected to increase by 33.3 billion euros (see Table 25). </w:t>
      </w:r>
      <w:r w:rsidRPr="003C6806">
        <w:rPr>
          <w:color w:val="FF0000"/>
          <w:lang w:val="en-US"/>
        </w:rPr>
        <w:t xml:space="preserve">From the model estimates reported in the table, this increase is attributable to spill-over effects (direct and indirect). (The positive overall trade effect from removing tariffs is 1.1 billion euros, which is essentially 0.0 per cent). </w:t>
      </w:r>
      <w:r>
        <w:rPr>
          <w:lang w:val="en-US"/>
        </w:rPr>
        <w:t xml:space="preserve">The bilateral </w:t>
      </w:r>
      <w:r w:rsidRPr="00CD1E6A">
        <w:rPr>
          <w:lang w:val="en-US"/>
        </w:rPr>
        <w:t>lowering of NTBs in goods causes exports to non-US,</w:t>
      </w:r>
      <w:r>
        <w:rPr>
          <w:lang w:val="en-US"/>
        </w:rPr>
        <w:t xml:space="preserve"> extra-EU partners to shrink as </w:t>
      </w:r>
      <w:r w:rsidRPr="00CD1E6A">
        <w:rPr>
          <w:lang w:val="en-US"/>
        </w:rPr>
        <w:t xml:space="preserve">trade is diverted away from these partners toward </w:t>
      </w:r>
      <w:r>
        <w:rPr>
          <w:lang w:val="en-US"/>
        </w:rPr>
        <w:t xml:space="preserve">the US with EU exports becoming </w:t>
      </w:r>
      <w:r w:rsidRPr="00CD1E6A">
        <w:rPr>
          <w:lang w:val="en-US"/>
        </w:rPr>
        <w:t>relatively more competitive in the US market due the reduction in trade co</w:t>
      </w:r>
      <w:r>
        <w:rPr>
          <w:lang w:val="en-US"/>
        </w:rPr>
        <w:t xml:space="preserve">sts (that </w:t>
      </w:r>
      <w:r w:rsidRPr="00CD1E6A">
        <w:rPr>
          <w:lang w:val="en-US"/>
        </w:rPr>
        <w:t xml:space="preserve">would still apply in third countries). </w:t>
      </w:r>
      <w:r w:rsidRPr="003C6806">
        <w:rPr>
          <w:color w:val="FF0000"/>
          <w:lang w:val="en-US"/>
        </w:rPr>
        <w:t>Nevertheless, with direct and indirect spill-overs, the costs of exporting to third countries will also fall and will lead to increased trade beyond the transatlantic market. As a consequence, with the exception of agriculture, forestry and fisheries and electrical machinery, exports in all sectors are estimated to increase towards destinations outside the potential FTA.</w:t>
      </w:r>
    </w:p>
    <w:p w:rsidR="00AF62E6" w:rsidRPr="003C680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629920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2992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Pr="003C6806" w:rsidRDefault="00AF62E6" w:rsidP="00AF62E6">
      <w:pPr>
        <w:pStyle w:val="NormalWeb"/>
        <w:jc w:val="both"/>
        <w:rPr>
          <w:color w:val="FF0000"/>
          <w:lang w:val="en-US"/>
        </w:rPr>
      </w:pPr>
      <w:r w:rsidRPr="003C6806">
        <w:rPr>
          <w:color w:val="FF0000"/>
          <w:lang w:val="en-US"/>
        </w:rPr>
        <w:lastRenderedPageBreak/>
        <w:t>EU imports from non-US, extra-EU sources are estimated to increase by twice as much as exports, i.e. 66.9 billion euros (see Table 26). Half of this increase originates from the lowering of NTBs in goods. Spill-overs are also shown to be important contributors.</w:t>
      </w:r>
    </w:p>
    <w:p w:rsidR="00AF62E6" w:rsidRPr="003C6806" w:rsidRDefault="00AF62E6" w:rsidP="00AF62E6">
      <w:pPr>
        <w:pStyle w:val="NormalWeb"/>
        <w:jc w:val="both"/>
        <w:rPr>
          <w:color w:val="FF0000"/>
          <w:lang w:val="en-US"/>
        </w:rPr>
      </w:pPr>
      <w:r w:rsidRPr="00CD1E6A">
        <w:rPr>
          <w:lang w:val="en-US"/>
        </w:rPr>
        <w:t>As noted above with respect to Table 20 and Table</w:t>
      </w:r>
      <w:r>
        <w:rPr>
          <w:lang w:val="en-US"/>
        </w:rPr>
        <w:t xml:space="preserve"> 21, increased competition from </w:t>
      </w:r>
      <w:r w:rsidRPr="00CD1E6A">
        <w:rPr>
          <w:lang w:val="en-US"/>
        </w:rPr>
        <w:t xml:space="preserve">imports can be expected to push domestic firms to </w:t>
      </w:r>
      <w:r>
        <w:rPr>
          <w:lang w:val="en-US"/>
        </w:rPr>
        <w:t xml:space="preserve">focus more on overseas markets, </w:t>
      </w:r>
      <w:r w:rsidRPr="00CD1E6A">
        <w:rPr>
          <w:lang w:val="en-US"/>
        </w:rPr>
        <w:t>at least in relative terms. On the other hand, lowerin</w:t>
      </w:r>
      <w:r>
        <w:rPr>
          <w:lang w:val="en-US"/>
        </w:rPr>
        <w:t xml:space="preserve">g of tariffs between the EU and </w:t>
      </w:r>
      <w:r w:rsidRPr="00CD1E6A">
        <w:rPr>
          <w:lang w:val="en-US"/>
        </w:rPr>
        <w:t>US decreases the imports from outside the FTA, s</w:t>
      </w:r>
      <w:r>
        <w:rPr>
          <w:lang w:val="en-US"/>
        </w:rPr>
        <w:t>witching imports towards intra-</w:t>
      </w:r>
      <w:r w:rsidRPr="00CD1E6A">
        <w:rPr>
          <w:lang w:val="en-US"/>
        </w:rPr>
        <w:t>FTA partners. Imports in all sectors (with the excepti</w:t>
      </w:r>
      <w:r>
        <w:rPr>
          <w:lang w:val="en-US"/>
        </w:rPr>
        <w:t xml:space="preserve">on of other machinery and other </w:t>
      </w:r>
      <w:r w:rsidRPr="00CD1E6A">
        <w:rPr>
          <w:lang w:val="en-US"/>
        </w:rPr>
        <w:t xml:space="preserve">manufactures) increase. </w:t>
      </w:r>
      <w:r w:rsidRPr="003C6806">
        <w:rPr>
          <w:color w:val="FF0000"/>
          <w:lang w:val="en-US"/>
        </w:rPr>
        <w:t>The biggest increases in total are estimated to take place in electrical machinery, motor vehicles and metals.</w:t>
      </w:r>
    </w:p>
    <w:p w:rsidR="00AF62E6" w:rsidRDefault="00AF62E6" w:rsidP="00AF62E6">
      <w:pPr>
        <w:pStyle w:val="NormalWeb"/>
        <w:jc w:val="both"/>
        <w:rPr>
          <w:lang w:val="en-US"/>
        </w:rPr>
      </w:pPr>
    </w:p>
    <w:p w:rsidR="00AF62E6" w:rsidRPr="00CD1E6A" w:rsidRDefault="00AF62E6" w:rsidP="00AF62E6">
      <w:pPr>
        <w:pStyle w:val="NormalWeb"/>
        <w:jc w:val="both"/>
        <w:rPr>
          <w:lang w:val="en-US"/>
        </w:rPr>
      </w:pPr>
      <w:r>
        <w:rPr>
          <w:noProof/>
          <w:lang w:val="en-GB" w:eastAsia="en-GB"/>
        </w:rPr>
        <w:drawing>
          <wp:inline distT="0" distB="0" distL="0" distR="0">
            <wp:extent cx="5397500" cy="64960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4960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Pr="00CD1E6A" w:rsidRDefault="00AF62E6" w:rsidP="00AF62E6">
      <w:pPr>
        <w:pStyle w:val="NormalWeb"/>
        <w:jc w:val="both"/>
        <w:rPr>
          <w:b/>
          <w:lang w:val="en-US"/>
        </w:rPr>
      </w:pPr>
      <w:r w:rsidRPr="00CD1E6A">
        <w:rPr>
          <w:b/>
          <w:lang w:val="en-US"/>
        </w:rPr>
        <w:lastRenderedPageBreak/>
        <w:t>Sector Specific Effects</w:t>
      </w:r>
    </w:p>
    <w:p w:rsidR="00AF62E6" w:rsidRPr="00CD1E6A" w:rsidRDefault="00AF62E6" w:rsidP="00AF62E6">
      <w:pPr>
        <w:pStyle w:val="NormalWeb"/>
        <w:jc w:val="both"/>
        <w:rPr>
          <w:lang w:val="en-US"/>
        </w:rPr>
      </w:pPr>
    </w:p>
    <w:p w:rsidR="00AF62E6" w:rsidRDefault="00AF62E6" w:rsidP="00AF62E6">
      <w:pPr>
        <w:pStyle w:val="NormalWeb"/>
        <w:jc w:val="both"/>
        <w:rPr>
          <w:lang w:val="en-US"/>
        </w:rPr>
      </w:pPr>
      <w:r w:rsidRPr="00CD1E6A">
        <w:rPr>
          <w:lang w:val="en-US"/>
        </w:rPr>
        <w:t>We now turn to take a closer look at the sector-specific e</w:t>
      </w:r>
      <w:r>
        <w:rPr>
          <w:lang w:val="en-US"/>
        </w:rPr>
        <w:t xml:space="preserve">ffects underlying the aggregate </w:t>
      </w:r>
      <w:r w:rsidRPr="00CD1E6A">
        <w:rPr>
          <w:lang w:val="en-US"/>
        </w:rPr>
        <w:t>economic impacts reported above. First, we look at th</w:t>
      </w:r>
      <w:r>
        <w:rPr>
          <w:lang w:val="en-US"/>
        </w:rPr>
        <w:t xml:space="preserve">e changes in output and then we </w:t>
      </w:r>
      <w:r w:rsidRPr="00CD1E6A">
        <w:rPr>
          <w:lang w:val="en-US"/>
        </w:rPr>
        <w:t>move on to the estimated changes in trade.</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48260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8260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r w:rsidRPr="003C6806">
        <w:rPr>
          <w:color w:val="FF0000"/>
          <w:lang w:val="en-US"/>
        </w:rPr>
        <w:t>The results reported in Table 27 show that the sector output changes in the EU are in general small. Production in the primary sectors is almost unaffected, while there is a small increase across all services sectors. In manufacturing there is also a small increase in output with some exceptions. The most notable can be found in electrical machinery, where output is expected to decline by 3.74 and 7.28 per cent in the less ambitious and the more ambitious scenarios respectively. In contrast, the EU production of motor vehicles is expected to increase by 0.24 and 1.54 per cent in the less ambitious and ambitious scenarios, respectively.</w:t>
      </w:r>
      <w:r w:rsidRPr="00CD1E6A">
        <w:rPr>
          <w:lang w:val="en-US"/>
        </w:rPr>
        <w:t xml:space="preserve"> If we compare Tabl</w:t>
      </w:r>
      <w:r>
        <w:rPr>
          <w:lang w:val="en-US"/>
        </w:rPr>
        <w:t xml:space="preserve">e 27 with Table 14, it is clear </w:t>
      </w:r>
      <w:r w:rsidRPr="00CD1E6A">
        <w:rPr>
          <w:lang w:val="en-US"/>
        </w:rPr>
        <w:t>that the reductions of NTBs in goods and in services a</w:t>
      </w:r>
      <w:r>
        <w:rPr>
          <w:lang w:val="en-US"/>
        </w:rPr>
        <w:t xml:space="preserve">re important drivers of changes </w:t>
      </w:r>
      <w:r w:rsidRPr="00CD1E6A">
        <w:rPr>
          <w:lang w:val="en-US"/>
        </w:rPr>
        <w:t>at sector level. For example, for motor vehicles, tariff reductions</w:t>
      </w:r>
      <w:r>
        <w:rPr>
          <w:lang w:val="en-US"/>
        </w:rPr>
        <w:t xml:space="preserve"> alone harm the EU </w:t>
      </w:r>
      <w:r w:rsidRPr="00CD1E6A">
        <w:rPr>
          <w:lang w:val="en-US"/>
        </w:rPr>
        <w:t>motor vehicle sector, with falling output levels. In con</w:t>
      </w:r>
      <w:r>
        <w:rPr>
          <w:lang w:val="en-US"/>
        </w:rPr>
        <w:t xml:space="preserve">trast, with NTB reductions, the </w:t>
      </w:r>
      <w:r w:rsidRPr="00CD1E6A">
        <w:rPr>
          <w:lang w:val="en-US"/>
        </w:rPr>
        <w:t>sector expands. This is strongest under the ambitious</w:t>
      </w:r>
      <w:r>
        <w:rPr>
          <w:lang w:val="en-US"/>
        </w:rPr>
        <w:t xml:space="preserve"> scenario, with the deepest NTB </w:t>
      </w:r>
      <w:r w:rsidRPr="00CD1E6A">
        <w:rPr>
          <w:lang w:val="en-US"/>
        </w:rPr>
        <w:t>reductions (half of actionable or 25% of total NTBs).</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lastRenderedPageBreak/>
        <w:drawing>
          <wp:inline distT="0" distB="0" distL="0" distR="0">
            <wp:extent cx="5397500" cy="49974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997450"/>
                    </a:xfrm>
                    <a:prstGeom prst="rect">
                      <a:avLst/>
                    </a:prstGeom>
                    <a:noFill/>
                    <a:ln>
                      <a:noFill/>
                    </a:ln>
                  </pic:spPr>
                </pic:pic>
              </a:graphicData>
            </a:graphic>
          </wp:inline>
        </w:drawing>
      </w:r>
    </w:p>
    <w:p w:rsidR="00AF62E6" w:rsidRPr="003C6806" w:rsidRDefault="00AF62E6" w:rsidP="00AF62E6">
      <w:pPr>
        <w:pStyle w:val="NormalWeb"/>
        <w:jc w:val="both"/>
        <w:rPr>
          <w:color w:val="FF0000"/>
          <w:lang w:val="en-US"/>
        </w:rPr>
      </w:pPr>
      <w:r w:rsidRPr="003C6806">
        <w:rPr>
          <w:color w:val="FF0000"/>
          <w:lang w:val="en-US"/>
        </w:rPr>
        <w:t>For the US, the changes in sector specific output are also found to be small, with all the services sectors changing less than one per cent (Table 28). Finance and insurance sectors will contract, however the reduction is less than half a per cent, which implies no significant change. Within manufacturing, processed foods, electrical machinery and motor vehicles are expected to see an output decline, while in the other sectors it will expand, albeit quite limitedly. Overall the resulting pattern of output changes is similar in the two scenarios with the same sectors expanding and contracting.</w:t>
      </w:r>
    </w:p>
    <w:p w:rsidR="00AF62E6" w:rsidRPr="003C6806" w:rsidRDefault="00AF62E6" w:rsidP="00AF62E6">
      <w:pPr>
        <w:pStyle w:val="NormalWeb"/>
        <w:jc w:val="both"/>
        <w:rPr>
          <w:color w:val="FF0000"/>
          <w:lang w:val="en-US"/>
        </w:rPr>
      </w:pPr>
    </w:p>
    <w:p w:rsidR="00AF62E6" w:rsidRDefault="00AF62E6" w:rsidP="00AF62E6">
      <w:pPr>
        <w:pStyle w:val="NormalWeb"/>
        <w:jc w:val="both"/>
        <w:rPr>
          <w:lang w:val="en-US"/>
        </w:rPr>
      </w:pPr>
      <w:r w:rsidRPr="00CD1E6A">
        <w:rPr>
          <w:lang w:val="en-US"/>
        </w:rPr>
        <w:t>Figure 11 below presents a breakdown of the sources of</w:t>
      </w:r>
      <w:r>
        <w:rPr>
          <w:lang w:val="en-US"/>
        </w:rPr>
        <w:t xml:space="preserve"> change across selected sectors </w:t>
      </w:r>
      <w:r w:rsidRPr="00CD1E6A">
        <w:rPr>
          <w:lang w:val="en-US"/>
        </w:rPr>
        <w:t>for the EU, under the ambitious scenario. We have</w:t>
      </w:r>
      <w:r>
        <w:rPr>
          <w:lang w:val="en-US"/>
        </w:rPr>
        <w:t xml:space="preserve"> focused on some of the largest </w:t>
      </w:r>
      <w:r w:rsidRPr="00CD1E6A">
        <w:rPr>
          <w:lang w:val="en-US"/>
        </w:rPr>
        <w:t>changes, full detail is provided in the annex tables. Th</w:t>
      </w:r>
      <w:r>
        <w:rPr>
          <w:lang w:val="en-US"/>
        </w:rPr>
        <w:t>e largest negative impact is in electrical machinery.</w:t>
      </w:r>
      <w:r w:rsidRPr="00CD1E6A">
        <w:rPr>
          <w:lang w:val="en-US"/>
        </w:rPr>
        <w:t xml:space="preserve"> From the figure, almost all of </w:t>
      </w:r>
      <w:r>
        <w:rPr>
          <w:lang w:val="en-US"/>
        </w:rPr>
        <w:t xml:space="preserve">this change is driven by direct </w:t>
      </w:r>
      <w:r w:rsidRPr="00CD1E6A">
        <w:rPr>
          <w:lang w:val="en-US"/>
        </w:rPr>
        <w:t>spill-overs. If we contrast electrical machinery and motor</w:t>
      </w:r>
      <w:r>
        <w:rPr>
          <w:lang w:val="en-US"/>
        </w:rPr>
        <w:t xml:space="preserve"> vehicles, we can also see that </w:t>
      </w:r>
      <w:r w:rsidRPr="00CD1E6A">
        <w:rPr>
          <w:lang w:val="en-US"/>
        </w:rPr>
        <w:t>bilateral NTB reduction and spill-overs work in opposite directions in the two sectors</w:t>
      </w:r>
      <w:r>
        <w:rPr>
          <w:lang w:val="en-US"/>
        </w:rPr>
        <w:t>…</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lastRenderedPageBreak/>
        <w:drawing>
          <wp:inline distT="0" distB="0" distL="0" distR="0">
            <wp:extent cx="5397500" cy="24257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425700"/>
                    </a:xfrm>
                    <a:prstGeom prst="rect">
                      <a:avLst/>
                    </a:prstGeom>
                    <a:noFill/>
                    <a:ln>
                      <a:noFill/>
                    </a:ln>
                  </pic:spPr>
                </pic:pic>
              </a:graphicData>
            </a:graphic>
          </wp:inline>
        </w:drawing>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5480050"/>
            <wp:effectExtent l="0" t="0" r="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480050"/>
                    </a:xfrm>
                    <a:prstGeom prst="rect">
                      <a:avLst/>
                    </a:prstGeom>
                    <a:noFill/>
                    <a:ln>
                      <a:noFill/>
                    </a:ln>
                  </pic:spPr>
                </pic:pic>
              </a:graphicData>
            </a:graphic>
          </wp:inline>
        </w:drawing>
      </w:r>
    </w:p>
    <w:p w:rsidR="00AF62E6" w:rsidRPr="009A4C28" w:rsidRDefault="00AF62E6" w:rsidP="00AF62E6">
      <w:pPr>
        <w:pStyle w:val="NormalWeb"/>
        <w:jc w:val="both"/>
        <w:rPr>
          <w:lang w:val="en-US"/>
        </w:rPr>
      </w:pPr>
      <w:r w:rsidRPr="00C77CC3">
        <w:rPr>
          <w:color w:val="FF0000"/>
          <w:lang w:val="en-US"/>
        </w:rPr>
        <w:t xml:space="preserve">For the EU, overall imports and exports are both estimated to increase by 3.37 and 5.11 per cent in the less ambitious and ambitious scenarios, respectively. With the exception of electrical machinery, both imports and exports are shown to increase across both scenarios in all sectors for the EU. Some of the largest changes are in chemicals, motor </w:t>
      </w:r>
      <w:r w:rsidRPr="00C77CC3">
        <w:rPr>
          <w:color w:val="FF0000"/>
          <w:lang w:val="en-US"/>
        </w:rPr>
        <w:lastRenderedPageBreak/>
        <w:t>vehicles, and metals</w:t>
      </w:r>
      <w:r w:rsidRPr="00C77CC3">
        <w:rPr>
          <w:lang w:val="en-US"/>
        </w:rPr>
        <w:t>. As discussed earlier (Table 27), parallel to these changes in trade,</w:t>
      </w:r>
      <w:r>
        <w:rPr>
          <w:lang w:val="en-US"/>
        </w:rPr>
        <w:t xml:space="preserve"> </w:t>
      </w:r>
      <w:r w:rsidRPr="009A4C28">
        <w:rPr>
          <w:lang w:val="en-US"/>
        </w:rPr>
        <w:t>output in almost all sectors expands, electrical mac</w:t>
      </w:r>
      <w:r>
        <w:rPr>
          <w:lang w:val="en-US"/>
        </w:rPr>
        <w:t xml:space="preserve">hinery being one exception. The </w:t>
      </w:r>
      <w:r w:rsidRPr="009A4C28">
        <w:rPr>
          <w:lang w:val="en-US"/>
        </w:rPr>
        <w:t xml:space="preserve">results indicate an increase in imports of electrical </w:t>
      </w:r>
      <w:r>
        <w:rPr>
          <w:lang w:val="en-US"/>
        </w:rPr>
        <w:t xml:space="preserve">machinery, which is accompanied </w:t>
      </w:r>
      <w:r w:rsidRPr="009A4C28">
        <w:rPr>
          <w:lang w:val="en-US"/>
        </w:rPr>
        <w:t xml:space="preserve">by a decline in the output in this sector (7.28 per cent in </w:t>
      </w:r>
      <w:r>
        <w:rPr>
          <w:lang w:val="en-US"/>
        </w:rPr>
        <w:t xml:space="preserve">the ambitious scenario) as more </w:t>
      </w:r>
      <w:r w:rsidRPr="009A4C28">
        <w:rPr>
          <w:lang w:val="en-US"/>
        </w:rPr>
        <w:t>competitive imported goods replace some of the domestic production.</w:t>
      </w:r>
    </w:p>
    <w:p w:rsidR="00AF62E6" w:rsidRDefault="00AF62E6" w:rsidP="00AF62E6">
      <w:pPr>
        <w:pStyle w:val="NormalWeb"/>
        <w:jc w:val="both"/>
        <w:rPr>
          <w:color w:val="FF0000"/>
          <w:lang w:val="en-US"/>
        </w:rPr>
      </w:pPr>
      <w:r w:rsidRPr="009A4C28">
        <w:rPr>
          <w:color w:val="FF0000"/>
          <w:lang w:val="en-US"/>
        </w:rPr>
        <w:t>The biggest relative increase in imports as well as exports takes place in the motor vehicles sector. Here trade is estimated to increase by 43.11 per cent in the ambitious scenario. This is accompanied with an increase in the output of this sector (by 1.54 per cent under the ambitious scenario). This reflects the important liberalisation effort that the agreement would imply due to the initial combination of high tariffs and high NTBs. In addition, it reflects trade in parts and components in the model. This is a sector characterized by two-way trade in both vehicles and parts. Total exports are also estimated to increase significantly for metals and metal products (12.07 per cent), processed foods (9.36 per cent), chemicals (9.26 per cent), and other manufactures (6.13 per cent).</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84200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842000"/>
                    </a:xfrm>
                    <a:prstGeom prst="rect">
                      <a:avLst/>
                    </a:prstGeom>
                    <a:noFill/>
                    <a:ln>
                      <a:noFill/>
                    </a:ln>
                  </pic:spPr>
                </pic:pic>
              </a:graphicData>
            </a:graphic>
          </wp:inline>
        </w:drawing>
      </w:r>
    </w:p>
    <w:p w:rsidR="00AF62E6" w:rsidRPr="009A4C28" w:rsidRDefault="00AF62E6" w:rsidP="00AF62E6">
      <w:pPr>
        <w:pStyle w:val="NormalWeb"/>
        <w:jc w:val="both"/>
        <w:rPr>
          <w:color w:val="FF0000"/>
          <w:lang w:val="en-US"/>
        </w:rPr>
      </w:pPr>
      <w:r w:rsidRPr="009A4C28">
        <w:rPr>
          <w:color w:val="FF0000"/>
          <w:lang w:val="en-US"/>
        </w:rPr>
        <w:lastRenderedPageBreak/>
        <w:t>As can be seen from Table 30, trade in all sectors are expect</w:t>
      </w:r>
      <w:r>
        <w:rPr>
          <w:color w:val="FF0000"/>
          <w:lang w:val="en-US"/>
        </w:rPr>
        <w:t xml:space="preserve">ed to increase in the US. Here, </w:t>
      </w:r>
      <w:r w:rsidRPr="009A4C28">
        <w:rPr>
          <w:color w:val="FF0000"/>
          <w:lang w:val="en-US"/>
        </w:rPr>
        <w:t>total exports are shown to increase by 4.75 and 8.02 pe</w:t>
      </w:r>
      <w:r>
        <w:rPr>
          <w:color w:val="FF0000"/>
          <w:lang w:val="en-US"/>
        </w:rPr>
        <w:t xml:space="preserve">r cent under the less ambitious </w:t>
      </w:r>
      <w:r w:rsidRPr="009A4C28">
        <w:rPr>
          <w:color w:val="FF0000"/>
          <w:lang w:val="en-US"/>
        </w:rPr>
        <w:t>and ambitious scenarios, respectively. For many of t</w:t>
      </w:r>
      <w:r>
        <w:rPr>
          <w:color w:val="FF0000"/>
          <w:lang w:val="en-US"/>
        </w:rPr>
        <w:t xml:space="preserve">he manufacturing sectors, these </w:t>
      </w:r>
      <w:r w:rsidRPr="009A4C28">
        <w:rPr>
          <w:color w:val="FF0000"/>
          <w:lang w:val="en-US"/>
        </w:rPr>
        <w:t>changes are quite significant. As in the case for the EU</w:t>
      </w:r>
      <w:r>
        <w:rPr>
          <w:color w:val="FF0000"/>
          <w:lang w:val="en-US"/>
        </w:rPr>
        <w:t xml:space="preserve">, motor vehicles are exhibiting </w:t>
      </w:r>
      <w:r w:rsidRPr="009A4C28">
        <w:rPr>
          <w:color w:val="FF0000"/>
          <w:lang w:val="en-US"/>
        </w:rPr>
        <w:t>the biggest increase in trade. Here, total exports are estimated to increase by up to 59.47</w:t>
      </w:r>
      <w:r>
        <w:rPr>
          <w:color w:val="FF0000"/>
          <w:lang w:val="en-US"/>
        </w:rPr>
        <w:t xml:space="preserve"> </w:t>
      </w:r>
      <w:r w:rsidRPr="009A4C28">
        <w:rPr>
          <w:color w:val="FF0000"/>
          <w:lang w:val="en-US"/>
        </w:rPr>
        <w:t>per cent under the ambitious scenario, while total imports will go up by 20.81 per cent.</w:t>
      </w:r>
    </w:p>
    <w:p w:rsidR="00AF62E6" w:rsidRPr="009A4C28" w:rsidRDefault="00AF62E6" w:rsidP="00AF62E6">
      <w:pPr>
        <w:pStyle w:val="NormalWeb"/>
        <w:jc w:val="both"/>
        <w:rPr>
          <w:color w:val="FF0000"/>
          <w:lang w:val="en-US"/>
        </w:rPr>
      </w:pPr>
      <w:r w:rsidRPr="009A4C28">
        <w:rPr>
          <w:color w:val="FF0000"/>
          <w:lang w:val="en-US"/>
        </w:rPr>
        <w:t>In part, this is due to the initial structure of trade barr</w:t>
      </w:r>
      <w:r>
        <w:rPr>
          <w:color w:val="FF0000"/>
          <w:lang w:val="en-US"/>
        </w:rPr>
        <w:t xml:space="preserve">iers between the two economies, </w:t>
      </w:r>
      <w:r w:rsidRPr="009A4C28">
        <w:rPr>
          <w:color w:val="FF0000"/>
          <w:lang w:val="en-US"/>
        </w:rPr>
        <w:t>with the EU having quite high initial protection in t</w:t>
      </w:r>
      <w:r>
        <w:rPr>
          <w:color w:val="FF0000"/>
          <w:lang w:val="en-US"/>
        </w:rPr>
        <w:t xml:space="preserve">he motor vehicle sector. At the </w:t>
      </w:r>
      <w:r w:rsidRPr="009A4C28">
        <w:rPr>
          <w:color w:val="FF0000"/>
          <w:lang w:val="en-US"/>
        </w:rPr>
        <w:t>same time, the reader is reminded to keep in mind th</w:t>
      </w:r>
      <w:r>
        <w:rPr>
          <w:color w:val="FF0000"/>
          <w:lang w:val="en-US"/>
        </w:rPr>
        <w:t xml:space="preserve">e discussion following Table 27 </w:t>
      </w:r>
      <w:r w:rsidRPr="009A4C28">
        <w:rPr>
          <w:color w:val="FF0000"/>
          <w:lang w:val="en-US"/>
        </w:rPr>
        <w:t>and Table 28 about general equilibrium effects. It is pr</w:t>
      </w:r>
      <w:r>
        <w:rPr>
          <w:color w:val="FF0000"/>
          <w:lang w:val="en-US"/>
        </w:rPr>
        <w:t xml:space="preserve">oblematic to assign outcomes to </w:t>
      </w:r>
      <w:r w:rsidRPr="009A4C28">
        <w:rPr>
          <w:color w:val="FF0000"/>
          <w:lang w:val="en-US"/>
        </w:rPr>
        <w:t xml:space="preserve">policy changes in individual sectors, as the changes in </w:t>
      </w:r>
      <w:r>
        <w:rPr>
          <w:color w:val="FF0000"/>
          <w:lang w:val="en-US"/>
        </w:rPr>
        <w:t xml:space="preserve">output and trade depend on what </w:t>
      </w:r>
      <w:r w:rsidRPr="009A4C28">
        <w:rPr>
          <w:color w:val="FF0000"/>
          <w:lang w:val="en-US"/>
        </w:rPr>
        <w:t>happens across all sectors.</w:t>
      </w:r>
    </w:p>
    <w:p w:rsidR="00AF62E6" w:rsidRDefault="00AF62E6" w:rsidP="00AF62E6">
      <w:pPr>
        <w:pStyle w:val="NormalWeb"/>
        <w:jc w:val="both"/>
        <w:rPr>
          <w:color w:val="FF0000"/>
          <w:lang w:val="en-US"/>
        </w:rPr>
      </w:pPr>
      <w:r w:rsidRPr="009A4C28">
        <w:rPr>
          <w:color w:val="FF0000"/>
          <w:lang w:val="en-US"/>
        </w:rPr>
        <w:t>Changes in bilateral trade for the two liberalisation sc</w:t>
      </w:r>
      <w:r>
        <w:rPr>
          <w:color w:val="FF0000"/>
          <w:lang w:val="en-US"/>
        </w:rPr>
        <w:t xml:space="preserve">enarios are summarized in Table </w:t>
      </w:r>
      <w:r w:rsidRPr="009A4C28">
        <w:rPr>
          <w:color w:val="FF0000"/>
          <w:lang w:val="en-US"/>
        </w:rPr>
        <w:t>31 and Table 32 below. The first one shows estimated chang</w:t>
      </w:r>
      <w:r>
        <w:rPr>
          <w:color w:val="FF0000"/>
          <w:lang w:val="en-US"/>
        </w:rPr>
        <w:t xml:space="preserve">es in sector specific bilateral </w:t>
      </w:r>
      <w:r w:rsidRPr="009A4C28">
        <w:rPr>
          <w:color w:val="FF0000"/>
          <w:lang w:val="en-US"/>
        </w:rPr>
        <w:t>exports from the EU to the US, and the second the bilat</w:t>
      </w:r>
      <w:r>
        <w:rPr>
          <w:color w:val="FF0000"/>
          <w:lang w:val="en-US"/>
        </w:rPr>
        <w:t xml:space="preserve">eral exports from the US to the </w:t>
      </w:r>
      <w:r w:rsidRPr="009A4C28">
        <w:rPr>
          <w:color w:val="FF0000"/>
          <w:lang w:val="en-US"/>
        </w:rPr>
        <w:t>EU.</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53720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5372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sidRPr="009A4C28">
        <w:rPr>
          <w:color w:val="FF0000"/>
          <w:lang w:val="en-US"/>
        </w:rPr>
        <w:lastRenderedPageBreak/>
        <w:t xml:space="preserve">The total exports from the EU to the US are estimated to </w:t>
      </w:r>
      <w:r>
        <w:rPr>
          <w:color w:val="FF0000"/>
          <w:lang w:val="en-US"/>
        </w:rPr>
        <w:t xml:space="preserve">increase significantly by 16.16 </w:t>
      </w:r>
      <w:r w:rsidRPr="009A4C28">
        <w:rPr>
          <w:color w:val="FF0000"/>
          <w:lang w:val="en-US"/>
        </w:rPr>
        <w:t>and 28.03 per cent, respectively. The increase is shown t</w:t>
      </w:r>
      <w:r>
        <w:rPr>
          <w:color w:val="FF0000"/>
          <w:lang w:val="en-US"/>
        </w:rPr>
        <w:t xml:space="preserve">o be taking place across almost </w:t>
      </w:r>
      <w:r w:rsidRPr="009A4C28">
        <w:rPr>
          <w:color w:val="FF0000"/>
          <w:lang w:val="en-US"/>
        </w:rPr>
        <w:t xml:space="preserve">all </w:t>
      </w:r>
      <w:r>
        <w:rPr>
          <w:color w:val="FF0000"/>
          <w:lang w:val="en-US"/>
        </w:rPr>
        <w:t>sectors (with the exemption of “Other Services”</w:t>
      </w:r>
      <w:r w:rsidRPr="009A4C28">
        <w:rPr>
          <w:color w:val="FF0000"/>
          <w:lang w:val="en-US"/>
        </w:rPr>
        <w:t>),</w:t>
      </w:r>
      <w:r>
        <w:rPr>
          <w:color w:val="FF0000"/>
          <w:lang w:val="en-US"/>
        </w:rPr>
        <w:t xml:space="preserve"> however with smaller increases </w:t>
      </w:r>
      <w:r w:rsidRPr="009A4C28">
        <w:rPr>
          <w:color w:val="FF0000"/>
          <w:lang w:val="en-US"/>
        </w:rPr>
        <w:t xml:space="preserve">in the exports of services and other primary sectors </w:t>
      </w:r>
      <w:r>
        <w:rPr>
          <w:color w:val="FF0000"/>
          <w:lang w:val="en-US"/>
        </w:rPr>
        <w:t xml:space="preserve">than in manufactured goods. The </w:t>
      </w:r>
      <w:r w:rsidRPr="009A4C28">
        <w:rPr>
          <w:color w:val="FF0000"/>
          <w:lang w:val="en-US"/>
        </w:rPr>
        <w:t>most significant relative increases in exports are shown to occur in metals and metal</w:t>
      </w:r>
      <w:r>
        <w:rPr>
          <w:color w:val="FF0000"/>
          <w:lang w:val="en-US"/>
        </w:rPr>
        <w:t xml:space="preserve"> </w:t>
      </w:r>
      <w:r w:rsidRPr="009A4C28">
        <w:rPr>
          <w:color w:val="FF0000"/>
          <w:lang w:val="en-US"/>
        </w:rPr>
        <w:t>products (42.40 and 68.20 per cent, respectively) and m</w:t>
      </w:r>
      <w:r>
        <w:rPr>
          <w:color w:val="FF0000"/>
          <w:lang w:val="en-US"/>
        </w:rPr>
        <w:t xml:space="preserve">otor vehicles (71.00 and 148.70 </w:t>
      </w:r>
      <w:r w:rsidRPr="009A4C28">
        <w:rPr>
          <w:color w:val="FF0000"/>
          <w:lang w:val="en-US"/>
        </w:rPr>
        <w:t>per cent).</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610235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1023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Pr="009A4C28" w:rsidRDefault="00AF62E6" w:rsidP="00AF62E6">
      <w:pPr>
        <w:pStyle w:val="NormalWeb"/>
        <w:jc w:val="both"/>
        <w:rPr>
          <w:color w:val="FF0000"/>
          <w:lang w:val="en-US"/>
        </w:rPr>
      </w:pPr>
      <w:r w:rsidRPr="009A4C28">
        <w:rPr>
          <w:color w:val="FF0000"/>
          <w:lang w:val="en-US"/>
        </w:rPr>
        <w:t>Looking at the estimated increases in exports from th</w:t>
      </w:r>
      <w:r>
        <w:rPr>
          <w:color w:val="FF0000"/>
          <w:lang w:val="en-US"/>
        </w:rPr>
        <w:t xml:space="preserve">e US to the EU, the increase in </w:t>
      </w:r>
      <w:r w:rsidRPr="009A4C28">
        <w:rPr>
          <w:color w:val="FF0000"/>
          <w:lang w:val="en-US"/>
        </w:rPr>
        <w:t>bilateral exports in percentage terms is even bigger (Tabl</w:t>
      </w:r>
      <w:r>
        <w:rPr>
          <w:color w:val="FF0000"/>
          <w:lang w:val="en-US"/>
        </w:rPr>
        <w:t xml:space="preserve">e 32). This is driven mainly by </w:t>
      </w:r>
      <w:r w:rsidRPr="009A4C28">
        <w:rPr>
          <w:color w:val="FF0000"/>
          <w:lang w:val="en-US"/>
        </w:rPr>
        <w:t>the difference in increase in the motor vehicle sector. Imp</w:t>
      </w:r>
      <w:r>
        <w:rPr>
          <w:color w:val="FF0000"/>
          <w:lang w:val="en-US"/>
        </w:rPr>
        <w:t xml:space="preserve">orts from the US in this sector </w:t>
      </w:r>
      <w:r w:rsidRPr="009A4C28">
        <w:rPr>
          <w:color w:val="FF0000"/>
          <w:lang w:val="en-US"/>
        </w:rPr>
        <w:t>expand more than exports to the US. In the less ambitious scenario bilateral exports to</w:t>
      </w:r>
      <w:r>
        <w:rPr>
          <w:color w:val="FF0000"/>
          <w:lang w:val="en-US"/>
        </w:rPr>
        <w:t xml:space="preserve"> </w:t>
      </w:r>
      <w:r w:rsidRPr="009A4C28">
        <w:rPr>
          <w:color w:val="FF0000"/>
          <w:lang w:val="en-US"/>
        </w:rPr>
        <w:t>the EU are shown to increase by 23.20 per cent and by 36.57 per cent in the am</w:t>
      </w:r>
      <w:r>
        <w:rPr>
          <w:color w:val="FF0000"/>
          <w:lang w:val="en-US"/>
        </w:rPr>
        <w:t xml:space="preserve">bitious </w:t>
      </w:r>
      <w:r w:rsidRPr="009A4C28">
        <w:rPr>
          <w:color w:val="FF0000"/>
          <w:lang w:val="en-US"/>
        </w:rPr>
        <w:t>scenario. The expansion of exports is higher in all se</w:t>
      </w:r>
      <w:r>
        <w:rPr>
          <w:color w:val="FF0000"/>
          <w:lang w:val="en-US"/>
        </w:rPr>
        <w:t xml:space="preserve">ctors in the ambitious scenario </w:t>
      </w:r>
      <w:r w:rsidRPr="009A4C28">
        <w:rPr>
          <w:color w:val="FF0000"/>
          <w:lang w:val="en-US"/>
        </w:rPr>
        <w:t>than in the less ambitious. As was the case with EU’s exports to the US, the increase is</w:t>
      </w:r>
      <w:r>
        <w:rPr>
          <w:color w:val="FF0000"/>
          <w:lang w:val="en-US"/>
        </w:rPr>
        <w:t xml:space="preserve"> </w:t>
      </w:r>
      <w:r w:rsidRPr="009A4C28">
        <w:rPr>
          <w:color w:val="FF0000"/>
          <w:lang w:val="en-US"/>
        </w:rPr>
        <w:t xml:space="preserve">most </w:t>
      </w:r>
      <w:r w:rsidRPr="009A4C28">
        <w:rPr>
          <w:color w:val="FF0000"/>
          <w:lang w:val="en-US"/>
        </w:rPr>
        <w:lastRenderedPageBreak/>
        <w:t>substantial in the manufacturing sectors. The increase is most notab</w:t>
      </w:r>
      <w:r>
        <w:rPr>
          <w:color w:val="FF0000"/>
          <w:lang w:val="en-US"/>
        </w:rPr>
        <w:t xml:space="preserve">le for motor </w:t>
      </w:r>
      <w:r w:rsidRPr="009A4C28">
        <w:rPr>
          <w:color w:val="FF0000"/>
          <w:lang w:val="en-US"/>
        </w:rPr>
        <w:t>vehicles, where exports to the EU are expected to in</w:t>
      </w:r>
      <w:r>
        <w:rPr>
          <w:color w:val="FF0000"/>
          <w:lang w:val="en-US"/>
        </w:rPr>
        <w:t xml:space="preserve">crease by 207.40 and 346.80 per </w:t>
      </w:r>
      <w:r w:rsidRPr="009A4C28">
        <w:rPr>
          <w:color w:val="FF0000"/>
          <w:lang w:val="en-US"/>
        </w:rPr>
        <w:t>cent respectively. Significant relative increases are also e</w:t>
      </w:r>
      <w:r>
        <w:rPr>
          <w:color w:val="FF0000"/>
          <w:lang w:val="en-US"/>
        </w:rPr>
        <w:t xml:space="preserve">xpected to occur in the exports </w:t>
      </w:r>
      <w:r w:rsidRPr="009A4C28">
        <w:rPr>
          <w:color w:val="FF0000"/>
          <w:lang w:val="en-US"/>
        </w:rPr>
        <w:t>for metals and metal products and processed foods. Despite the high</w:t>
      </w:r>
      <w:r>
        <w:rPr>
          <w:color w:val="FF0000"/>
          <w:lang w:val="en-US"/>
        </w:rPr>
        <w:t xml:space="preserve"> percent increase </w:t>
      </w:r>
      <w:r w:rsidRPr="009A4C28">
        <w:rPr>
          <w:color w:val="FF0000"/>
          <w:lang w:val="en-US"/>
        </w:rPr>
        <w:t>of US exports, the FTA increases the positive EU trade</w:t>
      </w:r>
      <w:r>
        <w:rPr>
          <w:color w:val="FF0000"/>
          <w:lang w:val="en-US"/>
        </w:rPr>
        <w:t xml:space="preserve"> balance of motor vehicles with </w:t>
      </w:r>
      <w:r w:rsidRPr="009A4C28">
        <w:rPr>
          <w:color w:val="FF0000"/>
          <w:lang w:val="en-US"/>
        </w:rPr>
        <w:t>the US. In addition, the increase in imports from the</w:t>
      </w:r>
      <w:r>
        <w:rPr>
          <w:color w:val="FF0000"/>
          <w:lang w:val="en-US"/>
        </w:rPr>
        <w:t xml:space="preserve"> US only corresponds to roughly </w:t>
      </w:r>
      <w:r w:rsidRPr="009A4C28">
        <w:rPr>
          <w:color w:val="FF0000"/>
          <w:lang w:val="en-US"/>
        </w:rPr>
        <w:t>4.8 percent of total sales in the EU in the baseline.</w:t>
      </w:r>
    </w:p>
    <w:p w:rsidR="00AF62E6" w:rsidRPr="009A4C28" w:rsidRDefault="00AF62E6" w:rsidP="00AF62E6">
      <w:pPr>
        <w:pStyle w:val="NormalWeb"/>
        <w:jc w:val="both"/>
        <w:rPr>
          <w:color w:val="FF0000"/>
          <w:lang w:val="en-US"/>
        </w:rPr>
      </w:pPr>
      <w:r w:rsidRPr="009A4C28">
        <w:rPr>
          <w:color w:val="FF0000"/>
          <w:lang w:val="en-US"/>
        </w:rPr>
        <w:t>We next compare total trade effects with bilateral trade e</w:t>
      </w:r>
      <w:r>
        <w:rPr>
          <w:color w:val="FF0000"/>
          <w:lang w:val="en-US"/>
        </w:rPr>
        <w:t xml:space="preserve">ffects for selected sectors. In </w:t>
      </w:r>
      <w:r w:rsidRPr="009A4C28">
        <w:rPr>
          <w:color w:val="FF0000"/>
          <w:lang w:val="en-US"/>
        </w:rPr>
        <w:t>both cases the strongest changes are in motor vehicles.</w:t>
      </w:r>
      <w:r>
        <w:rPr>
          <w:color w:val="FF0000"/>
          <w:lang w:val="en-US"/>
        </w:rPr>
        <w:t xml:space="preserve"> Here, we can see that there is </w:t>
      </w:r>
      <w:r w:rsidRPr="009A4C28">
        <w:rPr>
          <w:color w:val="FF0000"/>
          <w:lang w:val="en-US"/>
        </w:rPr>
        <w:t>a substantial expansion of trade between the transatlantic partners (the EU and US).</w:t>
      </w:r>
    </w:p>
    <w:p w:rsidR="00AF62E6" w:rsidRPr="009A4C28" w:rsidRDefault="00AF62E6" w:rsidP="00AF62E6">
      <w:pPr>
        <w:pStyle w:val="NormalWeb"/>
        <w:jc w:val="both"/>
        <w:rPr>
          <w:color w:val="FF0000"/>
          <w:lang w:val="en-US"/>
        </w:rPr>
      </w:pPr>
      <w:r w:rsidRPr="009A4C28">
        <w:rPr>
          <w:color w:val="FF0000"/>
          <w:lang w:val="en-US"/>
        </w:rPr>
        <w:t>Indeed, this implies relatively deep changes in the integra</w:t>
      </w:r>
      <w:r>
        <w:rPr>
          <w:color w:val="FF0000"/>
          <w:lang w:val="en-US"/>
        </w:rPr>
        <w:t xml:space="preserve">tion of the transatlantic motor </w:t>
      </w:r>
      <w:r w:rsidRPr="009A4C28">
        <w:rPr>
          <w:color w:val="FF0000"/>
          <w:lang w:val="en-US"/>
        </w:rPr>
        <w:t>vehicle sector. This reflects a relatively large share o</w:t>
      </w:r>
      <w:r>
        <w:rPr>
          <w:color w:val="FF0000"/>
          <w:lang w:val="en-US"/>
        </w:rPr>
        <w:t xml:space="preserve">f parts and components in total </w:t>
      </w:r>
      <w:r w:rsidRPr="009A4C28">
        <w:rPr>
          <w:color w:val="FF0000"/>
          <w:lang w:val="en-US"/>
        </w:rPr>
        <w:t>sector trade, as well as the high tariffs (and so large tariff cuts) fo</w:t>
      </w:r>
      <w:r>
        <w:rPr>
          <w:color w:val="FF0000"/>
          <w:lang w:val="en-US"/>
        </w:rPr>
        <w:t xml:space="preserve">r the sector. The high </w:t>
      </w:r>
      <w:r w:rsidRPr="009A4C28">
        <w:rPr>
          <w:color w:val="FF0000"/>
          <w:lang w:val="en-US"/>
        </w:rPr>
        <w:t>tariffs are on the EU side (see Figure 9) while NTBs ar</w:t>
      </w:r>
      <w:r>
        <w:rPr>
          <w:color w:val="FF0000"/>
          <w:lang w:val="en-US"/>
        </w:rPr>
        <w:t xml:space="preserve">e high on both sides (see Table </w:t>
      </w:r>
      <w:r w:rsidRPr="009A4C28">
        <w:rPr>
          <w:color w:val="FF0000"/>
          <w:lang w:val="en-US"/>
        </w:rPr>
        <w:t>2).</w:t>
      </w:r>
    </w:p>
    <w:p w:rsidR="00AF62E6" w:rsidRDefault="00AF62E6" w:rsidP="00AF62E6">
      <w:pPr>
        <w:pStyle w:val="NormalWeb"/>
        <w:jc w:val="both"/>
        <w:rPr>
          <w:color w:val="FF0000"/>
          <w:lang w:val="en-US"/>
        </w:rPr>
      </w:pPr>
    </w:p>
    <w:p w:rsidR="00AF62E6" w:rsidRPr="00692283" w:rsidRDefault="00AF62E6" w:rsidP="00AF62E6">
      <w:pPr>
        <w:pStyle w:val="NormalWeb"/>
        <w:jc w:val="both"/>
        <w:rPr>
          <w:b/>
          <w:lang w:val="en-US"/>
        </w:rPr>
      </w:pPr>
      <w:r w:rsidRPr="00692283">
        <w:rPr>
          <w:b/>
          <w:lang w:val="en-US"/>
        </w:rPr>
        <w:t>Sustainability Impacts</w:t>
      </w:r>
    </w:p>
    <w:p w:rsidR="00AF62E6" w:rsidRPr="00692283" w:rsidRDefault="00AF62E6" w:rsidP="00AF62E6">
      <w:pPr>
        <w:pStyle w:val="NormalWeb"/>
        <w:jc w:val="both"/>
        <w:rPr>
          <w:lang w:val="en-US"/>
        </w:rPr>
      </w:pPr>
    </w:p>
    <w:p w:rsidR="00AF62E6" w:rsidRDefault="00AF62E6" w:rsidP="00AF62E6">
      <w:pPr>
        <w:pStyle w:val="NormalWeb"/>
        <w:jc w:val="both"/>
        <w:rPr>
          <w:lang w:val="en-US"/>
        </w:rPr>
      </w:pPr>
      <w:r w:rsidRPr="00692283">
        <w:rPr>
          <w:lang w:val="en-US"/>
        </w:rPr>
        <w:t>In this subchapter, we concentrate on sustainability imp</w:t>
      </w:r>
      <w:r>
        <w:rPr>
          <w:lang w:val="en-US"/>
        </w:rPr>
        <w:t xml:space="preserve">acts resulting from the two FTA </w:t>
      </w:r>
      <w:r w:rsidRPr="00692283">
        <w:rPr>
          <w:lang w:val="en-US"/>
        </w:rPr>
        <w:t>scenarios. First, we focus on the resulting effects on th</w:t>
      </w:r>
      <w:r>
        <w:rPr>
          <w:lang w:val="en-US"/>
        </w:rPr>
        <w:t xml:space="preserve">e labour market with respect to </w:t>
      </w:r>
      <w:r w:rsidRPr="00692283">
        <w:rPr>
          <w:lang w:val="en-US"/>
        </w:rPr>
        <w:t>changes in wages and displacements. Then we discus</w:t>
      </w:r>
      <w:r>
        <w:rPr>
          <w:lang w:val="en-US"/>
        </w:rPr>
        <w:t xml:space="preserve">s the estimated effects on CO2- </w:t>
      </w:r>
      <w:r w:rsidRPr="00692283">
        <w:rPr>
          <w:lang w:val="en-US"/>
        </w:rPr>
        <w:t>emissions and the use of natural resources.</w:t>
      </w:r>
    </w:p>
    <w:p w:rsidR="00AF62E6" w:rsidRDefault="00AF62E6" w:rsidP="00AF62E6">
      <w:pPr>
        <w:pStyle w:val="NormalWeb"/>
        <w:jc w:val="both"/>
        <w:rPr>
          <w:lang w:val="en-US"/>
        </w:rPr>
      </w:pPr>
      <w:r w:rsidRPr="00692283">
        <w:rPr>
          <w:lang w:val="en-US"/>
        </w:rPr>
        <w:t>First, we look at the corresponding estimated cha</w:t>
      </w:r>
      <w:r>
        <w:rPr>
          <w:lang w:val="en-US"/>
        </w:rPr>
        <w:t xml:space="preserve">nges in wages for less and more </w:t>
      </w:r>
      <w:r w:rsidRPr="00692283">
        <w:rPr>
          <w:lang w:val="en-US"/>
        </w:rPr>
        <w:t>skilled labour as a result of liberalizing trade between t</w:t>
      </w:r>
      <w:r>
        <w:rPr>
          <w:lang w:val="en-US"/>
        </w:rPr>
        <w:t xml:space="preserve">he two economies. These effects </w:t>
      </w:r>
      <w:r w:rsidRPr="00692283">
        <w:rPr>
          <w:lang w:val="en-US"/>
        </w:rPr>
        <w:t>are summarized in Table 33 below.</w:t>
      </w:r>
    </w:p>
    <w:p w:rsidR="00AF62E6" w:rsidRDefault="00AF62E6" w:rsidP="00AF62E6">
      <w:pPr>
        <w:pStyle w:val="NormalWeb"/>
        <w:jc w:val="both"/>
        <w:rPr>
          <w:lang w:val="en-US"/>
        </w:rPr>
      </w:pPr>
    </w:p>
    <w:p w:rsidR="00AF62E6" w:rsidRDefault="00AF62E6" w:rsidP="00AF62E6">
      <w:pPr>
        <w:pStyle w:val="NormalWeb"/>
        <w:jc w:val="both"/>
        <w:rPr>
          <w:lang w:val="en-US"/>
        </w:rPr>
      </w:pPr>
      <w:r>
        <w:rPr>
          <w:noProof/>
          <w:lang w:val="en-GB" w:eastAsia="en-GB"/>
        </w:rPr>
        <w:drawing>
          <wp:inline distT="0" distB="0" distL="0" distR="0">
            <wp:extent cx="5397500" cy="22542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254250"/>
                    </a:xfrm>
                    <a:prstGeom prst="rect">
                      <a:avLst/>
                    </a:prstGeom>
                    <a:noFill/>
                    <a:ln>
                      <a:noFill/>
                    </a:ln>
                  </pic:spPr>
                </pic:pic>
              </a:graphicData>
            </a:graphic>
          </wp:inline>
        </w:drawing>
      </w:r>
    </w:p>
    <w:p w:rsidR="00AF62E6" w:rsidRDefault="00AF62E6" w:rsidP="00AF62E6">
      <w:pPr>
        <w:pStyle w:val="NormalWeb"/>
        <w:jc w:val="both"/>
        <w:rPr>
          <w:color w:val="FF0000"/>
          <w:lang w:val="en-US"/>
        </w:rPr>
      </w:pPr>
      <w:r w:rsidRPr="007E74BA">
        <w:rPr>
          <w:color w:val="FF0000"/>
          <w:lang w:val="en-US"/>
        </w:rPr>
        <w:t xml:space="preserve">The resulting effects on wages for the both the EU and the US are positive. All estimated changes are equal to or less than 0.5 per cent of the wage rate. The changes in wages are shown to be similar for both skilled and unskilled labour with the impact being marginally lower for skilled workers. The ambitious experiment results in somewhat higher changes for the EU. The wage effects are in line with changes in GDP in Table 6 and Table 16, and so are consistent with an interpretation of general cost savings that lead to productivity gains as firms operate with lower tariff and NTB-related costs for transatlantic commerce. It should be stressed that the model is a long-run model, where sources of employment and unemployment are “structural” (rather than cyclical). In this sense, changes in labour demand are captured through wage changes (in this case rising wages). As wages increase in the experiments, this means a </w:t>
      </w:r>
      <w:r w:rsidRPr="007E74BA">
        <w:rPr>
          <w:color w:val="FF0000"/>
          <w:lang w:val="en-US"/>
        </w:rPr>
        <w:lastRenderedPageBreak/>
        <w:t>rising demand for labour, so that under a flexible labour supply specification, employment would increase instead.</w:t>
      </w:r>
    </w:p>
    <w:p w:rsidR="00AF62E6" w:rsidRDefault="00AF62E6" w:rsidP="00AF62E6">
      <w:pPr>
        <w:pStyle w:val="NormalWeb"/>
        <w:jc w:val="both"/>
        <w:rPr>
          <w:color w:val="FF0000"/>
          <w:lang w:val="en-US"/>
        </w:rPr>
      </w:pPr>
    </w:p>
    <w:p w:rsidR="00AF62E6" w:rsidRPr="007E74BA" w:rsidRDefault="00AF62E6" w:rsidP="00AF62E6">
      <w:pPr>
        <w:pStyle w:val="NormalWeb"/>
        <w:jc w:val="both"/>
        <w:rPr>
          <w:color w:val="FF0000"/>
          <w:lang w:val="en-US"/>
        </w:rPr>
      </w:pPr>
      <w:r w:rsidRPr="007E74BA">
        <w:rPr>
          <w:lang w:val="en-US"/>
        </w:rPr>
        <w:t>Table 34, Table 35, Table 35, and Table 37 report det</w:t>
      </w:r>
      <w:r>
        <w:rPr>
          <w:lang w:val="en-US"/>
        </w:rPr>
        <w:t xml:space="preserve">ailed employment effects across </w:t>
      </w:r>
      <w:r w:rsidRPr="007E74BA">
        <w:rPr>
          <w:lang w:val="en-US"/>
        </w:rPr>
        <w:t>sectors under the ambitious comprehensive scenario. As we are not modeling long run</w:t>
      </w:r>
      <w:r>
        <w:rPr>
          <w:lang w:val="en-US"/>
        </w:rPr>
        <w:t xml:space="preserve"> </w:t>
      </w:r>
      <w:r w:rsidRPr="007E74BA">
        <w:rPr>
          <w:lang w:val="en-US"/>
        </w:rPr>
        <w:t>unemployment rates, these are reallocation effects acros</w:t>
      </w:r>
      <w:r>
        <w:rPr>
          <w:lang w:val="en-US"/>
        </w:rPr>
        <w:t xml:space="preserve">s sectors. </w:t>
      </w:r>
      <w:r w:rsidRPr="007E74BA">
        <w:rPr>
          <w:color w:val="FF0000"/>
          <w:lang w:val="en-US"/>
        </w:rPr>
        <w:t>In the EU, the motor vehicle sector sees employment expand by 1.28 per cent for skilled labor, and 1.27 per cent or less skilled labor. In contrast, there is a significant contraction in the electrical machinery and metals sectors. Mirroring this pattern, in the US the motor vehicle sector sees falling employment, and the metals and metal products sector sees a rise. In the US, like the EU, the electrical machinery sector contracts in terms of employment.</w:t>
      </w:r>
    </w:p>
    <w:p w:rsidR="00AF62E6" w:rsidRDefault="00AF62E6" w:rsidP="00AF62E6">
      <w:pPr>
        <w:pStyle w:val="NormalWeb"/>
        <w:jc w:val="both"/>
        <w:rPr>
          <w:color w:val="FF0000"/>
          <w:lang w:val="en-US"/>
        </w:rPr>
      </w:pPr>
      <w:r w:rsidRPr="007E74BA">
        <w:rPr>
          <w:color w:val="FF0000"/>
          <w:lang w:val="en-US"/>
        </w:rPr>
        <w:t>Combined with rising wages, the pattern in the tables suggests that the expansion of other sectors (motor vehicles in the EU for example, and other machinery and transport equipment in the US) pulls workers out of the sectors that then contract, by offering higher wages.</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6007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6007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6578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6578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56769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6769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lastRenderedPageBreak/>
        <w:drawing>
          <wp:inline distT="0" distB="0" distL="0" distR="0">
            <wp:extent cx="5397500" cy="528955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2895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31813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18135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34544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4544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r>
        <w:rPr>
          <w:noProof/>
          <w:color w:val="FF0000"/>
          <w:lang w:val="en-GB" w:eastAsia="en-GB"/>
        </w:rPr>
        <w:drawing>
          <wp:inline distT="0" distB="0" distL="0" distR="0">
            <wp:extent cx="5397500" cy="366395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663950"/>
                    </a:xfrm>
                    <a:prstGeom prst="rect">
                      <a:avLst/>
                    </a:prstGeom>
                    <a:noFill/>
                    <a:ln>
                      <a:noFill/>
                    </a:ln>
                  </pic:spPr>
                </pic:pic>
              </a:graphicData>
            </a:graphic>
          </wp:inline>
        </w:drawing>
      </w:r>
    </w:p>
    <w:p w:rsidR="00AF62E6" w:rsidRDefault="00AF62E6" w:rsidP="00AF62E6">
      <w:pPr>
        <w:pStyle w:val="NormalWeb"/>
        <w:jc w:val="both"/>
        <w:rPr>
          <w:color w:val="FF0000"/>
          <w:lang w:val="en-US"/>
        </w:rPr>
      </w:pPr>
      <w:r>
        <w:rPr>
          <w:noProof/>
          <w:color w:val="FF0000"/>
          <w:lang w:val="en-GB" w:eastAsia="en-GB"/>
        </w:rPr>
        <w:lastRenderedPageBreak/>
        <w:drawing>
          <wp:inline distT="0" distB="0" distL="0" distR="0">
            <wp:extent cx="5397500" cy="330200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302000"/>
                    </a:xfrm>
                    <a:prstGeom prst="rect">
                      <a:avLst/>
                    </a:prstGeom>
                    <a:noFill/>
                    <a:ln>
                      <a:noFill/>
                    </a:ln>
                  </pic:spPr>
                </pic:pic>
              </a:graphicData>
            </a:graphic>
          </wp:inline>
        </w:drawing>
      </w:r>
    </w:p>
    <w:p w:rsidR="00AF62E6" w:rsidRDefault="00AF62E6" w:rsidP="00AF62E6">
      <w:pPr>
        <w:pStyle w:val="NormalWeb"/>
        <w:jc w:val="both"/>
        <w:rPr>
          <w:color w:val="FF0000"/>
          <w:lang w:val="en-US"/>
        </w:rPr>
      </w:pPr>
    </w:p>
    <w:p w:rsidR="00AF62E6" w:rsidRPr="00B62CCB" w:rsidRDefault="00AF62E6" w:rsidP="00AF62E6">
      <w:pPr>
        <w:pStyle w:val="NormalWeb"/>
        <w:jc w:val="both"/>
        <w:rPr>
          <w:b/>
          <w:lang w:val="en-US"/>
        </w:rPr>
      </w:pPr>
      <w:r w:rsidRPr="00B62CCB">
        <w:rPr>
          <w:b/>
          <w:lang w:val="en-US"/>
        </w:rPr>
        <w:t>Conclusion</w:t>
      </w:r>
      <w:r>
        <w:rPr>
          <w:b/>
          <w:lang w:val="en-US"/>
        </w:rPr>
        <w:t>s</w:t>
      </w:r>
    </w:p>
    <w:p w:rsidR="00AF62E6" w:rsidRDefault="00AF62E6" w:rsidP="00AF62E6">
      <w:pPr>
        <w:pStyle w:val="NormalWeb"/>
        <w:jc w:val="both"/>
        <w:rPr>
          <w:lang w:val="en-US"/>
        </w:rPr>
      </w:pPr>
    </w:p>
    <w:p w:rsidR="00AF62E6" w:rsidRPr="003C6806" w:rsidRDefault="00AF62E6" w:rsidP="00AF62E6">
      <w:pPr>
        <w:pStyle w:val="NormalWeb"/>
        <w:jc w:val="both"/>
        <w:rPr>
          <w:color w:val="FF0000"/>
          <w:lang w:val="en-US"/>
        </w:rPr>
      </w:pPr>
      <w:r w:rsidRPr="00B62CCB">
        <w:rPr>
          <w:lang w:val="en-US"/>
        </w:rPr>
        <w:t>This study provides new estimates of the economy wide impac</w:t>
      </w:r>
      <w:r>
        <w:rPr>
          <w:lang w:val="en-US"/>
        </w:rPr>
        <w:t xml:space="preserve">t of removing both </w:t>
      </w:r>
      <w:r w:rsidRPr="00B62CCB">
        <w:rPr>
          <w:lang w:val="en-US"/>
        </w:rPr>
        <w:t>tariff and non-tariff barriers to transatlantic trade bet</w:t>
      </w:r>
      <w:r>
        <w:rPr>
          <w:lang w:val="en-US"/>
        </w:rPr>
        <w:t xml:space="preserve">ween the EU and the US. Several </w:t>
      </w:r>
      <w:r w:rsidRPr="00B62CCB">
        <w:rPr>
          <w:lang w:val="en-US"/>
        </w:rPr>
        <w:t>scenarios are analysed in the report. On the one hand spe</w:t>
      </w:r>
      <w:r>
        <w:rPr>
          <w:lang w:val="en-US"/>
        </w:rPr>
        <w:t xml:space="preserve">cific trade liberalisation with </w:t>
      </w:r>
      <w:r w:rsidRPr="00B62CCB">
        <w:rPr>
          <w:lang w:val="en-US"/>
        </w:rPr>
        <w:t xml:space="preserve">regards to tariffs only, services only or procurement only </w:t>
      </w:r>
      <w:r>
        <w:rPr>
          <w:lang w:val="en-US"/>
        </w:rPr>
        <w:t xml:space="preserve">is discussed. On the other </w:t>
      </w:r>
      <w:r w:rsidRPr="00B62CCB">
        <w:rPr>
          <w:lang w:val="en-US"/>
        </w:rPr>
        <w:t>hand, the option of comprehensive trade and investment</w:t>
      </w:r>
      <w:r>
        <w:rPr>
          <w:lang w:val="en-US"/>
        </w:rPr>
        <w:t xml:space="preserve"> liberalisation is scrutinised. </w:t>
      </w:r>
      <w:r w:rsidRPr="003C6806">
        <w:rPr>
          <w:color w:val="FF0000"/>
          <w:lang w:val="en-US"/>
        </w:rPr>
        <w:t>The first FTA scenario, a moderately ambitious FTA assumed a 10 per cent reduction in NTBs-related costs and an “almost full” elimination of tariffs. The second, ambitious FTA scenario assumes the elimination of 25 per cent of costs linked to NTBs together with full tariff elimination.</w:t>
      </w:r>
    </w:p>
    <w:p w:rsidR="00AF62E6" w:rsidRPr="00B62CCB" w:rsidRDefault="00AF62E6" w:rsidP="00AF62E6">
      <w:pPr>
        <w:pStyle w:val="NormalWeb"/>
        <w:jc w:val="both"/>
        <w:rPr>
          <w:lang w:val="en-US"/>
        </w:rPr>
      </w:pPr>
    </w:p>
    <w:p w:rsidR="00AF62E6" w:rsidRPr="00B62CCB" w:rsidRDefault="00AF62E6" w:rsidP="00AF62E6">
      <w:pPr>
        <w:pStyle w:val="NormalWeb"/>
        <w:jc w:val="both"/>
        <w:rPr>
          <w:color w:val="FF0000"/>
          <w:lang w:val="en-US"/>
        </w:rPr>
      </w:pPr>
      <w:r w:rsidRPr="00B62CCB">
        <w:rPr>
          <w:color w:val="FF0000"/>
          <w:lang w:val="en-US"/>
        </w:rPr>
        <w:t>The results indicate positive and significant gains for both the EU and the US. GDP is estimated to increase by 68-119 billion euros for EU and 50-95 billion euros for the US (under the less ambitious and the ambitious FTA scenarios, respectively). However, if the trade initiative would be limited to tariff liberalisation only, or services or procurement liberalisation only, the estimated gains would be significantly lower. An FTA limited to tariff liberalisation would lead to 24 billion euros increase in GDP for the EU and 9 billion euros increase for the US. Thus implementing a comprehensive FTA would bring greater benefits to both economies.</w:t>
      </w:r>
    </w:p>
    <w:p w:rsidR="00AF62E6" w:rsidRPr="00B62CCB" w:rsidRDefault="00AF62E6" w:rsidP="00AF62E6">
      <w:pPr>
        <w:pStyle w:val="NormalWeb"/>
        <w:jc w:val="both"/>
        <w:rPr>
          <w:lang w:val="en-US"/>
        </w:rPr>
      </w:pPr>
    </w:p>
    <w:p w:rsidR="00AF62E6" w:rsidRPr="00B62CCB" w:rsidRDefault="00AF62E6" w:rsidP="00AF62E6">
      <w:pPr>
        <w:pStyle w:val="NormalWeb"/>
        <w:jc w:val="both"/>
        <w:rPr>
          <w:color w:val="FF0000"/>
          <w:lang w:val="en-US"/>
        </w:rPr>
      </w:pPr>
      <w:r w:rsidRPr="00B62CCB">
        <w:rPr>
          <w:color w:val="FF0000"/>
          <w:lang w:val="en-US"/>
        </w:rPr>
        <w:t>A core message following from our results is that a focus on NTBs is critical to the logic of transatlantic liberalization. Different approaches to the same regulatory challenges can have the unintended consequence of increasing costs for firms, and so dragging down labour productivity. Negotiation on NTBs provides the opportunity to pursue a mix of cross-recognition and regulatory convergence to reduce these barriers. The estimates reported here point to substantial gains, if reductions in the costs of NTBs can be achieved. Limiting the exercise to tariffs alone would lead to positive effects, but these would be much more limited leaving a huge potential for economic and welfare gains untapped.</w:t>
      </w:r>
    </w:p>
    <w:p w:rsidR="00AF62E6" w:rsidRPr="00B62CCB" w:rsidRDefault="00AF62E6" w:rsidP="00AF62E6">
      <w:pPr>
        <w:pStyle w:val="NormalWeb"/>
        <w:jc w:val="both"/>
        <w:rPr>
          <w:color w:val="FF0000"/>
          <w:lang w:val="en-US"/>
        </w:rPr>
      </w:pPr>
      <w:r w:rsidRPr="00B62CCB">
        <w:rPr>
          <w:color w:val="FF0000"/>
          <w:lang w:val="en-US"/>
        </w:rPr>
        <w:lastRenderedPageBreak/>
        <w:t>In terms of labour market impacts, wage effects are in line with changes in output and so are consistent with an interpretation of general cost savings that lead to productivity gains as firms operate with lower NTB-related costs for transatlantic commerce. It should be stressed that the model is a long-run model, where sources of employment and unemployment are “structural.” In this sense, changes in labour demand are captured through wage changes (in this case rising wages) rather than aggregate employment levels. As wages increase in the experiments, this means a rising demand for labour. At sector level, roughly 0.2 to 0.5 per cent of the EU labour force (in terms of allocation across sectors) is de-located. However, this is due to “pull factors” as expanding sectors (like motor vehicles in the case of the EU) hire workers away from other sectors (like metals).</w:t>
      </w:r>
    </w:p>
    <w:p w:rsidR="00AF62E6" w:rsidRPr="00B62CCB" w:rsidRDefault="00AF62E6" w:rsidP="00AF62E6">
      <w:pPr>
        <w:pStyle w:val="NormalWeb"/>
        <w:jc w:val="both"/>
        <w:rPr>
          <w:lang w:val="en-US"/>
        </w:rPr>
      </w:pPr>
    </w:p>
    <w:p w:rsidR="00AF62E6" w:rsidRPr="00B62CCB" w:rsidRDefault="00AF62E6" w:rsidP="00AF62E6">
      <w:pPr>
        <w:pStyle w:val="NormalWeb"/>
        <w:jc w:val="both"/>
        <w:rPr>
          <w:lang w:val="en-US"/>
        </w:rPr>
      </w:pPr>
      <w:r w:rsidRPr="003C6806">
        <w:rPr>
          <w:color w:val="FF0000"/>
          <w:lang w:val="en-US"/>
        </w:rPr>
        <w:t xml:space="preserve">The impact on the rest of the world is estimated to be positive and amounts to a total of approximately 99 billion euros as an upper bound in the ambitious FTA scenario. </w:t>
      </w:r>
      <w:r w:rsidRPr="00B62CCB">
        <w:rPr>
          <w:lang w:val="en-US"/>
        </w:rPr>
        <w:t>The EU and US, collectively, are a huge economic for</w:t>
      </w:r>
      <w:r>
        <w:rPr>
          <w:lang w:val="en-US"/>
        </w:rPr>
        <w:t xml:space="preserve">ce. To the extent that they can </w:t>
      </w:r>
      <w:r w:rsidRPr="00B62CCB">
        <w:rPr>
          <w:lang w:val="en-US"/>
        </w:rPr>
        <w:t>work together to better promote establishment and r</w:t>
      </w:r>
      <w:r>
        <w:rPr>
          <w:lang w:val="en-US"/>
        </w:rPr>
        <w:t xml:space="preserve">ecognition in standards, reduce </w:t>
      </w:r>
      <w:r w:rsidRPr="00B62CCB">
        <w:rPr>
          <w:lang w:val="en-US"/>
        </w:rPr>
        <w:t>regulatory divergence, and otherwise reduce the impact on rules and</w:t>
      </w:r>
      <w:r>
        <w:rPr>
          <w:lang w:val="en-US"/>
        </w:rPr>
        <w:t xml:space="preserve"> regulations on </w:t>
      </w:r>
      <w:r w:rsidRPr="00B62CCB">
        <w:rPr>
          <w:lang w:val="en-US"/>
        </w:rPr>
        <w:t>the cost of business, it is likely that parts of such a fr</w:t>
      </w:r>
      <w:r>
        <w:rPr>
          <w:lang w:val="en-US"/>
        </w:rPr>
        <w:t xml:space="preserve">amework (for example recognized </w:t>
      </w:r>
      <w:r w:rsidRPr="00B62CCB">
        <w:rPr>
          <w:lang w:val="en-US"/>
        </w:rPr>
        <w:t>product or safety standards) will be adopted elsewhere,</w:t>
      </w:r>
      <w:r>
        <w:rPr>
          <w:lang w:val="en-US"/>
        </w:rPr>
        <w:t xml:space="preserve"> reducing trade costs for third </w:t>
      </w:r>
      <w:r w:rsidRPr="00B62CCB">
        <w:rPr>
          <w:lang w:val="en-US"/>
        </w:rPr>
        <w:t>markets, which is captured in the model by introducing spill-ov</w:t>
      </w:r>
      <w:r>
        <w:rPr>
          <w:lang w:val="en-US"/>
        </w:rPr>
        <w:t xml:space="preserve">ers to the simulations. </w:t>
      </w:r>
      <w:r w:rsidRPr="00B62CCB">
        <w:rPr>
          <w:lang w:val="en-US"/>
        </w:rPr>
        <w:t>To the extent the EU and US together drive global s</w:t>
      </w:r>
      <w:r>
        <w:rPr>
          <w:lang w:val="en-US"/>
        </w:rPr>
        <w:t xml:space="preserve">tandards, this has potential to </w:t>
      </w:r>
      <w:r w:rsidRPr="00B62CCB">
        <w:rPr>
          <w:lang w:val="en-US"/>
        </w:rPr>
        <w:t>promote economic gains across the globe.</w:t>
      </w:r>
    </w:p>
    <w:p w:rsidR="00AF62E6" w:rsidRDefault="00AF62E6" w:rsidP="00AF62E6">
      <w:pPr>
        <w:pStyle w:val="NormalWeb"/>
        <w:jc w:val="both"/>
        <w:rPr>
          <w:lang w:val="en-US"/>
        </w:rPr>
      </w:pPr>
    </w:p>
    <w:p w:rsidR="00AF62E6" w:rsidRDefault="00AF62E6" w:rsidP="00AF62E6">
      <w:pPr>
        <w:pStyle w:val="NormalWeb"/>
        <w:jc w:val="both"/>
        <w:rPr>
          <w:color w:val="FF0000"/>
          <w:lang w:val="en-US"/>
        </w:rPr>
      </w:pPr>
      <w:r w:rsidRPr="00B62CCB">
        <w:rPr>
          <w:color w:val="FF0000"/>
          <w:lang w:val="en-US"/>
        </w:rPr>
        <w:t>Depending on the approach followed, EU-US trade liberalisation has the potential to make a positive contribution not only to the transatlantic economy but also to the global economy</w:t>
      </w:r>
      <w:r>
        <w:rPr>
          <w:color w:val="FF0000"/>
          <w:lang w:val="en-US"/>
        </w:rPr>
        <w:t>…</w:t>
      </w: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pStyle w:val="NormalWeb"/>
        <w:jc w:val="both"/>
        <w:rPr>
          <w:color w:val="FF0000"/>
          <w:lang w:val="en-US"/>
        </w:rPr>
      </w:pPr>
    </w:p>
    <w:p w:rsidR="00AF62E6" w:rsidRDefault="00AF62E6" w:rsidP="00AF62E6">
      <w:pPr>
        <w:shd w:val="clear" w:color="auto" w:fill="FAFAFA"/>
        <w:spacing w:before="100" w:beforeAutospacing="1" w:after="360" w:line="240" w:lineRule="auto"/>
        <w:jc w:val="both"/>
        <w:rPr>
          <w:rFonts w:ascii="Times New Roman" w:hAnsi="Times New Roman" w:cs="Times New Roman"/>
          <w:b/>
          <w:sz w:val="24"/>
          <w:szCs w:val="24"/>
        </w:rPr>
      </w:pPr>
      <w:r w:rsidRPr="00924150">
        <w:rPr>
          <w:rFonts w:ascii="Times New Roman" w:hAnsi="Times New Roman" w:cs="Times New Roman"/>
          <w:b/>
          <w:sz w:val="24"/>
          <w:szCs w:val="24"/>
        </w:rPr>
        <w:lastRenderedPageBreak/>
        <w:t>Informe</w:t>
      </w:r>
      <w:r>
        <w:rPr>
          <w:rFonts w:ascii="Times New Roman" w:hAnsi="Times New Roman" w:cs="Times New Roman"/>
          <w:b/>
          <w:sz w:val="24"/>
          <w:szCs w:val="24"/>
        </w:rPr>
        <w:t>:</w:t>
      </w:r>
      <w:r w:rsidRPr="00924150">
        <w:rPr>
          <w:rFonts w:ascii="Times New Roman" w:hAnsi="Times New Roman" w:cs="Times New Roman"/>
          <w:b/>
          <w:sz w:val="24"/>
          <w:szCs w:val="24"/>
        </w:rPr>
        <w:t xml:space="preserve"> El acuerdo transatlánti</w:t>
      </w:r>
      <w:r w:rsidR="00094425">
        <w:rPr>
          <w:rFonts w:ascii="Times New Roman" w:hAnsi="Times New Roman" w:cs="Times New Roman"/>
          <w:b/>
          <w:sz w:val="24"/>
          <w:szCs w:val="24"/>
        </w:rPr>
        <w:t>co sobre comercio e inversión (M</w:t>
      </w:r>
      <w:r w:rsidRPr="00924150">
        <w:rPr>
          <w:rFonts w:ascii="Times New Roman" w:hAnsi="Times New Roman" w:cs="Times New Roman"/>
          <w:b/>
          <w:sz w:val="24"/>
          <w:szCs w:val="24"/>
        </w:rPr>
        <w:t xml:space="preserve">ayo 2014) - John Hilary </w:t>
      </w:r>
    </w:p>
    <w:p w:rsidR="00AF62E6" w:rsidRPr="00A649AB" w:rsidRDefault="00AF62E6" w:rsidP="00AF62E6">
      <w:pPr>
        <w:shd w:val="clear" w:color="auto" w:fill="FAFAFA"/>
        <w:spacing w:before="100" w:beforeAutospacing="1" w:after="360" w:line="240" w:lineRule="auto"/>
        <w:jc w:val="both"/>
        <w:rPr>
          <w:rFonts w:ascii="Times New Roman" w:hAnsi="Times New Roman" w:cs="Times New Roman"/>
          <w:sz w:val="24"/>
          <w:szCs w:val="24"/>
        </w:rPr>
      </w:pPr>
      <w:r w:rsidRPr="00A649AB">
        <w:rPr>
          <w:rFonts w:ascii="Times New Roman" w:hAnsi="Times New Roman" w:cs="Times New Roman"/>
          <w:sz w:val="24"/>
          <w:szCs w:val="24"/>
        </w:rPr>
        <w:t>(Reproducción parcial)</w:t>
      </w:r>
    </w:p>
    <w:p w:rsidR="00AF62E6" w:rsidRDefault="00AF62E6" w:rsidP="00AF62E6">
      <w:pPr>
        <w:shd w:val="clear" w:color="auto" w:fill="FAFAFA"/>
        <w:spacing w:before="100" w:beforeAutospacing="1" w:after="360" w:line="240" w:lineRule="auto"/>
        <w:jc w:val="both"/>
        <w:rPr>
          <w:rFonts w:ascii="Times New Roman" w:hAnsi="Times New Roman" w:cs="Times New Roman"/>
          <w:b/>
          <w:sz w:val="24"/>
          <w:szCs w:val="24"/>
        </w:rPr>
      </w:pPr>
      <w:r w:rsidRPr="002E7958">
        <w:rPr>
          <w:rFonts w:ascii="Times New Roman" w:hAnsi="Times New Roman" w:cs="Times New Roman"/>
          <w:b/>
          <w:bCs/>
          <w:sz w:val="24"/>
          <w:szCs w:val="24"/>
        </w:rPr>
        <w:t>Resumen</w:t>
      </w:r>
    </w:p>
    <w:p w:rsidR="00AF62E6" w:rsidRPr="00622E1A" w:rsidRDefault="00AF62E6" w:rsidP="00AF62E6">
      <w:pPr>
        <w:shd w:val="clear" w:color="auto" w:fill="FAFAFA"/>
        <w:spacing w:before="100" w:beforeAutospacing="1" w:after="360" w:line="240" w:lineRule="auto"/>
        <w:jc w:val="both"/>
        <w:rPr>
          <w:rFonts w:ascii="Times New Roman" w:hAnsi="Times New Roman" w:cs="Times New Roman"/>
          <w:b/>
          <w:color w:val="FF0000"/>
          <w:sz w:val="24"/>
          <w:szCs w:val="24"/>
        </w:rPr>
      </w:pPr>
      <w:r w:rsidRPr="00622E1A">
        <w:rPr>
          <w:rFonts w:ascii="Times New Roman" w:hAnsi="Times New Roman" w:cs="Times New Roman"/>
          <w:bCs/>
          <w:color w:val="FF0000"/>
          <w:sz w:val="24"/>
          <w:szCs w:val="24"/>
        </w:rPr>
        <w:t>E</w:t>
      </w:r>
      <w:r w:rsidRPr="00622E1A">
        <w:rPr>
          <w:rFonts w:ascii="Times New Roman" w:hAnsi="Times New Roman" w:cs="Times New Roman"/>
          <w:color w:val="FF0000"/>
          <w:sz w:val="24"/>
          <w:szCs w:val="24"/>
        </w:rPr>
        <w:t>l Acuerdo Transatlántico sobre Comercio e Inversión (ATCI o TTIP, por sus siglas en inglés) es un extenso tratado sobre libre comercio e inversión que están negociando (en secreto) la Unión Europea y Estados Unidos</w:t>
      </w:r>
      <w:r w:rsidRPr="002E7958">
        <w:rPr>
          <w:rFonts w:ascii="Times New Roman" w:hAnsi="Times New Roman" w:cs="Times New Roman"/>
          <w:sz w:val="24"/>
          <w:szCs w:val="24"/>
        </w:rPr>
        <w:t>. El presidente Barack Obama fue el primero en anu</w:t>
      </w:r>
      <w:r>
        <w:rPr>
          <w:rFonts w:ascii="Times New Roman" w:hAnsi="Times New Roman" w:cs="Times New Roman"/>
          <w:sz w:val="24"/>
          <w:szCs w:val="24"/>
        </w:rPr>
        <w:t xml:space="preserve">nciar </w:t>
      </w:r>
      <w:r w:rsidRPr="002E7958">
        <w:rPr>
          <w:rFonts w:ascii="Times New Roman" w:hAnsi="Times New Roman" w:cs="Times New Roman"/>
          <w:sz w:val="24"/>
          <w:szCs w:val="24"/>
        </w:rPr>
        <w:t>sus intenciones de emprender las nego</w:t>
      </w:r>
      <w:r>
        <w:rPr>
          <w:rFonts w:ascii="Times New Roman" w:hAnsi="Times New Roman" w:cs="Times New Roman"/>
          <w:sz w:val="24"/>
          <w:szCs w:val="24"/>
        </w:rPr>
        <w:t xml:space="preserve">ciaciones para alcanzar un TTIP </w:t>
      </w:r>
      <w:r w:rsidRPr="002E7958">
        <w:rPr>
          <w:rFonts w:ascii="Times New Roman" w:hAnsi="Times New Roman" w:cs="Times New Roman"/>
          <w:sz w:val="24"/>
          <w:szCs w:val="24"/>
        </w:rPr>
        <w:t>durante su discurso sobre el estado de la</w:t>
      </w:r>
      <w:r>
        <w:rPr>
          <w:rFonts w:ascii="Times New Roman" w:hAnsi="Times New Roman" w:cs="Times New Roman"/>
          <w:sz w:val="24"/>
          <w:szCs w:val="24"/>
        </w:rPr>
        <w:t xml:space="preserve"> unión en febrero de 2013, y en </w:t>
      </w:r>
      <w:r w:rsidRPr="002E7958">
        <w:rPr>
          <w:rFonts w:ascii="Times New Roman" w:hAnsi="Times New Roman" w:cs="Times New Roman"/>
          <w:sz w:val="24"/>
          <w:szCs w:val="24"/>
        </w:rPr>
        <w:t>julio del mismo año tuvo lugar la prime</w:t>
      </w:r>
      <w:r>
        <w:rPr>
          <w:rFonts w:ascii="Times New Roman" w:hAnsi="Times New Roman" w:cs="Times New Roman"/>
          <w:sz w:val="24"/>
          <w:szCs w:val="24"/>
        </w:rPr>
        <w:t xml:space="preserve">ra ronda de negociaciones entre </w:t>
      </w:r>
      <w:r w:rsidRPr="002E7958">
        <w:rPr>
          <w:rFonts w:ascii="Times New Roman" w:hAnsi="Times New Roman" w:cs="Times New Roman"/>
          <w:sz w:val="24"/>
          <w:szCs w:val="24"/>
        </w:rPr>
        <w:t xml:space="preserve">la Comisión Europea y los funcionarios </w:t>
      </w:r>
      <w:r>
        <w:rPr>
          <w:rFonts w:ascii="Times New Roman" w:hAnsi="Times New Roman" w:cs="Times New Roman"/>
          <w:sz w:val="24"/>
          <w:szCs w:val="24"/>
        </w:rPr>
        <w:t xml:space="preserve">estadounidenses. </w:t>
      </w:r>
      <w:r w:rsidRPr="00622E1A">
        <w:rPr>
          <w:rFonts w:ascii="Times New Roman" w:hAnsi="Times New Roman" w:cs="Times New Roman"/>
          <w:color w:val="FF0000"/>
          <w:sz w:val="24"/>
          <w:szCs w:val="24"/>
        </w:rPr>
        <w:t>El objetivo es llevar a cabo las conversaciones lo más rápidamente posible y sin que los detalles lleguen a la opinión pública, con la esperanza de poder cerrar las negociaciones antes de q</w:t>
      </w:r>
      <w:r>
        <w:rPr>
          <w:rFonts w:ascii="Times New Roman" w:hAnsi="Times New Roman" w:cs="Times New Roman"/>
          <w:color w:val="FF0000"/>
          <w:sz w:val="24"/>
          <w:szCs w:val="24"/>
        </w:rPr>
        <w:t xml:space="preserve">ue la ciudadanía en Europa y EEUU </w:t>
      </w:r>
      <w:r w:rsidRPr="00622E1A">
        <w:rPr>
          <w:rFonts w:ascii="Times New Roman" w:hAnsi="Times New Roman" w:cs="Times New Roman"/>
          <w:color w:val="FF0000"/>
          <w:sz w:val="24"/>
          <w:szCs w:val="24"/>
        </w:rPr>
        <w:t>descubra la verdadera envergadura de la amenaza que supone el TTIP.</w:t>
      </w:r>
    </w:p>
    <w:p w:rsidR="00AF62E6" w:rsidRPr="00622E1A"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622E1A">
        <w:rPr>
          <w:rFonts w:ascii="Times New Roman" w:hAnsi="Times New Roman" w:cs="Times New Roman"/>
          <w:color w:val="FF0000"/>
          <w:sz w:val="24"/>
          <w:szCs w:val="24"/>
        </w:rPr>
        <w:t>Como ya han admitido funcionarios de ambas partes, el objetivo principal del TTIP no es estimular el comercio eliminando</w:t>
      </w:r>
      <w:r>
        <w:rPr>
          <w:rFonts w:ascii="Times New Roman" w:hAnsi="Times New Roman" w:cs="Times New Roman"/>
          <w:color w:val="FF0000"/>
          <w:sz w:val="24"/>
          <w:szCs w:val="24"/>
        </w:rPr>
        <w:t xml:space="preserve"> aranceles entre la UE y los EEUU</w:t>
      </w:r>
      <w:r w:rsidRPr="00622E1A">
        <w:rPr>
          <w:rFonts w:ascii="Times New Roman" w:hAnsi="Times New Roman" w:cs="Times New Roman"/>
          <w:color w:val="FF0000"/>
          <w:sz w:val="24"/>
          <w:szCs w:val="24"/>
        </w:rPr>
        <w:t>, pues son tan bajos que apenas pueden reducirse ya. Su principal finalidad es, como ellos mismos han reconocido, eliminar las “barreras” reguladoras que limitan los beneficios potenciales de las corporaciones transnacionales a los dos lados del Atlántico. Ahora bien, estas “barreras” son en realidad algunas de nuestras normativas más preciadas en materia de derechos sociales y medio ambiente, como los derechos laborales, las normas de seguridad alimentaria (incluidas las restricciones a los OGM), las regulaciones sobre el uso de substancias químicas tóxicas, las leyes de protección de la privacidad en internet e incluso las nuevas garantías en el ámbito bancario introducidas para prevenir otra crisis financiera como la de 2008. En otras palabras, no podría haber más en juego.</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622E1A"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622E1A">
        <w:rPr>
          <w:rFonts w:ascii="Times New Roman" w:hAnsi="Times New Roman" w:cs="Times New Roman"/>
          <w:color w:val="FF0000"/>
          <w:sz w:val="24"/>
          <w:szCs w:val="24"/>
        </w:rPr>
        <w:t>Además de su programa desregulador, el TTIP también anhela crear nuevos mercados abriendo el sector de los servicios públicos y la contratación pública a las empresas transnacionales, lo que amenaza con provocar nuevas olas de privatizaciones en sectores clave como la sanidad o la educación. Lo más preocupante es que el TTIP pretende conceder a los inversores extranjeros el derecho de demandar a gobiernos soberanos frente a tribunales de arbitraje ad hoc para reclamar pérdidas de beneficios derivadas de decisiones sobre política pública. En la práctica, este mecanismo de resolución de disputas entre inversores y Estados eleva el capital transnacional a un estatus equiparable al del Estado nación y amenaza con minar los principios más básicos de la democraci</w:t>
      </w:r>
      <w:r>
        <w:rPr>
          <w:rFonts w:ascii="Times New Roman" w:hAnsi="Times New Roman" w:cs="Times New Roman"/>
          <w:color w:val="FF0000"/>
          <w:sz w:val="24"/>
          <w:szCs w:val="24"/>
        </w:rPr>
        <w:t>a tanto en la UE como en los EE</w:t>
      </w:r>
      <w:r w:rsidRPr="00622E1A">
        <w:rPr>
          <w:rFonts w:ascii="Times New Roman" w:hAnsi="Times New Roman" w:cs="Times New Roman"/>
          <w:color w:val="FF0000"/>
          <w:sz w:val="24"/>
          <w:szCs w:val="24"/>
        </w:rPr>
        <w:t>UU.</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622E1A">
        <w:rPr>
          <w:rFonts w:ascii="Times New Roman" w:hAnsi="Times New Roman" w:cs="Times New Roman"/>
          <w:color w:val="FF0000"/>
          <w:sz w:val="24"/>
          <w:szCs w:val="24"/>
        </w:rPr>
        <w:t>Así pues, el TTIP no debe entenderse como un acuerdo entre dos socios comerciales competidores, sino como un intento por parte de las empresas transnacionales de abrir y desregular mercados a los dos lados del Atlántico</w:t>
      </w:r>
      <w:r w:rsidRPr="002E7958">
        <w:rPr>
          <w:rFonts w:ascii="Times New Roman" w:hAnsi="Times New Roman" w:cs="Times New Roman"/>
          <w:sz w:val="24"/>
          <w:szCs w:val="24"/>
        </w:rPr>
        <w:t>. Las amenazas que supone este tratado están suscitando</w:t>
      </w:r>
      <w:r>
        <w:rPr>
          <w:rFonts w:ascii="Times New Roman" w:hAnsi="Times New Roman" w:cs="Times New Roman"/>
          <w:sz w:val="24"/>
          <w:szCs w:val="24"/>
        </w:rPr>
        <w:t xml:space="preserve"> </w:t>
      </w:r>
      <w:r w:rsidRPr="002E7958">
        <w:rPr>
          <w:rFonts w:ascii="Times New Roman" w:hAnsi="Times New Roman" w:cs="Times New Roman"/>
          <w:sz w:val="24"/>
          <w:szCs w:val="24"/>
        </w:rPr>
        <w:t>cada vez más preocupación entre la ciud</w:t>
      </w:r>
      <w:r>
        <w:rPr>
          <w:rFonts w:ascii="Times New Roman" w:hAnsi="Times New Roman" w:cs="Times New Roman"/>
          <w:sz w:val="24"/>
          <w:szCs w:val="24"/>
        </w:rPr>
        <w:t xml:space="preserve">adanía de la UE y los EEUU, y </w:t>
      </w:r>
      <w:r w:rsidRPr="002E7958">
        <w:rPr>
          <w:rFonts w:ascii="Times New Roman" w:hAnsi="Times New Roman" w:cs="Times New Roman"/>
          <w:sz w:val="24"/>
          <w:szCs w:val="24"/>
        </w:rPr>
        <w:t xml:space="preserve">algunos grupos de la sociedad civil están </w:t>
      </w:r>
      <w:r>
        <w:rPr>
          <w:rFonts w:ascii="Times New Roman" w:hAnsi="Times New Roman" w:cs="Times New Roman"/>
          <w:sz w:val="24"/>
          <w:szCs w:val="24"/>
        </w:rPr>
        <w:t xml:space="preserve">aunando fuerzas con académicos, </w:t>
      </w:r>
      <w:r w:rsidRPr="002E7958">
        <w:rPr>
          <w:rFonts w:ascii="Times New Roman" w:hAnsi="Times New Roman" w:cs="Times New Roman"/>
          <w:sz w:val="24"/>
          <w:szCs w:val="24"/>
        </w:rPr>
        <w:t>parlamentarios y otras personas para evitar que fu</w:t>
      </w:r>
      <w:r>
        <w:rPr>
          <w:rFonts w:ascii="Times New Roman" w:hAnsi="Times New Roman" w:cs="Times New Roman"/>
          <w:sz w:val="24"/>
          <w:szCs w:val="24"/>
        </w:rPr>
        <w:t xml:space="preserve">ncionarios del </w:t>
      </w:r>
      <w:r w:rsidRPr="002E7958">
        <w:rPr>
          <w:rFonts w:ascii="Times New Roman" w:hAnsi="Times New Roman" w:cs="Times New Roman"/>
          <w:sz w:val="24"/>
          <w:szCs w:val="24"/>
        </w:rPr>
        <w:t xml:space="preserve">gobierno pro-empresariales renuncien a </w:t>
      </w:r>
      <w:r>
        <w:rPr>
          <w:rFonts w:ascii="Times New Roman" w:hAnsi="Times New Roman" w:cs="Times New Roman"/>
          <w:sz w:val="24"/>
          <w:szCs w:val="24"/>
        </w:rPr>
        <w:t xml:space="preserve">las normativas clave en materia </w:t>
      </w:r>
      <w:r w:rsidRPr="002E7958">
        <w:rPr>
          <w:rFonts w:ascii="Times New Roman" w:hAnsi="Times New Roman" w:cs="Times New Roman"/>
          <w:sz w:val="24"/>
          <w:szCs w:val="24"/>
        </w:rPr>
        <w:t>social y medioambiental anteriorment</w:t>
      </w:r>
      <w:r>
        <w:rPr>
          <w:rFonts w:ascii="Times New Roman" w:hAnsi="Times New Roman" w:cs="Times New Roman"/>
          <w:sz w:val="24"/>
          <w:szCs w:val="24"/>
        </w:rPr>
        <w:t xml:space="preserve">e mencionadas. Se anima a todas </w:t>
      </w:r>
      <w:r w:rsidRPr="002E7958">
        <w:rPr>
          <w:rFonts w:ascii="Times New Roman" w:hAnsi="Times New Roman" w:cs="Times New Roman"/>
          <w:sz w:val="24"/>
          <w:szCs w:val="24"/>
        </w:rPr>
        <w:t xml:space="preserve">las personas a oponerse al TTIP, </w:t>
      </w:r>
      <w:r w:rsidRPr="002E7958">
        <w:rPr>
          <w:rFonts w:ascii="Times New Roman" w:hAnsi="Times New Roman" w:cs="Times New Roman"/>
          <w:sz w:val="24"/>
          <w:szCs w:val="24"/>
        </w:rPr>
        <w:lastRenderedPageBreak/>
        <w:t>poniéndo</w:t>
      </w:r>
      <w:r>
        <w:rPr>
          <w:rFonts w:ascii="Times New Roman" w:hAnsi="Times New Roman" w:cs="Times New Roman"/>
          <w:sz w:val="24"/>
          <w:szCs w:val="24"/>
        </w:rPr>
        <w:t xml:space="preserve">se en contacto con las campañas </w:t>
      </w:r>
      <w:r w:rsidRPr="002E7958">
        <w:rPr>
          <w:rFonts w:ascii="Times New Roman" w:hAnsi="Times New Roman" w:cs="Times New Roman"/>
          <w:sz w:val="24"/>
          <w:szCs w:val="24"/>
        </w:rPr>
        <w:t>locales correspondientes o lanzando su propia campaña.</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1 - ¿Qué es el TTIP?</w:t>
      </w:r>
    </w:p>
    <w:p w:rsidR="00AF62E6" w:rsidRDefault="00AF62E6" w:rsidP="00AF62E6">
      <w:pPr>
        <w:autoSpaceDE w:val="0"/>
        <w:autoSpaceDN w:val="0"/>
        <w:adjustRightInd w:val="0"/>
        <w:spacing w:after="0" w:line="240" w:lineRule="auto"/>
        <w:jc w:val="both"/>
        <w:rPr>
          <w:rFonts w:ascii="Times New Roman" w:hAnsi="Times New Roman" w:cs="Times New Roman"/>
          <w:b/>
          <w:sz w:val="24"/>
          <w:szCs w:val="24"/>
        </w:rPr>
      </w:pPr>
    </w:p>
    <w:p w:rsidR="00AF62E6" w:rsidRPr="002E7958" w:rsidRDefault="00AF62E6" w:rsidP="00AF62E6">
      <w:pPr>
        <w:autoSpaceDE w:val="0"/>
        <w:autoSpaceDN w:val="0"/>
        <w:adjustRightInd w:val="0"/>
        <w:spacing w:after="0" w:line="240" w:lineRule="auto"/>
        <w:jc w:val="both"/>
        <w:rPr>
          <w:rFonts w:ascii="Times New Roman" w:hAnsi="Times New Roman" w:cs="Times New Roman"/>
          <w:sz w:val="24"/>
          <w:szCs w:val="24"/>
        </w:rPr>
      </w:pPr>
      <w:r w:rsidRPr="00304635">
        <w:rPr>
          <w:rFonts w:ascii="Times New Roman" w:hAnsi="Times New Roman" w:cs="Times New Roman"/>
          <w:color w:val="FF0000"/>
          <w:sz w:val="24"/>
          <w:szCs w:val="24"/>
        </w:rPr>
        <w:t>Diversos grupos empresariales a los dos lados del Atlántico llevan soñando desde hace mucho con un acuerdo comercial y de inversión corporativi</w:t>
      </w:r>
      <w:r>
        <w:rPr>
          <w:rFonts w:ascii="Times New Roman" w:hAnsi="Times New Roman" w:cs="Times New Roman"/>
          <w:color w:val="FF0000"/>
          <w:sz w:val="24"/>
          <w:szCs w:val="24"/>
        </w:rPr>
        <w:t>sta entre la UE y los EE</w:t>
      </w:r>
      <w:r w:rsidRPr="00304635">
        <w:rPr>
          <w:rFonts w:ascii="Times New Roman" w:hAnsi="Times New Roman" w:cs="Times New Roman"/>
          <w:color w:val="FF0000"/>
          <w:sz w:val="24"/>
          <w:szCs w:val="24"/>
        </w:rPr>
        <w:t xml:space="preserve">UU. </w:t>
      </w:r>
      <w:r w:rsidRPr="002E7958">
        <w:rPr>
          <w:rFonts w:ascii="Times New Roman" w:hAnsi="Times New Roman" w:cs="Times New Roman"/>
          <w:sz w:val="24"/>
          <w:szCs w:val="24"/>
        </w:rPr>
        <w:t>En 1995 se constituyó el Diál</w:t>
      </w:r>
      <w:r>
        <w:rPr>
          <w:rFonts w:ascii="Times New Roman" w:hAnsi="Times New Roman" w:cs="Times New Roman"/>
          <w:sz w:val="24"/>
          <w:szCs w:val="24"/>
        </w:rPr>
        <w:t xml:space="preserve">ogo Empresarial Transatlántico, </w:t>
      </w:r>
      <w:r w:rsidRPr="002E7958">
        <w:rPr>
          <w:rFonts w:ascii="Times New Roman" w:hAnsi="Times New Roman" w:cs="Times New Roman"/>
          <w:sz w:val="24"/>
          <w:szCs w:val="24"/>
        </w:rPr>
        <w:t xml:space="preserve">un grupo exclusivo formado por </w:t>
      </w:r>
      <w:r>
        <w:rPr>
          <w:rFonts w:ascii="Times New Roman" w:hAnsi="Times New Roman" w:cs="Times New Roman"/>
          <w:sz w:val="24"/>
          <w:szCs w:val="24"/>
        </w:rPr>
        <w:t xml:space="preserve">los directores generales de las </w:t>
      </w:r>
      <w:r w:rsidRPr="002E7958">
        <w:rPr>
          <w:rFonts w:ascii="Times New Roman" w:hAnsi="Times New Roman" w:cs="Times New Roman"/>
          <w:sz w:val="24"/>
          <w:szCs w:val="24"/>
        </w:rPr>
        <w:t>compañías más poderosas de Europa y Est</w:t>
      </w:r>
      <w:r>
        <w:rPr>
          <w:rFonts w:ascii="Times New Roman" w:hAnsi="Times New Roman" w:cs="Times New Roman"/>
          <w:sz w:val="24"/>
          <w:szCs w:val="24"/>
        </w:rPr>
        <w:t xml:space="preserve">ados Unidos, con el objetivo de </w:t>
      </w:r>
      <w:r w:rsidRPr="002E7958">
        <w:rPr>
          <w:rFonts w:ascii="Times New Roman" w:hAnsi="Times New Roman" w:cs="Times New Roman"/>
          <w:sz w:val="24"/>
          <w:szCs w:val="24"/>
        </w:rPr>
        <w:t>presionar para conseguir la eliminación de las</w:t>
      </w:r>
      <w:r>
        <w:rPr>
          <w:rFonts w:ascii="Times New Roman" w:hAnsi="Times New Roman" w:cs="Times New Roman"/>
          <w:sz w:val="24"/>
          <w:szCs w:val="24"/>
        </w:rPr>
        <w:t xml:space="preserve"> normativas que afectan a las </w:t>
      </w:r>
      <w:r w:rsidRPr="002E7958">
        <w:rPr>
          <w:rFonts w:ascii="Times New Roman" w:hAnsi="Times New Roman" w:cs="Times New Roman"/>
          <w:sz w:val="24"/>
          <w:szCs w:val="24"/>
        </w:rPr>
        <w:t xml:space="preserve">empresas transnacionales que operan en estas </w:t>
      </w:r>
      <w:r>
        <w:rPr>
          <w:rFonts w:ascii="Times New Roman" w:hAnsi="Times New Roman" w:cs="Times New Roman"/>
          <w:sz w:val="24"/>
          <w:szCs w:val="24"/>
        </w:rPr>
        <w:t xml:space="preserve">dos zonas. Para lograr tal fin, </w:t>
      </w:r>
      <w:r w:rsidRPr="002E7958">
        <w:rPr>
          <w:rFonts w:ascii="Times New Roman" w:hAnsi="Times New Roman" w:cs="Times New Roman"/>
          <w:sz w:val="24"/>
          <w:szCs w:val="24"/>
        </w:rPr>
        <w:t>no ha dejado de defender de forma siste</w:t>
      </w:r>
      <w:r>
        <w:rPr>
          <w:rFonts w:ascii="Times New Roman" w:hAnsi="Times New Roman" w:cs="Times New Roman"/>
          <w:sz w:val="24"/>
          <w:szCs w:val="24"/>
        </w:rPr>
        <w:t>mática la idea de un acuerdo de amplio alcance.</w:t>
      </w:r>
      <w:r w:rsidRPr="002E7958">
        <w:rPr>
          <w:rFonts w:ascii="Times New Roman" w:hAnsi="Times New Roman" w:cs="Times New Roman"/>
          <w:sz w:val="24"/>
          <w:szCs w:val="24"/>
        </w:rPr>
        <w:t xml:space="preserve"> La creación del Consejo E</w:t>
      </w:r>
      <w:r>
        <w:rPr>
          <w:rFonts w:ascii="Times New Roman" w:hAnsi="Times New Roman" w:cs="Times New Roman"/>
          <w:sz w:val="24"/>
          <w:szCs w:val="24"/>
        </w:rPr>
        <w:t xml:space="preserve">conómico Transatlántico en 2007 </w:t>
      </w:r>
      <w:r w:rsidRPr="002E7958">
        <w:rPr>
          <w:rFonts w:ascii="Times New Roman" w:hAnsi="Times New Roman" w:cs="Times New Roman"/>
          <w:sz w:val="24"/>
          <w:szCs w:val="24"/>
        </w:rPr>
        <w:t>supuso para el Diálogo Empresarial Trans</w:t>
      </w:r>
      <w:r>
        <w:rPr>
          <w:rFonts w:ascii="Times New Roman" w:hAnsi="Times New Roman" w:cs="Times New Roman"/>
          <w:sz w:val="24"/>
          <w:szCs w:val="24"/>
        </w:rPr>
        <w:t xml:space="preserve">atlántico una nueva oportunidad </w:t>
      </w:r>
      <w:r w:rsidRPr="002E7958">
        <w:rPr>
          <w:rFonts w:ascii="Times New Roman" w:hAnsi="Times New Roman" w:cs="Times New Roman"/>
          <w:sz w:val="24"/>
          <w:szCs w:val="24"/>
        </w:rPr>
        <w:t>de presionar para la creación de un área com</w:t>
      </w:r>
      <w:r>
        <w:rPr>
          <w:rFonts w:ascii="Times New Roman" w:hAnsi="Times New Roman" w:cs="Times New Roman"/>
          <w:sz w:val="24"/>
          <w:szCs w:val="24"/>
        </w:rPr>
        <w:t xml:space="preserve">ercial de libre comercio basada </w:t>
      </w:r>
      <w:r w:rsidRPr="002E7958">
        <w:rPr>
          <w:rFonts w:ascii="Times New Roman" w:hAnsi="Times New Roman" w:cs="Times New Roman"/>
          <w:sz w:val="24"/>
          <w:szCs w:val="24"/>
        </w:rPr>
        <w:t>en la desregulación de mercado</w:t>
      </w:r>
      <w:r>
        <w:rPr>
          <w:rFonts w:ascii="Times New Roman" w:hAnsi="Times New Roman" w:cs="Times New Roman"/>
          <w:sz w:val="24"/>
          <w:szCs w:val="24"/>
        </w:rPr>
        <w:t>s tanto en la UE como en los EE</w:t>
      </w:r>
      <w:r w:rsidRPr="002E7958">
        <w:rPr>
          <w:rFonts w:ascii="Times New Roman" w:hAnsi="Times New Roman" w:cs="Times New Roman"/>
          <w:sz w:val="24"/>
          <w:szCs w:val="24"/>
        </w:rPr>
        <w:t>UU.</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2E7958">
        <w:rPr>
          <w:rFonts w:ascii="Times New Roman" w:hAnsi="Times New Roman" w:cs="Times New Roman"/>
          <w:sz w:val="24"/>
          <w:szCs w:val="24"/>
        </w:rPr>
        <w:t xml:space="preserve">En respuesta a estas presiones, </w:t>
      </w:r>
      <w:r w:rsidRPr="00304635">
        <w:rPr>
          <w:rFonts w:ascii="Times New Roman" w:hAnsi="Times New Roman" w:cs="Times New Roman"/>
          <w:color w:val="FF0000"/>
          <w:sz w:val="24"/>
          <w:szCs w:val="24"/>
        </w:rPr>
        <w:t>la Comisión Europea y funcionarios estadounidenses anunciaron en noviembre de 2011 la organización de un grupo de trabajo de alto nivel con el objetivo de “identificar y evaluar opciones para fortalecer las relaciones comerciales y de inversión entre los E</w:t>
      </w:r>
      <w:r>
        <w:rPr>
          <w:rFonts w:ascii="Times New Roman" w:hAnsi="Times New Roman" w:cs="Times New Roman"/>
          <w:color w:val="FF0000"/>
          <w:sz w:val="24"/>
          <w:szCs w:val="24"/>
        </w:rPr>
        <w:t>EUU</w:t>
      </w:r>
      <w:r w:rsidRPr="00304635">
        <w:rPr>
          <w:rFonts w:ascii="Times New Roman" w:hAnsi="Times New Roman" w:cs="Times New Roman"/>
          <w:color w:val="FF0000"/>
          <w:sz w:val="24"/>
          <w:szCs w:val="24"/>
        </w:rPr>
        <w:t xml:space="preserve"> y la UE”. Poco después, la Comisión Europea emprendió una serie de más de 100 reuniones a puerta cerrada con determinadas compañías y defensores de los intereses empresariales con el objetivo de establecer su posición en las negociaciones. Estas reuniones se mantuvieron en secreto hasta que la Comisión se vio obligada a admitir su existencia para no vulnerar el derecho a la libertad de información. El Diálogo Empresar</w:t>
      </w:r>
      <w:r>
        <w:rPr>
          <w:rFonts w:ascii="Times New Roman" w:hAnsi="Times New Roman" w:cs="Times New Roman"/>
          <w:color w:val="FF0000"/>
          <w:sz w:val="24"/>
          <w:szCs w:val="24"/>
        </w:rPr>
        <w:t xml:space="preserve">ial Transatlántico se unió a la </w:t>
      </w:r>
      <w:r w:rsidRPr="00304635">
        <w:rPr>
          <w:rFonts w:ascii="Times New Roman" w:hAnsi="Times New Roman" w:cs="Times New Roman"/>
          <w:color w:val="FF0000"/>
          <w:sz w:val="24"/>
          <w:szCs w:val="24"/>
        </w:rPr>
        <w:t>US Business Roundtable (la Mesa Redonda Empresarial Estadounidense) y a la Mesa Redonda de Industriales Europeos para exigir una ambiciosa alianza comercial y de inv</w:t>
      </w:r>
      <w:r>
        <w:rPr>
          <w:rFonts w:ascii="Times New Roman" w:hAnsi="Times New Roman" w:cs="Times New Roman"/>
          <w:color w:val="FF0000"/>
          <w:sz w:val="24"/>
          <w:szCs w:val="24"/>
        </w:rPr>
        <w:t>ersión entre la UE y los EE</w:t>
      </w:r>
      <w:r w:rsidRPr="00304635">
        <w:rPr>
          <w:rFonts w:ascii="Times New Roman" w:hAnsi="Times New Roman" w:cs="Times New Roman"/>
          <w:color w:val="FF0000"/>
          <w:sz w:val="24"/>
          <w:szCs w:val="24"/>
        </w:rPr>
        <w:t>UU.</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9331B2" w:rsidRDefault="00AF62E6" w:rsidP="00AF62E6">
      <w:pPr>
        <w:autoSpaceDE w:val="0"/>
        <w:autoSpaceDN w:val="0"/>
        <w:adjustRightInd w:val="0"/>
        <w:spacing w:after="0" w:line="240" w:lineRule="auto"/>
        <w:jc w:val="both"/>
        <w:rPr>
          <w:rFonts w:ascii="Times New Roman" w:hAnsi="Times New Roman" w:cs="Times New Roman"/>
          <w:sz w:val="24"/>
          <w:szCs w:val="24"/>
        </w:rPr>
      </w:pPr>
      <w:r w:rsidRPr="002E7958">
        <w:rPr>
          <w:rFonts w:ascii="Times New Roman" w:hAnsi="Times New Roman" w:cs="Times New Roman"/>
          <w:sz w:val="24"/>
          <w:szCs w:val="24"/>
        </w:rPr>
        <w:t>El presidente Barack Obama anunció de forma oficial</w:t>
      </w:r>
      <w:r>
        <w:rPr>
          <w:rFonts w:ascii="Times New Roman" w:hAnsi="Times New Roman" w:cs="Times New Roman"/>
          <w:sz w:val="24"/>
          <w:szCs w:val="24"/>
        </w:rPr>
        <w:t xml:space="preserve"> el inicio de las negociaciones </w:t>
      </w:r>
      <w:r w:rsidRPr="002E7958">
        <w:rPr>
          <w:rFonts w:ascii="Times New Roman" w:hAnsi="Times New Roman" w:cs="Times New Roman"/>
          <w:sz w:val="24"/>
          <w:szCs w:val="24"/>
        </w:rPr>
        <w:t>encaminadas a alcanzar un amplio Acuerdo Transatlántico</w:t>
      </w:r>
      <w:r>
        <w:rPr>
          <w:rFonts w:ascii="Times New Roman" w:hAnsi="Times New Roman" w:cs="Times New Roman"/>
          <w:sz w:val="24"/>
          <w:szCs w:val="24"/>
        </w:rPr>
        <w:t xml:space="preserve"> </w:t>
      </w:r>
      <w:r w:rsidRPr="009331B2">
        <w:rPr>
          <w:rFonts w:ascii="Times New Roman" w:hAnsi="Times New Roman" w:cs="Times New Roman"/>
          <w:sz w:val="24"/>
          <w:szCs w:val="24"/>
        </w:rPr>
        <w:t>sobre Comercio e Inversión (ATCI o TTIP, po</w:t>
      </w:r>
      <w:r>
        <w:rPr>
          <w:rFonts w:ascii="Times New Roman" w:hAnsi="Times New Roman" w:cs="Times New Roman"/>
          <w:sz w:val="24"/>
          <w:szCs w:val="24"/>
        </w:rPr>
        <w:t xml:space="preserve">r sus siglas en inglés) durante </w:t>
      </w:r>
      <w:r w:rsidRPr="009331B2">
        <w:rPr>
          <w:rFonts w:ascii="Times New Roman" w:hAnsi="Times New Roman" w:cs="Times New Roman"/>
          <w:sz w:val="24"/>
          <w:szCs w:val="24"/>
        </w:rPr>
        <w:t>el discurso sobre el estado de la unión</w:t>
      </w:r>
      <w:r>
        <w:rPr>
          <w:rFonts w:ascii="Times New Roman" w:hAnsi="Times New Roman" w:cs="Times New Roman"/>
          <w:sz w:val="24"/>
          <w:szCs w:val="24"/>
        </w:rPr>
        <w:t xml:space="preserve"> en febrero de 2013. La primera </w:t>
      </w:r>
      <w:r w:rsidRPr="009331B2">
        <w:rPr>
          <w:rFonts w:ascii="Times New Roman" w:hAnsi="Times New Roman" w:cs="Times New Roman"/>
          <w:sz w:val="24"/>
          <w:szCs w:val="24"/>
        </w:rPr>
        <w:t xml:space="preserve">ronda de negociaciones tuvo lugar en julio </w:t>
      </w:r>
      <w:r>
        <w:rPr>
          <w:rFonts w:ascii="Times New Roman" w:hAnsi="Times New Roman" w:cs="Times New Roman"/>
          <w:sz w:val="24"/>
          <w:szCs w:val="24"/>
        </w:rPr>
        <w:t xml:space="preserve">de 2013. Ambas partes esperaban </w:t>
      </w:r>
      <w:r w:rsidRPr="009331B2">
        <w:rPr>
          <w:rFonts w:ascii="Times New Roman" w:hAnsi="Times New Roman" w:cs="Times New Roman"/>
          <w:sz w:val="24"/>
          <w:szCs w:val="24"/>
        </w:rPr>
        <w:t>que las negociaciones pudieran fi</w:t>
      </w:r>
      <w:r>
        <w:rPr>
          <w:rFonts w:ascii="Times New Roman" w:hAnsi="Times New Roman" w:cs="Times New Roman"/>
          <w:sz w:val="24"/>
          <w:szCs w:val="24"/>
        </w:rPr>
        <w:t xml:space="preserve">nalizarse en dos años, evitando </w:t>
      </w:r>
      <w:r w:rsidRPr="009331B2">
        <w:rPr>
          <w:rFonts w:ascii="Times New Roman" w:hAnsi="Times New Roman" w:cs="Times New Roman"/>
          <w:sz w:val="24"/>
          <w:szCs w:val="24"/>
        </w:rPr>
        <w:t xml:space="preserve">así que coincidieran con el comienzo </w:t>
      </w:r>
      <w:r>
        <w:rPr>
          <w:rFonts w:ascii="Times New Roman" w:hAnsi="Times New Roman" w:cs="Times New Roman"/>
          <w:sz w:val="24"/>
          <w:szCs w:val="24"/>
        </w:rPr>
        <w:t>de la campaña de las elecciones presidenciales en los EEUU</w:t>
      </w:r>
      <w:r w:rsidRPr="009331B2">
        <w:rPr>
          <w:rFonts w:ascii="Times New Roman" w:hAnsi="Times New Roman" w:cs="Times New Roman"/>
          <w:sz w:val="24"/>
          <w:szCs w:val="24"/>
        </w:rPr>
        <w:t>, que empezará en serio durante 2015. T</w:t>
      </w:r>
      <w:r>
        <w:rPr>
          <w:rFonts w:ascii="Times New Roman" w:hAnsi="Times New Roman" w:cs="Times New Roman"/>
          <w:sz w:val="24"/>
          <w:szCs w:val="24"/>
        </w:rPr>
        <w:t xml:space="preserve">eniendo </w:t>
      </w:r>
      <w:r w:rsidRPr="009331B2">
        <w:rPr>
          <w:rFonts w:ascii="Times New Roman" w:hAnsi="Times New Roman" w:cs="Times New Roman"/>
          <w:sz w:val="24"/>
          <w:szCs w:val="24"/>
        </w:rPr>
        <w:t>en cuenta que en 2014 se eleg</w:t>
      </w:r>
      <w:r>
        <w:rPr>
          <w:rFonts w:ascii="Times New Roman" w:hAnsi="Times New Roman" w:cs="Times New Roman"/>
          <w:sz w:val="24"/>
          <w:szCs w:val="24"/>
        </w:rPr>
        <w:t xml:space="preserve">irá un nuevo Parlamento Europeo </w:t>
      </w:r>
      <w:r w:rsidRPr="009331B2">
        <w:rPr>
          <w:rFonts w:ascii="Times New Roman" w:hAnsi="Times New Roman" w:cs="Times New Roman"/>
          <w:sz w:val="24"/>
          <w:szCs w:val="24"/>
        </w:rPr>
        <w:t>y se formará una nueva Comisión Europea</w:t>
      </w:r>
      <w:r>
        <w:rPr>
          <w:rFonts w:ascii="Times New Roman" w:hAnsi="Times New Roman" w:cs="Times New Roman"/>
          <w:sz w:val="24"/>
          <w:szCs w:val="24"/>
        </w:rPr>
        <w:t xml:space="preserve">, el propósito de finalizar una </w:t>
      </w:r>
      <w:r w:rsidRPr="009331B2">
        <w:rPr>
          <w:rFonts w:ascii="Times New Roman" w:hAnsi="Times New Roman" w:cs="Times New Roman"/>
          <w:sz w:val="24"/>
          <w:szCs w:val="24"/>
        </w:rPr>
        <w:t xml:space="preserve">serie de negociaciones tan controvertidas </w:t>
      </w:r>
      <w:r>
        <w:rPr>
          <w:rFonts w:ascii="Times New Roman" w:hAnsi="Times New Roman" w:cs="Times New Roman"/>
          <w:sz w:val="24"/>
          <w:szCs w:val="24"/>
        </w:rPr>
        <w:t xml:space="preserve">y complejas deprisa y corriendo </w:t>
      </w:r>
      <w:r w:rsidRPr="009331B2">
        <w:rPr>
          <w:rFonts w:ascii="Times New Roman" w:hAnsi="Times New Roman" w:cs="Times New Roman"/>
          <w:sz w:val="24"/>
          <w:szCs w:val="24"/>
        </w:rPr>
        <w:t xml:space="preserve">(“on one tank of gas”, en palabras de los </w:t>
      </w:r>
      <w:r>
        <w:rPr>
          <w:rFonts w:ascii="Times New Roman" w:hAnsi="Times New Roman" w:cs="Times New Roman"/>
          <w:sz w:val="24"/>
          <w:szCs w:val="24"/>
        </w:rPr>
        <w:t xml:space="preserve">negociadores estadounidenses) </w:t>
      </w:r>
      <w:r w:rsidRPr="009331B2">
        <w:rPr>
          <w:rFonts w:ascii="Times New Roman" w:hAnsi="Times New Roman" w:cs="Times New Roman"/>
          <w:sz w:val="24"/>
          <w:szCs w:val="24"/>
        </w:rPr>
        <w:t>es extremadamente temerario.</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El TTIP no es un acuerdo comercial tradicional concebido principalmente para reducir los aranceles sobre las importaciones entre dos socios comerciales, pues los</w:t>
      </w:r>
      <w:r>
        <w:rPr>
          <w:rFonts w:ascii="Times New Roman" w:hAnsi="Times New Roman" w:cs="Times New Roman"/>
          <w:color w:val="FF0000"/>
          <w:sz w:val="24"/>
          <w:szCs w:val="24"/>
        </w:rPr>
        <w:t xml:space="preserve"> aranceles entre la UE y los EEUU</w:t>
      </w:r>
      <w:r w:rsidRPr="00304635">
        <w:rPr>
          <w:rFonts w:ascii="Times New Roman" w:hAnsi="Times New Roman" w:cs="Times New Roman"/>
          <w:color w:val="FF0000"/>
          <w:sz w:val="24"/>
          <w:szCs w:val="24"/>
        </w:rPr>
        <w:t xml:space="preserve"> son tan bajos que apenas pueden reducirse ya. Funcionarios de ambas partes reconocen que el verdadero y principal objetivo del tratado es eliminar las “barreras” reglamentarias que limitan los beneficios potenciales de las corporaciones transnacionales en los mercados europeo y estadounidense. Esto implica eliminar o relajar las normativas básicas en materia social y medioambiental, como los derechos laborales, las normas de seguridad alimentaria (incluidas las restricciones a los OGM), </w:t>
      </w:r>
      <w:r w:rsidRPr="00304635">
        <w:rPr>
          <w:rFonts w:ascii="Times New Roman" w:hAnsi="Times New Roman" w:cs="Times New Roman"/>
          <w:color w:val="FF0000"/>
          <w:sz w:val="24"/>
          <w:szCs w:val="24"/>
        </w:rPr>
        <w:lastRenderedPageBreak/>
        <w:t xml:space="preserve">las regulaciones sobre el uso de substancias químicas tóxicas, las leyes de protección de datos e incluso las nuevas regulaciones en el sector bancario introducidas para prevenir otra crisis como la de 2008. El mandato de negociación de la Comisión Europea (clasificado como confidencial según las normas de la UE, y en consecuencia sólo disponible como documento filtrado) considera la eliminación de los obstáculos regulatorios como una de las prioridades más importantes del TTIP, lo que contradice las posteriores declaraciones de la Comisión, que afirma que la desregulación </w:t>
      </w:r>
      <w:r>
        <w:rPr>
          <w:rFonts w:ascii="Times New Roman" w:hAnsi="Times New Roman" w:cs="Times New Roman"/>
          <w:color w:val="FF0000"/>
          <w:sz w:val="24"/>
          <w:szCs w:val="24"/>
        </w:rPr>
        <w:t>no está incluida en la agenda.</w:t>
      </w:r>
      <w:r w:rsidRPr="00304635">
        <w:rPr>
          <w:rFonts w:ascii="Times New Roman" w:hAnsi="Times New Roman" w:cs="Times New Roman"/>
          <w:color w:val="FF0000"/>
          <w:sz w:val="24"/>
          <w:szCs w:val="24"/>
        </w:rPr>
        <w:t xml:space="preserve"> Asimismo, el gobierno estadounidense ha manifestado su interés en la eliminación de regulaciones y normativas europeas básicas durante las negociaciones, como se explica más adelante en este informe.</w:t>
      </w: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El acuerdo también busca crear nuevos mercados abriendo el sector de los servicios públicos y la adjudicación de contratos por parte de la administración a las corporaciones transnacionales, lo que amenaza con provocar más olas de privatizaciones en sectores clave como la sanidad y la educación. Funcionarios del gobierno del Reino Unido han reconocido que una de las tres prioridades del TTIP es “completar el mercado único” dentro de la UE, en concreto abriendo el sector de los servicios públicos y su contratación a empresas privadas de otros Estados miembros. Lo más preocupante es que el TTIP pretende conceder a los inversores extranjeros el derecho de demandar a gobiernos soberanos frente a tribunales de arbitraje ad hoc para reclamar pérdidas de beneficios resultantes de decisiones sobre política pública (véase más adelante). En la práctica, este mecanismo de solución de controversias entre inversores y Estados eleva el capital transnacional a un estatus equiparable al del Estado nación y amenaza con minar los principios más básicos de la democraci</w:t>
      </w:r>
      <w:r>
        <w:rPr>
          <w:rFonts w:ascii="Times New Roman" w:hAnsi="Times New Roman" w:cs="Times New Roman"/>
          <w:color w:val="FF0000"/>
          <w:sz w:val="24"/>
          <w:szCs w:val="24"/>
        </w:rPr>
        <w:t>a tanto en la UE como en los EE</w:t>
      </w:r>
      <w:r w:rsidRPr="00304635">
        <w:rPr>
          <w:rFonts w:ascii="Times New Roman" w:hAnsi="Times New Roman" w:cs="Times New Roman"/>
          <w:color w:val="FF0000"/>
          <w:sz w:val="24"/>
          <w:szCs w:val="24"/>
        </w:rPr>
        <w:t>UU.</w:t>
      </w: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Así pues, el TTIP no debe entenderse como un acuerdo entre dos socios comerciales competidores, sino como un asalto a las sociedades europea y estadounidense por parte de las corporaciones transnacionales con el objetivo de abrir y desregular mercados a ambos lados del Atlántico. En un documento interno filtrado y publicado en diciembre de 2013, la Comisión Europea afirmó que el tipo de regulaciones que se verían afectadas por el TTIP abarcan legislación básica de la UE (tanto reglamentos como directivas), medidas de ejecución y actos delegados, así como regulaciones introducidas por Estados miembros de la Unión.</w:t>
      </w:r>
      <w:r>
        <w:rPr>
          <w:rFonts w:ascii="Times New Roman" w:hAnsi="Times New Roman" w:cs="Times New Roman"/>
          <w:color w:val="FF0000"/>
          <w:sz w:val="24"/>
          <w:szCs w:val="24"/>
        </w:rPr>
        <w:t xml:space="preserve"> Por lo que se refiere a los EEUU</w:t>
      </w:r>
      <w:r w:rsidRPr="00304635">
        <w:rPr>
          <w:rFonts w:ascii="Times New Roman" w:hAnsi="Times New Roman" w:cs="Times New Roman"/>
          <w:color w:val="FF0000"/>
          <w:sz w:val="24"/>
          <w:szCs w:val="24"/>
        </w:rPr>
        <w:t>, el acuerdo afectaría a proyectos de ley aprobados por el Congreso, normas federales y también normativas adoptadas por determinados Estados. Karel de Gucht, comisario de Comercio de la UE, confirmó que el cometido del TTIP es eliminar normativas en los dos lados del Atlántico para que las empresas puedan operar libremente: “Las barreras reguladoras son más complicadas de eliminar que las barreras comerciales tradicionales… No será fácil pero valdrá la pena.</w:t>
      </w: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9331B2"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9331B2">
        <w:rPr>
          <w:rFonts w:ascii="Times New Roman" w:hAnsi="Times New Roman" w:cs="Times New Roman"/>
          <w:b/>
          <w:sz w:val="24"/>
          <w:szCs w:val="24"/>
        </w:rPr>
        <w:t>2 - Opaco y antidemocrático</w:t>
      </w:r>
    </w:p>
    <w:p w:rsidR="00AF62E6" w:rsidRPr="009331B2"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9331B2" w:rsidRDefault="00AF62E6" w:rsidP="00AF62E6">
      <w:pPr>
        <w:autoSpaceDE w:val="0"/>
        <w:autoSpaceDN w:val="0"/>
        <w:adjustRightInd w:val="0"/>
        <w:spacing w:after="0" w:line="240" w:lineRule="auto"/>
        <w:jc w:val="both"/>
        <w:rPr>
          <w:rFonts w:ascii="Times New Roman" w:hAnsi="Times New Roman" w:cs="Times New Roman"/>
          <w:sz w:val="24"/>
          <w:szCs w:val="24"/>
        </w:rPr>
      </w:pPr>
      <w:r w:rsidRPr="009331B2">
        <w:rPr>
          <w:rFonts w:ascii="Times New Roman" w:hAnsi="Times New Roman" w:cs="Times New Roman"/>
          <w:sz w:val="24"/>
          <w:szCs w:val="24"/>
        </w:rPr>
        <w:t>En un informe de relaciones públicas p</w:t>
      </w:r>
      <w:r>
        <w:rPr>
          <w:rFonts w:ascii="Times New Roman" w:hAnsi="Times New Roman" w:cs="Times New Roman"/>
          <w:sz w:val="24"/>
          <w:szCs w:val="24"/>
        </w:rPr>
        <w:t xml:space="preserve">ublicado en septiembre de 2013, </w:t>
      </w:r>
      <w:r w:rsidRPr="009331B2">
        <w:rPr>
          <w:rFonts w:ascii="Times New Roman" w:hAnsi="Times New Roman" w:cs="Times New Roman"/>
          <w:sz w:val="24"/>
          <w:szCs w:val="24"/>
        </w:rPr>
        <w:t>la Comisión Europea declaraba que el</w:t>
      </w:r>
      <w:r>
        <w:rPr>
          <w:rFonts w:ascii="Times New Roman" w:hAnsi="Times New Roman" w:cs="Times New Roman"/>
          <w:sz w:val="24"/>
          <w:szCs w:val="24"/>
        </w:rPr>
        <w:t xml:space="preserve"> TTIP no supone ninguna amenaza </w:t>
      </w:r>
      <w:r w:rsidRPr="009331B2">
        <w:rPr>
          <w:rFonts w:ascii="Times New Roman" w:hAnsi="Times New Roman" w:cs="Times New Roman"/>
          <w:sz w:val="24"/>
          <w:szCs w:val="24"/>
        </w:rPr>
        <w:t xml:space="preserve">para las normativas referentes a la </w:t>
      </w:r>
      <w:r>
        <w:rPr>
          <w:rFonts w:ascii="Times New Roman" w:hAnsi="Times New Roman" w:cs="Times New Roman"/>
          <w:sz w:val="24"/>
          <w:szCs w:val="24"/>
        </w:rPr>
        <w:t xml:space="preserve">sanidad, la seguridad, el medio </w:t>
      </w:r>
      <w:r w:rsidRPr="009331B2">
        <w:rPr>
          <w:rFonts w:ascii="Times New Roman" w:hAnsi="Times New Roman" w:cs="Times New Roman"/>
          <w:sz w:val="24"/>
          <w:szCs w:val="24"/>
        </w:rPr>
        <w:t xml:space="preserve">ambiente o la seguridad financiera </w:t>
      </w:r>
      <w:r>
        <w:rPr>
          <w:rFonts w:ascii="Times New Roman" w:hAnsi="Times New Roman" w:cs="Times New Roman"/>
          <w:sz w:val="24"/>
          <w:szCs w:val="24"/>
        </w:rPr>
        <w:t>porque las “negociaciones serán transparentes”.</w:t>
      </w:r>
      <w:r w:rsidRPr="009331B2">
        <w:rPr>
          <w:rFonts w:ascii="Times New Roman" w:hAnsi="Times New Roman" w:cs="Times New Roman"/>
          <w:sz w:val="24"/>
          <w:szCs w:val="24"/>
        </w:rPr>
        <w:t xml:space="preserve"> Nada más alejado de la realidad. Sólo dos meses antes,</w:t>
      </w:r>
      <w:r>
        <w:rPr>
          <w:rFonts w:ascii="Times New Roman" w:hAnsi="Times New Roman" w:cs="Times New Roman"/>
          <w:sz w:val="24"/>
          <w:szCs w:val="24"/>
        </w:rPr>
        <w:t xml:space="preserve"> </w:t>
      </w:r>
      <w:r w:rsidRPr="00304635">
        <w:rPr>
          <w:rFonts w:ascii="Times New Roman" w:hAnsi="Times New Roman" w:cs="Times New Roman"/>
          <w:color w:val="FF0000"/>
          <w:sz w:val="24"/>
          <w:szCs w:val="24"/>
        </w:rPr>
        <w:t xml:space="preserve">el jefe del equipo negociador de la UE, Ignacio García Bercero, aseguraba en una carta a su homólogo estadounidense que la Comisión Europea bloquearía el acceso público a todos los documentos relacionados con las negociaciones o el </w:t>
      </w:r>
      <w:r w:rsidRPr="00304635">
        <w:rPr>
          <w:rFonts w:ascii="Times New Roman" w:hAnsi="Times New Roman" w:cs="Times New Roman"/>
          <w:color w:val="FF0000"/>
          <w:sz w:val="24"/>
          <w:szCs w:val="24"/>
        </w:rPr>
        <w:lastRenderedPageBreak/>
        <w:t>desarrollo del TTIP y que no serían accesibles para el público durante los próximos 30 años.</w:t>
      </w:r>
      <w:r>
        <w:rPr>
          <w:rFonts w:ascii="Times New Roman" w:hAnsi="Times New Roman" w:cs="Times New Roman"/>
          <w:sz w:val="24"/>
          <w:szCs w:val="24"/>
        </w:rPr>
        <w:t xml:space="preserve"> </w:t>
      </w:r>
      <w:r w:rsidRPr="00304635">
        <w:rPr>
          <w:rFonts w:ascii="Times New Roman" w:hAnsi="Times New Roman" w:cs="Times New Roman"/>
          <w:color w:val="FF0000"/>
          <w:sz w:val="24"/>
          <w:szCs w:val="24"/>
        </w:rPr>
        <w:t>El comisario de Comercio de la Unión Europea, Karel de Gucht, explicó al Parlamento Europeo que la Comisión abordaría el TTIP con el mismo nivel de secretismo con el que pactó acuerdos comerciales previos e instó a los miembros del Parlamento a respaldar la “confidencialidad” en las negociaciones</w:t>
      </w:r>
      <w:r>
        <w:rPr>
          <w:rFonts w:ascii="Times New Roman" w:hAnsi="Times New Roman" w:cs="Times New Roman"/>
          <w:sz w:val="24"/>
          <w:szCs w:val="24"/>
        </w:rPr>
        <w:t>.</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Aunque todo lo referente a las negociaciones en torno al TTIP se rodea de secretismo, la Comisión Europea reserva las restricciones de acceso más estrictas para los documentos más importantes, a saber las exigencias de desregulación de los negociadores estadounidenses a los Estados miembros de la UE. Como se señala en los protocolos de la Comisión, se negará el acceso a estos documentos incluso a funcionarios del gobierno de los Estados miembros, excepto en salas de lectura designadas a tal fin y de las que dichos documentos no se podrán sacar o copiar. Es más, no se permitirá a los parlamentarios electos de los Estados miembros conocer las exigenc</w:t>
      </w:r>
      <w:r>
        <w:rPr>
          <w:rFonts w:ascii="Times New Roman" w:hAnsi="Times New Roman" w:cs="Times New Roman"/>
          <w:color w:val="FF0000"/>
          <w:sz w:val="24"/>
          <w:szCs w:val="24"/>
        </w:rPr>
        <w:t>ias que EEUU</w:t>
      </w:r>
      <w:r w:rsidRPr="00304635">
        <w:rPr>
          <w:rFonts w:ascii="Times New Roman" w:hAnsi="Times New Roman" w:cs="Times New Roman"/>
          <w:color w:val="FF0000"/>
          <w:sz w:val="24"/>
          <w:szCs w:val="24"/>
        </w:rPr>
        <w:t xml:space="preserve"> presenta a sus propios estados, a pesar del impacto potencial de estas en las vidas de sus electores. En una jugada que recuerda al espionaje durante de la Guerra Fría, la Comisión Europea incluso ha etiquetado los documentos oficiales del TTIP con marcas secretas, de manera que sea posible seguir su pista hasta la fuente de posibles filtraciones.</w:t>
      </w:r>
    </w:p>
    <w:p w:rsidR="00AF62E6" w:rsidRPr="009331B2"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9331B2" w:rsidRDefault="00AF62E6" w:rsidP="00AF62E6">
      <w:pPr>
        <w:autoSpaceDE w:val="0"/>
        <w:autoSpaceDN w:val="0"/>
        <w:adjustRightInd w:val="0"/>
        <w:spacing w:after="0" w:line="240" w:lineRule="auto"/>
        <w:jc w:val="both"/>
        <w:rPr>
          <w:rFonts w:ascii="Times New Roman" w:hAnsi="Times New Roman" w:cs="Times New Roman"/>
          <w:sz w:val="24"/>
          <w:szCs w:val="24"/>
        </w:rPr>
      </w:pPr>
      <w:r w:rsidRPr="009331B2">
        <w:rPr>
          <w:rFonts w:ascii="Times New Roman" w:hAnsi="Times New Roman" w:cs="Times New Roman"/>
          <w:sz w:val="24"/>
          <w:szCs w:val="24"/>
        </w:rPr>
        <w:t>Otra prueba del celo con que se está trat</w:t>
      </w:r>
      <w:r>
        <w:rPr>
          <w:rFonts w:ascii="Times New Roman" w:hAnsi="Times New Roman" w:cs="Times New Roman"/>
          <w:sz w:val="24"/>
          <w:szCs w:val="24"/>
        </w:rPr>
        <w:t xml:space="preserve">ando el acceso a la información </w:t>
      </w:r>
      <w:r w:rsidRPr="009331B2">
        <w:rPr>
          <w:rFonts w:ascii="Times New Roman" w:hAnsi="Times New Roman" w:cs="Times New Roman"/>
          <w:sz w:val="24"/>
          <w:szCs w:val="24"/>
        </w:rPr>
        <w:t xml:space="preserve">es la reunión a la que la Comisión </w:t>
      </w:r>
      <w:r>
        <w:rPr>
          <w:rFonts w:ascii="Times New Roman" w:hAnsi="Times New Roman" w:cs="Times New Roman"/>
          <w:sz w:val="24"/>
          <w:szCs w:val="24"/>
        </w:rPr>
        <w:t xml:space="preserve">Europea convocó en noviembre de </w:t>
      </w:r>
      <w:r w:rsidRPr="009331B2">
        <w:rPr>
          <w:rFonts w:ascii="Times New Roman" w:hAnsi="Times New Roman" w:cs="Times New Roman"/>
          <w:sz w:val="24"/>
          <w:szCs w:val="24"/>
        </w:rPr>
        <w:t>2013 a los representantes de los Estados</w:t>
      </w:r>
      <w:r>
        <w:rPr>
          <w:rFonts w:ascii="Times New Roman" w:hAnsi="Times New Roman" w:cs="Times New Roman"/>
          <w:sz w:val="24"/>
          <w:szCs w:val="24"/>
        </w:rPr>
        <w:t xml:space="preserve"> miembros de la UE. El objetivo </w:t>
      </w:r>
      <w:r w:rsidRPr="009331B2">
        <w:rPr>
          <w:rFonts w:ascii="Times New Roman" w:hAnsi="Times New Roman" w:cs="Times New Roman"/>
          <w:sz w:val="24"/>
          <w:szCs w:val="24"/>
        </w:rPr>
        <w:t xml:space="preserve">de la reunión fue enseñarles cómo controlar y </w:t>
      </w:r>
      <w:r>
        <w:rPr>
          <w:rFonts w:ascii="Times New Roman" w:hAnsi="Times New Roman" w:cs="Times New Roman"/>
          <w:sz w:val="24"/>
          <w:szCs w:val="24"/>
        </w:rPr>
        <w:t xml:space="preserve">coordinar la comunicación </w:t>
      </w:r>
      <w:r w:rsidRPr="009331B2">
        <w:rPr>
          <w:rFonts w:ascii="Times New Roman" w:hAnsi="Times New Roman" w:cs="Times New Roman"/>
          <w:sz w:val="24"/>
          <w:szCs w:val="24"/>
        </w:rPr>
        <w:t xml:space="preserve">futura referente al TTIP. Para la reunión </w:t>
      </w:r>
      <w:r>
        <w:rPr>
          <w:rFonts w:ascii="Times New Roman" w:hAnsi="Times New Roman" w:cs="Times New Roman"/>
          <w:sz w:val="24"/>
          <w:szCs w:val="24"/>
        </w:rPr>
        <w:t xml:space="preserve">se redactó un documento interno </w:t>
      </w:r>
      <w:r w:rsidRPr="009331B2">
        <w:rPr>
          <w:rFonts w:ascii="Times New Roman" w:hAnsi="Times New Roman" w:cs="Times New Roman"/>
          <w:sz w:val="24"/>
          <w:szCs w:val="24"/>
        </w:rPr>
        <w:t>de la Comisión Europea (posteriorme</w:t>
      </w:r>
      <w:r>
        <w:rPr>
          <w:rFonts w:ascii="Times New Roman" w:hAnsi="Times New Roman" w:cs="Times New Roman"/>
          <w:sz w:val="24"/>
          <w:szCs w:val="24"/>
        </w:rPr>
        <w:t xml:space="preserve">nte filtrado y publicado por la </w:t>
      </w:r>
      <w:r w:rsidRPr="009331B2">
        <w:rPr>
          <w:rFonts w:ascii="Times New Roman" w:hAnsi="Times New Roman" w:cs="Times New Roman"/>
          <w:sz w:val="24"/>
          <w:szCs w:val="24"/>
        </w:rPr>
        <w:t>revista danesa Notat) que instaba a los Estados mi</w:t>
      </w:r>
      <w:r>
        <w:rPr>
          <w:rFonts w:ascii="Times New Roman" w:hAnsi="Times New Roman" w:cs="Times New Roman"/>
          <w:sz w:val="24"/>
          <w:szCs w:val="24"/>
        </w:rPr>
        <w:t xml:space="preserve">embros a trabajar conjuntamente </w:t>
      </w:r>
      <w:r w:rsidRPr="009331B2">
        <w:rPr>
          <w:rFonts w:ascii="Times New Roman" w:hAnsi="Times New Roman" w:cs="Times New Roman"/>
          <w:sz w:val="24"/>
          <w:szCs w:val="24"/>
        </w:rPr>
        <w:t>para combatir la crecient</w:t>
      </w:r>
      <w:r>
        <w:rPr>
          <w:rFonts w:ascii="Times New Roman" w:hAnsi="Times New Roman" w:cs="Times New Roman"/>
          <w:sz w:val="24"/>
          <w:szCs w:val="24"/>
        </w:rPr>
        <w:t xml:space="preserve">e preocupación ciudadana frente </w:t>
      </w:r>
      <w:r w:rsidRPr="009331B2">
        <w:rPr>
          <w:rFonts w:ascii="Times New Roman" w:hAnsi="Times New Roman" w:cs="Times New Roman"/>
          <w:sz w:val="24"/>
          <w:szCs w:val="24"/>
        </w:rPr>
        <w:t>al hecho de que el TTIP “debilitaría las regulacio</w:t>
      </w:r>
      <w:r>
        <w:rPr>
          <w:rFonts w:ascii="Times New Roman" w:hAnsi="Times New Roman" w:cs="Times New Roman"/>
          <w:sz w:val="24"/>
          <w:szCs w:val="24"/>
        </w:rPr>
        <w:t xml:space="preserve">nes y los niveles de protección </w:t>
      </w:r>
      <w:r w:rsidRPr="009331B2">
        <w:rPr>
          <w:rFonts w:ascii="Times New Roman" w:hAnsi="Times New Roman" w:cs="Times New Roman"/>
          <w:sz w:val="24"/>
          <w:szCs w:val="24"/>
        </w:rPr>
        <w:t>existentes en ámbitos como la s</w:t>
      </w:r>
      <w:r>
        <w:rPr>
          <w:rFonts w:ascii="Times New Roman" w:hAnsi="Times New Roman" w:cs="Times New Roman"/>
          <w:sz w:val="24"/>
          <w:szCs w:val="24"/>
        </w:rPr>
        <w:t xml:space="preserve">anidad, la seguridad y el medio </w:t>
      </w:r>
      <w:r w:rsidRPr="009331B2">
        <w:rPr>
          <w:rFonts w:ascii="Times New Roman" w:hAnsi="Times New Roman" w:cs="Times New Roman"/>
          <w:sz w:val="24"/>
          <w:szCs w:val="24"/>
        </w:rPr>
        <w:t xml:space="preserve">ambiente”. La Comisión llegó a sugerir que el lanzamiento de </w:t>
      </w:r>
      <w:r>
        <w:rPr>
          <w:rFonts w:ascii="Times New Roman" w:hAnsi="Times New Roman" w:cs="Times New Roman"/>
          <w:sz w:val="24"/>
          <w:szCs w:val="24"/>
        </w:rPr>
        <w:t xml:space="preserve">su nueva </w:t>
      </w:r>
      <w:r w:rsidRPr="009331B2">
        <w:rPr>
          <w:rFonts w:ascii="Times New Roman" w:hAnsi="Times New Roman" w:cs="Times New Roman"/>
          <w:sz w:val="24"/>
          <w:szCs w:val="24"/>
        </w:rPr>
        <w:t>cuenta de Twitter dedicada a las negociac</w:t>
      </w:r>
      <w:r>
        <w:rPr>
          <w:rFonts w:ascii="Times New Roman" w:hAnsi="Times New Roman" w:cs="Times New Roman"/>
          <w:sz w:val="24"/>
          <w:szCs w:val="24"/>
        </w:rPr>
        <w:t xml:space="preserve">iones del acuerdo se presentase </w:t>
      </w:r>
      <w:r w:rsidRPr="009331B2">
        <w:rPr>
          <w:rFonts w:ascii="Times New Roman" w:hAnsi="Times New Roman" w:cs="Times New Roman"/>
          <w:sz w:val="24"/>
          <w:szCs w:val="24"/>
        </w:rPr>
        <w:t>como prueba de transparencia, pese a s</w:t>
      </w:r>
      <w:r>
        <w:rPr>
          <w:rFonts w:ascii="Times New Roman" w:hAnsi="Times New Roman" w:cs="Times New Roman"/>
          <w:sz w:val="24"/>
          <w:szCs w:val="24"/>
        </w:rPr>
        <w:t xml:space="preserve">u clara función, tanto entonces </w:t>
      </w:r>
      <w:r w:rsidRPr="009331B2">
        <w:rPr>
          <w:rFonts w:ascii="Times New Roman" w:hAnsi="Times New Roman" w:cs="Times New Roman"/>
          <w:sz w:val="24"/>
          <w:szCs w:val="24"/>
        </w:rPr>
        <w:t>como ahora, como medio de propa</w:t>
      </w:r>
      <w:r>
        <w:rPr>
          <w:rFonts w:ascii="Times New Roman" w:hAnsi="Times New Roman" w:cs="Times New Roman"/>
          <w:sz w:val="24"/>
          <w:szCs w:val="24"/>
        </w:rPr>
        <w:t>ganda para el equipo europeo de negociaciones del TTIP.</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7C0B83" w:rsidRDefault="00AF62E6" w:rsidP="00AF62E6">
      <w:pPr>
        <w:autoSpaceDE w:val="0"/>
        <w:autoSpaceDN w:val="0"/>
        <w:adjustRightInd w:val="0"/>
        <w:spacing w:after="0" w:line="240" w:lineRule="auto"/>
        <w:jc w:val="both"/>
        <w:rPr>
          <w:rFonts w:ascii="Times New Roman" w:hAnsi="Times New Roman" w:cs="Times New Roman"/>
          <w:sz w:val="24"/>
          <w:szCs w:val="24"/>
        </w:rPr>
      </w:pPr>
      <w:r w:rsidRPr="00304635">
        <w:rPr>
          <w:rFonts w:ascii="Times New Roman" w:hAnsi="Times New Roman" w:cs="Times New Roman"/>
          <w:color w:val="FF0000"/>
          <w:sz w:val="24"/>
          <w:szCs w:val="24"/>
        </w:rPr>
        <w:t xml:space="preserve">Del mismo modo, a los </w:t>
      </w:r>
      <w:r>
        <w:rPr>
          <w:rFonts w:ascii="Times New Roman" w:hAnsi="Times New Roman" w:cs="Times New Roman"/>
          <w:color w:val="FF0000"/>
          <w:sz w:val="24"/>
          <w:szCs w:val="24"/>
        </w:rPr>
        <w:t>miembros del Congreso de los EEUU</w:t>
      </w:r>
      <w:r w:rsidRPr="00304635">
        <w:rPr>
          <w:rFonts w:ascii="Times New Roman" w:hAnsi="Times New Roman" w:cs="Times New Roman"/>
          <w:color w:val="FF0000"/>
          <w:sz w:val="24"/>
          <w:szCs w:val="24"/>
        </w:rPr>
        <w:t xml:space="preserve"> se les negará el acceso a las demandas que la UE haga a los diferentes estados federados. Sin embargo, los borradores de posiciones en las negociaciones se compartirán con los asesores corporativos del gobierno estadounidense, quienes podrán compartirlos a su vez con sus contrapartes empresariales europeas</w:t>
      </w:r>
      <w:r w:rsidRPr="009331B2">
        <w:rPr>
          <w:rFonts w:ascii="Times New Roman" w:hAnsi="Times New Roman" w:cs="Times New Roman"/>
          <w:sz w:val="24"/>
          <w:szCs w:val="24"/>
        </w:rPr>
        <w:t xml:space="preserve">. </w:t>
      </w:r>
      <w:r w:rsidRPr="00304635">
        <w:rPr>
          <w:rFonts w:ascii="Times New Roman" w:hAnsi="Times New Roman" w:cs="Times New Roman"/>
          <w:color w:val="FF0000"/>
          <w:sz w:val="24"/>
          <w:szCs w:val="24"/>
        </w:rPr>
        <w:t>La creciente concienciación entre la opinión pública estadounidense de la amenaza que puede suponer el TTIP para su calidad de vida ha aumentado la preocupación de que el Congreso pueda presentar obstáculos a las negociaciones; en especial sobre las intenciones manifestadas por la UE de eliminar la popular disposición “Buy America</w:t>
      </w:r>
      <w:r w:rsidR="00D046BF">
        <w:rPr>
          <w:rFonts w:ascii="Times New Roman" w:hAnsi="Times New Roman" w:cs="Times New Roman"/>
          <w:color w:val="FF0000"/>
          <w:sz w:val="24"/>
          <w:szCs w:val="24"/>
        </w:rPr>
        <w:t>n</w:t>
      </w:r>
      <w:r w:rsidRPr="00304635">
        <w:rPr>
          <w:rFonts w:ascii="Times New Roman" w:hAnsi="Times New Roman" w:cs="Times New Roman"/>
          <w:color w:val="FF0000"/>
          <w:sz w:val="24"/>
          <w:szCs w:val="24"/>
        </w:rPr>
        <w:t>”, que apoya el empleo y los negocios locales en muchos estados federados.</w:t>
      </w:r>
      <w:r w:rsidRPr="007C0B83">
        <w:rPr>
          <w:rFonts w:ascii="Times New Roman" w:hAnsi="Times New Roman" w:cs="Times New Roman"/>
          <w:sz w:val="24"/>
          <w:szCs w:val="24"/>
        </w:rPr>
        <w:t xml:space="preserve"> En un int</w:t>
      </w:r>
      <w:r>
        <w:rPr>
          <w:rFonts w:ascii="Times New Roman" w:hAnsi="Times New Roman" w:cs="Times New Roman"/>
          <w:sz w:val="24"/>
          <w:szCs w:val="24"/>
        </w:rPr>
        <w:t xml:space="preserve">ento por evitarlo el viceprimer </w:t>
      </w:r>
      <w:r w:rsidRPr="007C0B83">
        <w:rPr>
          <w:rFonts w:ascii="Times New Roman" w:hAnsi="Times New Roman" w:cs="Times New Roman"/>
          <w:sz w:val="24"/>
          <w:szCs w:val="24"/>
        </w:rPr>
        <w:t>ministro del Reino Unido, Nick Clegg, viaj</w:t>
      </w:r>
      <w:r>
        <w:rPr>
          <w:rFonts w:ascii="Times New Roman" w:hAnsi="Times New Roman" w:cs="Times New Roman"/>
          <w:sz w:val="24"/>
          <w:szCs w:val="24"/>
        </w:rPr>
        <w:t xml:space="preserve">ó a los EEUU en septiembre de </w:t>
      </w:r>
      <w:r w:rsidRPr="007C0B83">
        <w:rPr>
          <w:rFonts w:ascii="Times New Roman" w:hAnsi="Times New Roman" w:cs="Times New Roman"/>
          <w:sz w:val="24"/>
          <w:szCs w:val="24"/>
        </w:rPr>
        <w:t>2013 con un folleto especialmente redac</w:t>
      </w:r>
      <w:r>
        <w:rPr>
          <w:rFonts w:ascii="Times New Roman" w:hAnsi="Times New Roman" w:cs="Times New Roman"/>
          <w:sz w:val="24"/>
          <w:szCs w:val="24"/>
        </w:rPr>
        <w:t xml:space="preserve">tado para la ocasión y diseñado </w:t>
      </w:r>
      <w:r w:rsidRPr="007C0B83">
        <w:rPr>
          <w:rFonts w:ascii="Times New Roman" w:hAnsi="Times New Roman" w:cs="Times New Roman"/>
          <w:sz w:val="24"/>
          <w:szCs w:val="24"/>
        </w:rPr>
        <w:t xml:space="preserve">con el propósito de convencer a cada uno de </w:t>
      </w:r>
      <w:r>
        <w:rPr>
          <w:rFonts w:ascii="Times New Roman" w:hAnsi="Times New Roman" w:cs="Times New Roman"/>
          <w:sz w:val="24"/>
          <w:szCs w:val="24"/>
        </w:rPr>
        <w:t xml:space="preserve">los 50 estados norteamericanos </w:t>
      </w:r>
      <w:r w:rsidRPr="007C0B83">
        <w:rPr>
          <w:rFonts w:ascii="Times New Roman" w:hAnsi="Times New Roman" w:cs="Times New Roman"/>
          <w:sz w:val="24"/>
          <w:szCs w:val="24"/>
        </w:rPr>
        <w:t xml:space="preserve">de los beneficios potenciales </w:t>
      </w:r>
      <w:r>
        <w:rPr>
          <w:rFonts w:ascii="Times New Roman" w:hAnsi="Times New Roman" w:cs="Times New Roman"/>
          <w:sz w:val="24"/>
          <w:szCs w:val="24"/>
        </w:rPr>
        <w:t>que les puede ofrecer el TTIP.</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 xml:space="preserve">Mientras que las negociaciones se llevan a cabo bajo la más estricta confidencialidad, el TTIP aspira a instaurar su propia noción de “transparencia”, la cual hará posible que </w:t>
      </w:r>
      <w:r w:rsidRPr="00304635">
        <w:rPr>
          <w:rFonts w:ascii="Times New Roman" w:hAnsi="Times New Roman" w:cs="Times New Roman"/>
          <w:color w:val="FF0000"/>
          <w:sz w:val="24"/>
          <w:szCs w:val="24"/>
        </w:rPr>
        <w:lastRenderedPageBreak/>
        <w:t>corporaciones transnacionales puedan interferir en la introducción de futuras regulaciones que puedan limitar sus beneficios. El gobierno estadounidense instó públicamente a conceder a las empresas más poder a la hora de establecer normativas reguladoras a los dos lados del Atlántico, a lo que la Comisión Europea respondió proponiendo la creación de un Consejo de Cooperación Regulatoria. Este consejo no sólo controlaría la aplicación de los compromisos existentes en materia de desregulación sino que además les daría a las empresas el poder de escoger y eliminar otras normativas una vez finalizadas las negociaciones del TTIP, así como de recibir notificación de todas las proposiciones de normativas nuevas antes de su introducción y tener la potestad de eliminar las restricciones no deseadas sobre actividades comerciales. En noviembre de 2013 se avanzó un poco más hacia este nuevo poder de las empresas a la hora de controlar las normativas reguladoras, cuando los</w:t>
      </w:r>
      <w:r>
        <w:rPr>
          <w:rFonts w:ascii="Times New Roman" w:hAnsi="Times New Roman" w:cs="Times New Roman"/>
          <w:color w:val="FF0000"/>
          <w:sz w:val="24"/>
          <w:szCs w:val="24"/>
        </w:rPr>
        <w:t xml:space="preserve"> negociadores de la UE y los EEUU</w:t>
      </w:r>
      <w:r w:rsidRPr="00304635">
        <w:rPr>
          <w:rFonts w:ascii="Times New Roman" w:hAnsi="Times New Roman" w:cs="Times New Roman"/>
          <w:color w:val="FF0000"/>
          <w:sz w:val="24"/>
          <w:szCs w:val="24"/>
        </w:rPr>
        <w:t xml:space="preserve"> acordaron crear el Consejo como parte del acuerdo del TTIP.</w:t>
      </w: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7C0B83"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7C0B83">
        <w:rPr>
          <w:rFonts w:ascii="Times New Roman" w:hAnsi="Times New Roman" w:cs="Times New Roman"/>
          <w:b/>
          <w:sz w:val="24"/>
          <w:szCs w:val="24"/>
        </w:rPr>
        <w:t>3 - Una amenaza “prolongada y considerable” para el empleo</w:t>
      </w:r>
    </w:p>
    <w:p w:rsidR="00AF62E6" w:rsidRPr="007C0B83"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Se ha insistido mucho sobre los beneficios económicos que traerá consigo el TTIP. La cifra más frecuentemente citada proviene de una evaluación de impacto encargada al Centro de Investigación de Política Económica por la Comisión Europea, cuya hipótesis más optimista afirma que los resultados económicos de la UE podrían mejorar en un 0,5% para el año 2027 como resultado del acuerdo entre los</w:t>
      </w:r>
      <w:r>
        <w:rPr>
          <w:rFonts w:ascii="Times New Roman" w:hAnsi="Times New Roman" w:cs="Times New Roman"/>
          <w:color w:val="FF0000"/>
          <w:sz w:val="24"/>
          <w:szCs w:val="24"/>
        </w:rPr>
        <w:t xml:space="preserve"> EEUU</w:t>
      </w:r>
      <w:r w:rsidRPr="00304635">
        <w:rPr>
          <w:rFonts w:ascii="Times New Roman" w:hAnsi="Times New Roman" w:cs="Times New Roman"/>
          <w:color w:val="FF0000"/>
          <w:sz w:val="24"/>
          <w:szCs w:val="24"/>
        </w:rPr>
        <w:t xml:space="preserve"> y la UE. Sin embargo, investigadores independientes han tachado esta afirmación de “engañosa”, y han advertido sobre las falsas premisas del estudio, mientras que los beneficios resultado del TTIP que en realidad cabe esperar han sido calificados de “insignificantes” por el experto responsable de llevar a cabo las evaluaciones de los acuerdos de libre comercio de la UE durante 10 años.</w:t>
      </w: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304635">
        <w:rPr>
          <w:rFonts w:ascii="Times New Roman" w:hAnsi="Times New Roman" w:cs="Times New Roman"/>
          <w:color w:val="FF0000"/>
          <w:sz w:val="24"/>
          <w:szCs w:val="24"/>
        </w:rPr>
        <w:t xml:space="preserve">Por lo que respecta a las pérdidas de puestos de trabajo que normalmente resultan de los acuerdos de libre comercio, la Comisión Europea ha admitido que es probable que el TTIP provoque perjuicios “prolongados y considerables” para los trabajadores europeos, ya que el acuerdo alentará a las empresas a abastecerse de </w:t>
      </w:r>
      <w:r>
        <w:rPr>
          <w:rFonts w:ascii="Times New Roman" w:hAnsi="Times New Roman" w:cs="Times New Roman"/>
          <w:color w:val="FF0000"/>
          <w:sz w:val="24"/>
          <w:szCs w:val="24"/>
        </w:rPr>
        <w:t>productos y servicios de los EEUU</w:t>
      </w:r>
      <w:r w:rsidRPr="00304635">
        <w:rPr>
          <w:rFonts w:ascii="Times New Roman" w:hAnsi="Times New Roman" w:cs="Times New Roman"/>
          <w:color w:val="FF0000"/>
          <w:sz w:val="24"/>
          <w:szCs w:val="24"/>
        </w:rPr>
        <w:t>, donde las normativas laborales son menos exigentes y los derechos sindicales simplemente no existen. En una época en que los niveles de desempleo en Europa ya alcanzan cifras con un paro juvenil de más del 50% en algunos de los Estados miembros, la Comisión Europea reconoce que existe una “preocupación legítima” de que los trabajadores que pierdan su empleo a causa del TTIP no puedan volver a trabajar. Para asistir al gran número de desempleados adicionales que se prevén, la Comisión ha aconsejado a los Estados miembros de la UE echar mano de fondos de ayuda estructurales como el Fondo de Adaptación a la Globalización o el Fondo Social Europeo, dotado con 70.000 millones de euros a distribuir en los próximos siete años, entre 2014 y 2020.</w:t>
      </w:r>
    </w:p>
    <w:p w:rsidR="00AF62E6" w:rsidRPr="00304635"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CF4593">
        <w:rPr>
          <w:rFonts w:ascii="Times New Roman" w:hAnsi="Times New Roman" w:cs="Times New Roman"/>
          <w:color w:val="FF0000"/>
          <w:sz w:val="24"/>
          <w:szCs w:val="24"/>
        </w:rPr>
        <w:t xml:space="preserve">Los trabajadores estadounidenses ya están acostumbrados a estas pérdidas de empleo por su experiencia con el Tratado de Libre Comercio de América del Norte (TLCAN o NAFTA, por sus siglas en inglés) entre los Estados Unidos, Canadá y México, el cual entró en vigor en 1994. Como está sucediendo con el TTIP, a los sindicatos estadounidenses se les hicieron “falsas promesas” de cientos de miles de puestos de trabajo extra para convencerles de que apoyaran el NAFTA. En realidad, según el estudio del Instituto de Política Económica sobre los 12 primeros años del tratado, el NAFTA causó una pérdida neta de más de un millón de puestos de trabajo en los </w:t>
      </w:r>
      <w:r>
        <w:rPr>
          <w:rFonts w:ascii="Times New Roman" w:hAnsi="Times New Roman" w:cs="Times New Roman"/>
          <w:color w:val="FF0000"/>
          <w:sz w:val="24"/>
          <w:szCs w:val="24"/>
        </w:rPr>
        <w:t>EEUU</w:t>
      </w:r>
      <w:r w:rsidRPr="00CF4593">
        <w:rPr>
          <w:rFonts w:ascii="Times New Roman" w:hAnsi="Times New Roman" w:cs="Times New Roman"/>
          <w:color w:val="FF0000"/>
          <w:sz w:val="24"/>
          <w:szCs w:val="24"/>
        </w:rPr>
        <w:t xml:space="preserve"> </w:t>
      </w:r>
      <w:r w:rsidRPr="00CF4593">
        <w:rPr>
          <w:rFonts w:ascii="Times New Roman" w:hAnsi="Times New Roman" w:cs="Times New Roman"/>
          <w:color w:val="FF0000"/>
          <w:sz w:val="24"/>
          <w:szCs w:val="24"/>
        </w:rPr>
        <w:lastRenderedPageBreak/>
        <w:t>y un descenso significativo de los salarios de millones de trabajadores. La evaluación de impacto del TTIP encargada por el gobierno estadounidense se ha mantenido en secreto, pero la evaluación de la Comisión Europea sugiere que el TTIP también conllevará perjuicios considerables para los trabajadores estadounidenses, que se sumarán a los 12 millones de personas que ya están</w:t>
      </w:r>
      <w:r>
        <w:rPr>
          <w:rFonts w:ascii="Times New Roman" w:hAnsi="Times New Roman" w:cs="Times New Roman"/>
          <w:color w:val="FF0000"/>
          <w:sz w:val="24"/>
          <w:szCs w:val="24"/>
        </w:rPr>
        <w:t xml:space="preserve"> oficialmente en paro en los EE</w:t>
      </w:r>
      <w:r w:rsidRPr="00CF4593">
        <w:rPr>
          <w:rFonts w:ascii="Times New Roman" w:hAnsi="Times New Roman" w:cs="Times New Roman"/>
          <w:color w:val="FF0000"/>
          <w:sz w:val="24"/>
          <w:szCs w:val="24"/>
        </w:rPr>
        <w:t>UU.</w:t>
      </w: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CF4593">
        <w:rPr>
          <w:rFonts w:ascii="Times New Roman" w:hAnsi="Times New Roman" w:cs="Times New Roman"/>
          <w:color w:val="FF0000"/>
          <w:sz w:val="24"/>
          <w:szCs w:val="24"/>
        </w:rPr>
        <w:t>También preocupa la posibilidad de que el TTIP lleve a rebajar todas aquellas normativas laborales que se consideren una “barrera” para el comercio, como los convenios colectivos, que podrían verse amenazados al establecer limitaciones al modelo de negocios competidor, por nombrar sólo un ejemplo mencionado en un informe para la Comisión Europea sobre medidas que representan un “obstáculo” en el comercio entre l</w:t>
      </w:r>
      <w:r>
        <w:rPr>
          <w:rFonts w:ascii="Times New Roman" w:hAnsi="Times New Roman" w:cs="Times New Roman"/>
          <w:color w:val="FF0000"/>
          <w:sz w:val="24"/>
          <w:szCs w:val="24"/>
        </w:rPr>
        <w:t>a UE y los EE</w:t>
      </w:r>
      <w:r w:rsidRPr="00CF4593">
        <w:rPr>
          <w:rFonts w:ascii="Times New Roman" w:hAnsi="Times New Roman" w:cs="Times New Roman"/>
          <w:color w:val="FF0000"/>
          <w:sz w:val="24"/>
          <w:szCs w:val="24"/>
        </w:rPr>
        <w:t>UU. Como es bien sabido, los Estados Unidos se negaron a ratificar los convenios de la Organización Internacional del Trabajo sobre normas laborales básicas como la negociación colectiva, la libertad de asociación y el derecho a organizarse. Además, aproximadament</w:t>
      </w:r>
      <w:r>
        <w:rPr>
          <w:rFonts w:ascii="Times New Roman" w:hAnsi="Times New Roman" w:cs="Times New Roman"/>
          <w:color w:val="FF0000"/>
          <w:sz w:val="24"/>
          <w:szCs w:val="24"/>
        </w:rPr>
        <w:t>e la mitad de los estados de EEUU</w:t>
      </w:r>
      <w:r w:rsidRPr="00CF4593">
        <w:rPr>
          <w:rFonts w:ascii="Times New Roman" w:hAnsi="Times New Roman" w:cs="Times New Roman"/>
          <w:color w:val="FF0000"/>
          <w:sz w:val="24"/>
          <w:szCs w:val="24"/>
        </w:rPr>
        <w:t xml:space="preserve"> han adoptado recientemente legislación antisindical bajo el marco del llamado “derecho a trabajar”, el cual perjudica las cuentas de los sindicatos y permite a las empresas recortar las pagas, el seguro médico y las pensiones de los y las trabajadoras. Las empresas, en su afán por rebajar los mínimos, ven el TTIP como una oportunidad para deslocalizar la producción hacia lugares donde los salarios y los derechos de los y las trabajadoras sean menores con el fin de reducir los costes laborales e incrementar sus beneficios. La Comisión Europea es conocida por apoyar las demandas de grupos empresariales europeos que quieren suprimir derechos laborales y de salarios en la Unión Europea.</w:t>
      </w: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CF4593">
        <w:rPr>
          <w:rFonts w:ascii="Times New Roman" w:hAnsi="Times New Roman" w:cs="Times New Roman"/>
          <w:color w:val="FF0000"/>
          <w:sz w:val="24"/>
          <w:szCs w:val="24"/>
        </w:rPr>
        <w:t>Además, según las disposiciones de protección del inversor propuestas en el TTIP, cualquier reforma futura encaminada a mejorar las condiciones de empleo podrá ser objeto de demandas de indemnización por parte de corporaciones europeas o estadounidenses</w:t>
      </w:r>
      <w:r w:rsidRPr="007C0B83">
        <w:rPr>
          <w:rFonts w:ascii="Times New Roman" w:hAnsi="Times New Roman" w:cs="Times New Roman"/>
          <w:sz w:val="24"/>
          <w:szCs w:val="24"/>
        </w:rPr>
        <w:t>.</w:t>
      </w:r>
      <w:r>
        <w:rPr>
          <w:rFonts w:ascii="Times New Roman" w:hAnsi="Times New Roman" w:cs="Times New Roman"/>
          <w:sz w:val="24"/>
          <w:szCs w:val="24"/>
        </w:rPr>
        <w:t xml:space="preserve"> </w:t>
      </w:r>
      <w:r w:rsidRPr="007C0B83">
        <w:rPr>
          <w:rFonts w:ascii="Times New Roman" w:hAnsi="Times New Roman" w:cs="Times New Roman"/>
          <w:sz w:val="24"/>
          <w:szCs w:val="24"/>
        </w:rPr>
        <w:t>La compañía francesa Veolia acaba de</w:t>
      </w:r>
      <w:r>
        <w:rPr>
          <w:rFonts w:ascii="Times New Roman" w:hAnsi="Times New Roman" w:cs="Times New Roman"/>
          <w:sz w:val="24"/>
          <w:szCs w:val="24"/>
        </w:rPr>
        <w:t xml:space="preserve"> interponer una demanda de este </w:t>
      </w:r>
      <w:r w:rsidRPr="007C0B83">
        <w:rPr>
          <w:rFonts w:ascii="Times New Roman" w:hAnsi="Times New Roman" w:cs="Times New Roman"/>
          <w:sz w:val="24"/>
          <w:szCs w:val="24"/>
        </w:rPr>
        <w:t>tipo contra Egipto en relación a su contrat</w:t>
      </w:r>
      <w:r>
        <w:rPr>
          <w:rFonts w:ascii="Times New Roman" w:hAnsi="Times New Roman" w:cs="Times New Roman"/>
          <w:sz w:val="24"/>
          <w:szCs w:val="24"/>
        </w:rPr>
        <w:t xml:space="preserve">o a 15 años para la eliminación </w:t>
      </w:r>
      <w:r w:rsidRPr="007C0B83">
        <w:rPr>
          <w:rFonts w:ascii="Times New Roman" w:hAnsi="Times New Roman" w:cs="Times New Roman"/>
          <w:sz w:val="24"/>
          <w:szCs w:val="24"/>
        </w:rPr>
        <w:t>de residuos en Alejandría; un contrato que la compañía cesó en oc</w:t>
      </w:r>
      <w:r>
        <w:rPr>
          <w:rFonts w:ascii="Times New Roman" w:hAnsi="Times New Roman" w:cs="Times New Roman"/>
          <w:sz w:val="24"/>
          <w:szCs w:val="24"/>
        </w:rPr>
        <w:t xml:space="preserve">tubre </w:t>
      </w:r>
      <w:r w:rsidRPr="007C0B83">
        <w:rPr>
          <w:rFonts w:ascii="Times New Roman" w:hAnsi="Times New Roman" w:cs="Times New Roman"/>
          <w:sz w:val="24"/>
          <w:szCs w:val="24"/>
        </w:rPr>
        <w:t xml:space="preserve">de 2011. Veolia está intentando </w:t>
      </w:r>
      <w:r>
        <w:rPr>
          <w:rFonts w:ascii="Times New Roman" w:hAnsi="Times New Roman" w:cs="Times New Roman"/>
          <w:sz w:val="24"/>
          <w:szCs w:val="24"/>
        </w:rPr>
        <w:t xml:space="preserve">conseguir una indemnización del </w:t>
      </w:r>
      <w:r w:rsidRPr="007C0B83">
        <w:rPr>
          <w:rFonts w:ascii="Times New Roman" w:hAnsi="Times New Roman" w:cs="Times New Roman"/>
          <w:sz w:val="24"/>
          <w:szCs w:val="24"/>
        </w:rPr>
        <w:t>Estado egipcio basándose, entre otra</w:t>
      </w:r>
      <w:r>
        <w:rPr>
          <w:rFonts w:ascii="Times New Roman" w:hAnsi="Times New Roman" w:cs="Times New Roman"/>
          <w:sz w:val="24"/>
          <w:szCs w:val="24"/>
        </w:rPr>
        <w:t xml:space="preserve">s cosas, en que sus márgenes de </w:t>
      </w:r>
      <w:r w:rsidRPr="007C0B83">
        <w:rPr>
          <w:rFonts w:ascii="Times New Roman" w:hAnsi="Times New Roman" w:cs="Times New Roman"/>
          <w:sz w:val="24"/>
          <w:szCs w:val="24"/>
        </w:rPr>
        <w:t>beneficios se vieron afectados de form</w:t>
      </w:r>
      <w:r>
        <w:rPr>
          <w:rFonts w:ascii="Times New Roman" w:hAnsi="Times New Roman" w:cs="Times New Roman"/>
          <w:sz w:val="24"/>
          <w:szCs w:val="24"/>
        </w:rPr>
        <w:t xml:space="preserve">a adversa por los esfuerzos del </w:t>
      </w:r>
      <w:r w:rsidRPr="007C0B83">
        <w:rPr>
          <w:rFonts w:ascii="Times New Roman" w:hAnsi="Times New Roman" w:cs="Times New Roman"/>
          <w:sz w:val="24"/>
          <w:szCs w:val="24"/>
        </w:rPr>
        <w:t>Consejo Nacional de Salarios de mantener los sue</w:t>
      </w:r>
      <w:r>
        <w:rPr>
          <w:rFonts w:ascii="Times New Roman" w:hAnsi="Times New Roman" w:cs="Times New Roman"/>
          <w:sz w:val="24"/>
          <w:szCs w:val="24"/>
        </w:rPr>
        <w:t xml:space="preserve">ldos en los sectores </w:t>
      </w:r>
      <w:r w:rsidRPr="007C0B83">
        <w:rPr>
          <w:rFonts w:ascii="Times New Roman" w:hAnsi="Times New Roman" w:cs="Times New Roman"/>
          <w:sz w:val="24"/>
          <w:szCs w:val="24"/>
        </w:rPr>
        <w:t>público y privado</w:t>
      </w:r>
      <w:r>
        <w:rPr>
          <w:rFonts w:ascii="Times New Roman" w:hAnsi="Times New Roman" w:cs="Times New Roman"/>
          <w:sz w:val="24"/>
          <w:szCs w:val="24"/>
        </w:rPr>
        <w:t xml:space="preserve"> en sintonía con la inflación. El temor a enfrentarse a </w:t>
      </w:r>
      <w:r w:rsidRPr="007C0B83">
        <w:rPr>
          <w:rFonts w:ascii="Times New Roman" w:hAnsi="Times New Roman" w:cs="Times New Roman"/>
          <w:sz w:val="24"/>
          <w:szCs w:val="24"/>
        </w:rPr>
        <w:t>casos similares si se aprueba el TTIP podr</w:t>
      </w:r>
      <w:r>
        <w:rPr>
          <w:rFonts w:ascii="Times New Roman" w:hAnsi="Times New Roman" w:cs="Times New Roman"/>
          <w:sz w:val="24"/>
          <w:szCs w:val="24"/>
        </w:rPr>
        <w:t xml:space="preserve">ía tener un efecto amedrentador </w:t>
      </w:r>
      <w:r w:rsidRPr="007C0B83">
        <w:rPr>
          <w:rFonts w:ascii="Times New Roman" w:hAnsi="Times New Roman" w:cs="Times New Roman"/>
          <w:sz w:val="24"/>
          <w:szCs w:val="24"/>
        </w:rPr>
        <w:t>y disuadir a países a la hora de introdu</w:t>
      </w:r>
      <w:r>
        <w:rPr>
          <w:rFonts w:ascii="Times New Roman" w:hAnsi="Times New Roman" w:cs="Times New Roman"/>
          <w:sz w:val="24"/>
          <w:szCs w:val="24"/>
        </w:rPr>
        <w:t xml:space="preserve">cir en el futuro mejoras en las </w:t>
      </w:r>
      <w:r w:rsidRPr="007C0B83">
        <w:rPr>
          <w:rFonts w:ascii="Times New Roman" w:hAnsi="Times New Roman" w:cs="Times New Roman"/>
          <w:sz w:val="24"/>
          <w:szCs w:val="24"/>
        </w:rPr>
        <w:t>condiciones laborales.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12504D"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12504D">
        <w:rPr>
          <w:rFonts w:ascii="Times New Roman" w:hAnsi="Times New Roman" w:cs="Times New Roman"/>
          <w:b/>
          <w:sz w:val="24"/>
          <w:szCs w:val="24"/>
        </w:rPr>
        <w:t>4 - Desregulación de la seguridad alimentaria</w:t>
      </w:r>
    </w:p>
    <w:p w:rsidR="00AF62E6" w:rsidRPr="0012504D" w:rsidRDefault="00AF62E6" w:rsidP="00AF62E6">
      <w:pPr>
        <w:autoSpaceDE w:val="0"/>
        <w:autoSpaceDN w:val="0"/>
        <w:adjustRightInd w:val="0"/>
        <w:spacing w:after="0" w:line="240" w:lineRule="auto"/>
        <w:jc w:val="both"/>
        <w:rPr>
          <w:rFonts w:ascii="Times New Roman" w:hAnsi="Times New Roman" w:cs="Times New Roman"/>
          <w:b/>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CF4593">
        <w:rPr>
          <w:rFonts w:ascii="Times New Roman" w:hAnsi="Times New Roman" w:cs="Times New Roman"/>
          <w:color w:val="FF0000"/>
          <w:sz w:val="24"/>
          <w:szCs w:val="24"/>
        </w:rPr>
        <w:t>Las regulaciones europeas en materia de seguridad alimentaria, incluidas las restricciones referentes a los organismos genéticamente modificados (OGM), los pesticidas, la carne tratada con hormonas y los promotores de crecimiento, se cuentan entre los principales objetivos a eliminar para los grupos empresariales en el marco de las negociaciones en torno al TTIP. Los pro</w:t>
      </w:r>
      <w:r>
        <w:rPr>
          <w:rFonts w:ascii="Times New Roman" w:hAnsi="Times New Roman" w:cs="Times New Roman"/>
          <w:color w:val="FF0000"/>
          <w:sz w:val="24"/>
          <w:szCs w:val="24"/>
        </w:rPr>
        <w:t>ductores de alimentos en los EEUU</w:t>
      </w:r>
      <w:r w:rsidRPr="00CF4593">
        <w:rPr>
          <w:rFonts w:ascii="Times New Roman" w:hAnsi="Times New Roman" w:cs="Times New Roman"/>
          <w:color w:val="FF0000"/>
          <w:sz w:val="24"/>
          <w:szCs w:val="24"/>
        </w:rPr>
        <w:t xml:space="preserve"> no deben cumplir las mismas normativas medioambientales o de bienestar animal que sus contrapartes europeas y llevan tiempo intentando eliminar los controles de la UE que restringen la venta de sus productos en los mercados europeos. El gobierno estadounidense ha manifestado de manera explícita desde el primer momento que hará uso de las negociaciones del TTIP para revisar las regulaciones europeas que bloquean </w:t>
      </w:r>
      <w:r w:rsidRPr="00CF4593">
        <w:rPr>
          <w:rFonts w:ascii="Times New Roman" w:hAnsi="Times New Roman" w:cs="Times New Roman"/>
          <w:color w:val="FF0000"/>
          <w:sz w:val="24"/>
          <w:szCs w:val="24"/>
        </w:rPr>
        <w:lastRenderedPageBreak/>
        <w:t>las expor</w:t>
      </w:r>
      <w:r>
        <w:rPr>
          <w:rFonts w:ascii="Times New Roman" w:hAnsi="Times New Roman" w:cs="Times New Roman"/>
          <w:color w:val="FF0000"/>
          <w:sz w:val="24"/>
          <w:szCs w:val="24"/>
        </w:rPr>
        <w:t>taciones de alimentos de los EEUU</w:t>
      </w:r>
      <w:r w:rsidRPr="00CF4593">
        <w:rPr>
          <w:rFonts w:ascii="Times New Roman" w:hAnsi="Times New Roman" w:cs="Times New Roman"/>
          <w:color w:val="FF0000"/>
          <w:sz w:val="24"/>
          <w:szCs w:val="24"/>
        </w:rPr>
        <w:t>, precisamente las mismas normativas sobre seguridad alimentaria que la ciudadanía europea lleva defendiendo desde hace décadas.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CF4593">
        <w:rPr>
          <w:rFonts w:ascii="Times New Roman" w:hAnsi="Times New Roman" w:cs="Times New Roman"/>
          <w:color w:val="FF0000"/>
          <w:sz w:val="24"/>
          <w:szCs w:val="24"/>
        </w:rPr>
        <w:t>En el centro del debate se encuentra el uso por parte de la UE del “principio de cautela” a la hora de establecer estándares sobre seguridad alimentaria. Según este principio, se puede sacar un producto del mercado si existe riesgo de que pueda suponer un peligro para la salud de las personas, aunque no haya pruebas científicas suficientes en las que basar una evaluación completa de dicho riesgo. Y lo que es más significativo, el principio de cautela adjudica a las compañías que quieren introducir un producto peligroso en el mercado la responsabilidad de demostrar que no lo es: en lugar de ser las instancias públicas las que prueben que el producto es peligroso, se exige a la compañía que demuestre que e</w:t>
      </w:r>
      <w:r>
        <w:rPr>
          <w:rFonts w:ascii="Times New Roman" w:hAnsi="Times New Roman" w:cs="Times New Roman"/>
          <w:color w:val="FF0000"/>
          <w:sz w:val="24"/>
          <w:szCs w:val="24"/>
        </w:rPr>
        <w:t>s seguro. El gobierno de los EEUU</w:t>
      </w:r>
      <w:r w:rsidRPr="00CF4593">
        <w:rPr>
          <w:rFonts w:ascii="Times New Roman" w:hAnsi="Times New Roman" w:cs="Times New Roman"/>
          <w:color w:val="FF0000"/>
          <w:sz w:val="24"/>
          <w:szCs w:val="24"/>
        </w:rPr>
        <w:t xml:space="preserve"> no aplica el principio de cautela y los intereses corporativos han conseguido mantener los estándares de seguridad alimentaria en el país a niveles mucho más bajos que en Europa.</w:t>
      </w: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CF4593">
        <w:rPr>
          <w:rFonts w:ascii="Times New Roman" w:hAnsi="Times New Roman" w:cs="Times New Roman"/>
          <w:color w:val="FF0000"/>
          <w:sz w:val="24"/>
          <w:szCs w:val="24"/>
        </w:rPr>
        <w:t>El programa de “convergencia normativa” del TTIP intenta acercar las normativas europeas a las estadounidenses</w:t>
      </w:r>
      <w:r w:rsidRPr="0012504D">
        <w:rPr>
          <w:rFonts w:ascii="Times New Roman" w:hAnsi="Times New Roman" w:cs="Times New Roman"/>
          <w:sz w:val="24"/>
          <w:szCs w:val="24"/>
        </w:rPr>
        <w:t>.</w:t>
      </w:r>
      <w:r>
        <w:rPr>
          <w:rFonts w:ascii="Times New Roman" w:hAnsi="Times New Roman" w:cs="Times New Roman"/>
          <w:sz w:val="24"/>
          <w:szCs w:val="24"/>
        </w:rPr>
        <w:t xml:space="preserve"> A continuación se ejemplifican </w:t>
      </w:r>
      <w:r w:rsidRPr="0012504D">
        <w:rPr>
          <w:rFonts w:ascii="Times New Roman" w:hAnsi="Times New Roman" w:cs="Times New Roman"/>
          <w:sz w:val="24"/>
          <w:szCs w:val="24"/>
        </w:rPr>
        <w:t>algunos de los riesgos que esto puede conllevar:</w:t>
      </w:r>
    </w:p>
    <w:p w:rsidR="00AF62E6" w:rsidRPr="0012504D"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12504D">
        <w:rPr>
          <w:rFonts w:ascii="Times New Roman" w:hAnsi="Times New Roman" w:cs="Times New Roman"/>
          <w:sz w:val="24"/>
          <w:szCs w:val="24"/>
        </w:rPr>
        <w:t xml:space="preserve">􀁝 </w:t>
      </w:r>
      <w:r w:rsidRPr="00CF4593">
        <w:rPr>
          <w:rFonts w:ascii="Times New Roman" w:hAnsi="Times New Roman" w:cs="Times New Roman"/>
          <w:color w:val="FF0000"/>
          <w:sz w:val="24"/>
          <w:szCs w:val="24"/>
        </w:rPr>
        <w:t>Hoy en día, aproximadamente el 70% de todos los alimentos procesados a la venta en los supermercados estadounidenses contienen ingredientes genéticamente modificados</w:t>
      </w:r>
      <w:r>
        <w:rPr>
          <w:rFonts w:ascii="Times New Roman" w:hAnsi="Times New Roman" w:cs="Times New Roman"/>
          <w:sz w:val="24"/>
          <w:szCs w:val="24"/>
        </w:rPr>
        <w:t xml:space="preserve">. </w:t>
      </w:r>
      <w:r w:rsidRPr="00CF4593">
        <w:rPr>
          <w:rFonts w:ascii="Times New Roman" w:hAnsi="Times New Roman" w:cs="Times New Roman"/>
          <w:color w:val="FF0000"/>
          <w:sz w:val="24"/>
          <w:szCs w:val="24"/>
        </w:rPr>
        <w:t>Como resultado de la fuerte resistencia popular, en cambio, apenas hay alimentos genéticamente modificados en los supermercados europeos, y todos aquellos alimentos que contengan ingredientes modificados genéticamente deben señalarlo claramente en el etiquetado</w:t>
      </w:r>
      <w:r>
        <w:rPr>
          <w:rFonts w:ascii="Times New Roman" w:hAnsi="Times New Roman" w:cs="Times New Roman"/>
          <w:sz w:val="24"/>
          <w:szCs w:val="24"/>
        </w:rPr>
        <w:t xml:space="preserve">. Las empresas de biotecnología </w:t>
      </w:r>
      <w:r w:rsidRPr="0012504D">
        <w:rPr>
          <w:rFonts w:ascii="Times New Roman" w:hAnsi="Times New Roman" w:cs="Times New Roman"/>
          <w:sz w:val="24"/>
          <w:szCs w:val="24"/>
        </w:rPr>
        <w:t>estadounidenses están usando el T</w:t>
      </w:r>
      <w:r>
        <w:rPr>
          <w:rFonts w:ascii="Times New Roman" w:hAnsi="Times New Roman" w:cs="Times New Roman"/>
          <w:sz w:val="24"/>
          <w:szCs w:val="24"/>
        </w:rPr>
        <w:t>TIP para atacar los reglamentos de la UE, y el gobierno de EEUU</w:t>
      </w:r>
      <w:r w:rsidRPr="0012504D">
        <w:rPr>
          <w:rFonts w:ascii="Times New Roman" w:hAnsi="Times New Roman" w:cs="Times New Roman"/>
          <w:sz w:val="24"/>
          <w:szCs w:val="24"/>
        </w:rPr>
        <w:t xml:space="preserve"> está intentand</w:t>
      </w:r>
      <w:r>
        <w:rPr>
          <w:rFonts w:ascii="Times New Roman" w:hAnsi="Times New Roman" w:cs="Times New Roman"/>
          <w:sz w:val="24"/>
          <w:szCs w:val="24"/>
        </w:rPr>
        <w:t xml:space="preserve">o cambiar </w:t>
      </w:r>
      <w:r w:rsidRPr="0012504D">
        <w:rPr>
          <w:rFonts w:ascii="Times New Roman" w:hAnsi="Times New Roman" w:cs="Times New Roman"/>
          <w:sz w:val="24"/>
          <w:szCs w:val="24"/>
        </w:rPr>
        <w:t>la política de etiquetado obligatorio de la</w:t>
      </w:r>
      <w:r>
        <w:rPr>
          <w:rFonts w:ascii="Times New Roman" w:hAnsi="Times New Roman" w:cs="Times New Roman"/>
          <w:sz w:val="24"/>
          <w:szCs w:val="24"/>
        </w:rPr>
        <w:t xml:space="preserve"> UE con el objetivo de aumentar </w:t>
      </w:r>
      <w:r w:rsidRPr="0012504D">
        <w:rPr>
          <w:rFonts w:ascii="Times New Roman" w:hAnsi="Times New Roman" w:cs="Times New Roman"/>
          <w:sz w:val="24"/>
          <w:szCs w:val="24"/>
        </w:rPr>
        <w:t>la presencia de los OGM en Europa.</w:t>
      </w:r>
    </w:p>
    <w:p w:rsidR="00AF62E6" w:rsidRPr="0012504D"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12504D">
        <w:rPr>
          <w:rFonts w:ascii="Times New Roman" w:hAnsi="Times New Roman" w:cs="Times New Roman"/>
          <w:sz w:val="24"/>
          <w:szCs w:val="24"/>
        </w:rPr>
        <w:t xml:space="preserve">􀁝 </w:t>
      </w:r>
      <w:r w:rsidRPr="00CF4593">
        <w:rPr>
          <w:rFonts w:ascii="Times New Roman" w:hAnsi="Times New Roman" w:cs="Times New Roman"/>
          <w:color w:val="FF0000"/>
          <w:sz w:val="24"/>
          <w:szCs w:val="24"/>
        </w:rPr>
        <w:t>Uno de los reglamentos fundamentales que los productores de alimentos estadounidenses han establecido como estándares a rebajar en el marco del TTIP es el sistema de controles en materia de uso de pesticidas de la Unión Europea. Los reglamentos de 2009 consagran el principio de cautela como base del sistema europeo de control de pesticidas con el fin de proteger la salud de las personas y el medio ambiente</w:t>
      </w:r>
      <w:r>
        <w:rPr>
          <w:rFonts w:ascii="Times New Roman" w:hAnsi="Times New Roman" w:cs="Times New Roman"/>
          <w:sz w:val="24"/>
          <w:szCs w:val="24"/>
        </w:rPr>
        <w:t xml:space="preserve">. Estas </w:t>
      </w:r>
      <w:r w:rsidRPr="0012504D">
        <w:rPr>
          <w:rFonts w:ascii="Times New Roman" w:hAnsi="Times New Roman" w:cs="Times New Roman"/>
          <w:sz w:val="24"/>
          <w:szCs w:val="24"/>
        </w:rPr>
        <w:t xml:space="preserve">regulaciones ya se han incorporado en </w:t>
      </w:r>
      <w:r>
        <w:rPr>
          <w:rFonts w:ascii="Times New Roman" w:hAnsi="Times New Roman" w:cs="Times New Roman"/>
          <w:sz w:val="24"/>
          <w:szCs w:val="24"/>
        </w:rPr>
        <w:t xml:space="preserve">la agenda del TTIP, afirman los </w:t>
      </w:r>
      <w:r w:rsidRPr="0012504D">
        <w:rPr>
          <w:rFonts w:ascii="Times New Roman" w:hAnsi="Times New Roman" w:cs="Times New Roman"/>
          <w:sz w:val="24"/>
          <w:szCs w:val="24"/>
        </w:rPr>
        <w:t>negociadores principales, con el ánimo de</w:t>
      </w:r>
      <w:r>
        <w:rPr>
          <w:rFonts w:ascii="Times New Roman" w:hAnsi="Times New Roman" w:cs="Times New Roman"/>
          <w:sz w:val="24"/>
          <w:szCs w:val="24"/>
        </w:rPr>
        <w:t xml:space="preserve"> dejar atrás incluso las normas </w:t>
      </w:r>
      <w:r w:rsidRPr="0012504D">
        <w:rPr>
          <w:rFonts w:ascii="Times New Roman" w:hAnsi="Times New Roman" w:cs="Times New Roman"/>
          <w:sz w:val="24"/>
          <w:szCs w:val="24"/>
        </w:rPr>
        <w:t>de la Organización Mundial del Comerc</w:t>
      </w:r>
      <w:r>
        <w:rPr>
          <w:rFonts w:ascii="Times New Roman" w:hAnsi="Times New Roman" w:cs="Times New Roman"/>
          <w:sz w:val="24"/>
          <w:szCs w:val="24"/>
        </w:rPr>
        <w:t xml:space="preserve">io (OMC) y reducir la normativa </w:t>
      </w:r>
      <w:r w:rsidRPr="0012504D">
        <w:rPr>
          <w:rFonts w:ascii="Times New Roman" w:hAnsi="Times New Roman" w:cs="Times New Roman"/>
          <w:sz w:val="24"/>
          <w:szCs w:val="24"/>
        </w:rPr>
        <w:t>para que represente un mínimo obstáculo para las empresas.</w:t>
      </w:r>
    </w:p>
    <w:p w:rsidR="00AF62E6" w:rsidRPr="0012504D"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12504D">
        <w:rPr>
          <w:rFonts w:ascii="Times New Roman" w:hAnsi="Times New Roman" w:cs="Times New Roman"/>
          <w:sz w:val="24"/>
          <w:szCs w:val="24"/>
        </w:rPr>
        <w:t xml:space="preserve">􀁝 </w:t>
      </w:r>
      <w:r w:rsidRPr="00CF4593">
        <w:rPr>
          <w:rFonts w:ascii="Times New Roman" w:hAnsi="Times New Roman" w:cs="Times New Roman"/>
          <w:color w:val="FF0000"/>
          <w:sz w:val="24"/>
          <w:szCs w:val="24"/>
        </w:rPr>
        <w:t>Los controles de la UE en materia de disruptores endocrinos (substancias químicas que afectan al sistema hormonal humano) establecen niveles máximos de contaminación que bloquearían el 40% de la exportación de alimentos estadounidenses a Europa. Diferen</w:t>
      </w:r>
      <w:r>
        <w:rPr>
          <w:rFonts w:ascii="Times New Roman" w:hAnsi="Times New Roman" w:cs="Times New Roman"/>
          <w:color w:val="FF0000"/>
          <w:sz w:val="24"/>
          <w:szCs w:val="24"/>
        </w:rPr>
        <w:t>tes grupos industriales de EEUU</w:t>
      </w:r>
      <w:r w:rsidRPr="00CF4593">
        <w:rPr>
          <w:rFonts w:ascii="Times New Roman" w:hAnsi="Times New Roman" w:cs="Times New Roman"/>
          <w:color w:val="FF0000"/>
          <w:sz w:val="24"/>
          <w:szCs w:val="24"/>
        </w:rPr>
        <w:t xml:space="preserve"> están intentando usar el TTIP para eliminar estos controles.</w:t>
      </w: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12504D">
        <w:rPr>
          <w:rFonts w:ascii="Times New Roman" w:hAnsi="Times New Roman" w:cs="Times New Roman"/>
          <w:sz w:val="24"/>
          <w:szCs w:val="24"/>
        </w:rPr>
        <w:t xml:space="preserve">􀁝 </w:t>
      </w:r>
      <w:r w:rsidRPr="00CF4593">
        <w:rPr>
          <w:rFonts w:ascii="Times New Roman" w:hAnsi="Times New Roman" w:cs="Times New Roman"/>
          <w:color w:val="FF0000"/>
          <w:sz w:val="24"/>
          <w:szCs w:val="24"/>
        </w:rPr>
        <w:t xml:space="preserve">Más del 90% de la carne en los Estados Unidos se produce usando hormonas de crecimiento bovinas. Estas hormonas han sido relacionadas con cánceres en humanos y, en consecuencia, existen en la UE restricciones a la importación de carne estadounidense desde 1988. El gobierno estadounidense ya ha puesto en tela de juicio estas restricciones dentro de la OMC, y algunos grupos empresariales están exigiendo </w:t>
      </w:r>
      <w:r w:rsidRPr="00CF4593">
        <w:rPr>
          <w:rFonts w:ascii="Times New Roman" w:hAnsi="Times New Roman" w:cs="Times New Roman"/>
          <w:color w:val="FF0000"/>
          <w:sz w:val="24"/>
          <w:szCs w:val="24"/>
        </w:rPr>
        <w:lastRenderedPageBreak/>
        <w:t>su retirada en el marco del TTIP, argumentando que se trata de barreras al comercio “innecesarias”.</w:t>
      </w:r>
    </w:p>
    <w:p w:rsidR="00AF62E6" w:rsidRPr="0012504D"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12504D">
        <w:rPr>
          <w:rFonts w:ascii="Times New Roman" w:hAnsi="Times New Roman" w:cs="Times New Roman"/>
          <w:sz w:val="24"/>
          <w:szCs w:val="24"/>
        </w:rPr>
        <w:t xml:space="preserve">􀁝 </w:t>
      </w:r>
      <w:r w:rsidRPr="00CF4593">
        <w:rPr>
          <w:rFonts w:ascii="Times New Roman" w:hAnsi="Times New Roman" w:cs="Times New Roman"/>
          <w:color w:val="FF0000"/>
          <w:sz w:val="24"/>
          <w:szCs w:val="24"/>
        </w:rPr>
        <w:t>Los productores estadounidenses de pollos y pavos tratan las aves con cloro antes de venderlas a los consumidores, proceso que ya se prohibió en la UE en 1997. Una vez más, el gobierno estadounidense ha cuestionado esta prohibición a través de la OMC, y diversas empresas estadounidenses reclaman su eliminación en las negociaciones del TTIP. La Comisión Europea ya había intentado anteriormente levantar la prohibición, pero diferentes expertos veterinarios y parlamentarios europeos se opusieron y lo impidieron.</w:t>
      </w:r>
    </w:p>
    <w:p w:rsidR="00AF62E6" w:rsidRPr="0012504D"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CF4593"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CF4593">
        <w:rPr>
          <w:rFonts w:ascii="Times New Roman" w:hAnsi="Times New Roman" w:cs="Times New Roman"/>
          <w:bCs/>
          <w:color w:val="FF0000"/>
          <w:sz w:val="24"/>
          <w:szCs w:val="24"/>
        </w:rPr>
        <w:t>La Comisión Europea</w:t>
      </w:r>
      <w:r w:rsidRPr="00CF4593">
        <w:rPr>
          <w:rFonts w:ascii="Times New Roman" w:hAnsi="Times New Roman" w:cs="Times New Roman"/>
          <w:b/>
          <w:bCs/>
          <w:color w:val="FF0000"/>
          <w:sz w:val="24"/>
          <w:szCs w:val="24"/>
        </w:rPr>
        <w:t xml:space="preserve"> </w:t>
      </w:r>
      <w:r w:rsidRPr="00CF4593">
        <w:rPr>
          <w:rFonts w:ascii="Times New Roman" w:hAnsi="Times New Roman" w:cs="Times New Roman"/>
          <w:color w:val="FF0000"/>
          <w:sz w:val="24"/>
          <w:szCs w:val="24"/>
        </w:rPr>
        <w:t>ha mantenido numerosas reuniones secretas con representantes de la industria alimentaria deseosos de rebajar las regulaciones de la UE sobre seguridad alimenticia, por lo que no parece ser la mejor valedora para defender los intereses de los consumidores en materia de sanidad</w:t>
      </w:r>
      <w:r w:rsidRPr="0012504D">
        <w:rPr>
          <w:rFonts w:ascii="Times New Roman" w:hAnsi="Times New Roman" w:cs="Times New Roman"/>
          <w:sz w:val="24"/>
          <w:szCs w:val="24"/>
        </w:rPr>
        <w:t>. En un informe interno d</w:t>
      </w:r>
      <w:r>
        <w:rPr>
          <w:rFonts w:ascii="Times New Roman" w:hAnsi="Times New Roman" w:cs="Times New Roman"/>
          <w:sz w:val="24"/>
          <w:szCs w:val="24"/>
        </w:rPr>
        <w:t xml:space="preserve">e toma de posiciones compartido </w:t>
      </w:r>
      <w:r w:rsidRPr="0012504D">
        <w:rPr>
          <w:rFonts w:ascii="Times New Roman" w:hAnsi="Times New Roman" w:cs="Times New Roman"/>
          <w:sz w:val="24"/>
          <w:szCs w:val="24"/>
        </w:rPr>
        <w:t>con el gobierno estadounidense antes de la</w:t>
      </w:r>
      <w:r>
        <w:rPr>
          <w:rFonts w:ascii="Times New Roman" w:hAnsi="Times New Roman" w:cs="Times New Roman"/>
          <w:sz w:val="24"/>
          <w:szCs w:val="24"/>
        </w:rPr>
        <w:t xml:space="preserve"> primera ronda de negociaciones </w:t>
      </w:r>
      <w:r w:rsidRPr="0012504D">
        <w:rPr>
          <w:rFonts w:ascii="Times New Roman" w:hAnsi="Times New Roman" w:cs="Times New Roman"/>
          <w:sz w:val="24"/>
          <w:szCs w:val="24"/>
        </w:rPr>
        <w:t xml:space="preserve">del TTIP, </w:t>
      </w:r>
      <w:r w:rsidRPr="00CF4593">
        <w:rPr>
          <w:rFonts w:ascii="Times New Roman" w:hAnsi="Times New Roman" w:cs="Times New Roman"/>
          <w:color w:val="FF0000"/>
          <w:sz w:val="24"/>
          <w:szCs w:val="24"/>
        </w:rPr>
        <w:t xml:space="preserve">la Comisión estuvo conforme con revisar las medidas europeas sobre seguridad alimentaria “con la finalidad de eliminar barreras innecesarias”. </w:t>
      </w:r>
      <w:r w:rsidRPr="0012504D">
        <w:rPr>
          <w:rFonts w:ascii="Times New Roman" w:hAnsi="Times New Roman" w:cs="Times New Roman"/>
          <w:sz w:val="24"/>
          <w:szCs w:val="24"/>
        </w:rPr>
        <w:t>Como muestra de su volunt</w:t>
      </w:r>
      <w:r>
        <w:rPr>
          <w:rFonts w:ascii="Times New Roman" w:hAnsi="Times New Roman" w:cs="Times New Roman"/>
          <w:sz w:val="24"/>
          <w:szCs w:val="24"/>
        </w:rPr>
        <w:t xml:space="preserve">ad de satisfacer las exigencias </w:t>
      </w:r>
      <w:r w:rsidRPr="0012504D">
        <w:rPr>
          <w:rFonts w:ascii="Times New Roman" w:hAnsi="Times New Roman" w:cs="Times New Roman"/>
          <w:sz w:val="24"/>
          <w:szCs w:val="24"/>
        </w:rPr>
        <w:t xml:space="preserve">estadounidenses, </w:t>
      </w:r>
      <w:r w:rsidRPr="00CF4593">
        <w:rPr>
          <w:rFonts w:ascii="Times New Roman" w:hAnsi="Times New Roman" w:cs="Times New Roman"/>
          <w:color w:val="FF0000"/>
          <w:sz w:val="24"/>
          <w:szCs w:val="24"/>
        </w:rPr>
        <w:t xml:space="preserve">la Comisión ya ha levantado a nivel europeo la prohibición que pesaba sobre las importaciones de cerdos vivos y carne rociada </w:t>
      </w:r>
      <w:r>
        <w:rPr>
          <w:rFonts w:ascii="Times New Roman" w:hAnsi="Times New Roman" w:cs="Times New Roman"/>
          <w:color w:val="FF0000"/>
          <w:sz w:val="24"/>
          <w:szCs w:val="24"/>
        </w:rPr>
        <w:t>con ácido láctico</w:t>
      </w:r>
      <w:r w:rsidRPr="00CF4593">
        <w:rPr>
          <w:rFonts w:ascii="Times New Roman" w:hAnsi="Times New Roman" w:cs="Times New Roman"/>
          <w:color w:val="FF0000"/>
          <w:sz w:val="24"/>
          <w:szCs w:val="24"/>
        </w:rPr>
        <w:t xml:space="preserve"> proveniente de Estados Unidos, a pesar de las objeciones de diversos Estados miembros.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0B7C77" w:rsidRDefault="00AF62E6" w:rsidP="00AF62E6">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5 -</w:t>
      </w:r>
      <w:r w:rsidRPr="000B7C77">
        <w:rPr>
          <w:rFonts w:ascii="Times New Roman" w:hAnsi="Times New Roman" w:cs="Times New Roman"/>
          <w:b/>
          <w:sz w:val="24"/>
          <w:szCs w:val="24"/>
        </w:rPr>
        <w:t xml:space="preserve"> Desregulación medioambiental</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534199"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534199">
        <w:rPr>
          <w:rFonts w:ascii="Times New Roman" w:hAnsi="Times New Roman" w:cs="Times New Roman"/>
          <w:color w:val="FF0000"/>
          <w:sz w:val="24"/>
          <w:szCs w:val="24"/>
        </w:rPr>
        <w:t>La Comisión Europea ha admitido abiertamente que el TTIP afectará de forma negativa al medio ambiente, ya que se da por sentado que en el f</w:t>
      </w:r>
      <w:r>
        <w:rPr>
          <w:rFonts w:ascii="Times New Roman" w:hAnsi="Times New Roman" w:cs="Times New Roman"/>
          <w:color w:val="FF0000"/>
          <w:sz w:val="24"/>
          <w:szCs w:val="24"/>
        </w:rPr>
        <w:t>uturo comercio entre la UE y EEUU</w:t>
      </w:r>
      <w:r w:rsidRPr="00534199">
        <w:rPr>
          <w:rFonts w:ascii="Times New Roman" w:hAnsi="Times New Roman" w:cs="Times New Roman"/>
          <w:color w:val="FF0000"/>
          <w:sz w:val="24"/>
          <w:szCs w:val="24"/>
        </w:rPr>
        <w:t xml:space="preserve"> una vez aprobado el TTIP la producción, el consumo y los intercambios internacionales de mercancías se verán incrementados. La propia evaluación de impacto de la Comisión señala que este aumento en la producción causará a su vez “riesgos para los recursos naturales y la co</w:t>
      </w:r>
      <w:r>
        <w:rPr>
          <w:rFonts w:ascii="Times New Roman" w:hAnsi="Times New Roman" w:cs="Times New Roman"/>
          <w:color w:val="FF0000"/>
          <w:sz w:val="24"/>
          <w:szCs w:val="24"/>
        </w:rPr>
        <w:t>nservación de la biodiversidad”.</w:t>
      </w:r>
      <w:r w:rsidRPr="00534199">
        <w:rPr>
          <w:rFonts w:ascii="Times New Roman" w:hAnsi="Times New Roman" w:cs="Times New Roman"/>
          <w:color w:val="FF0000"/>
          <w:sz w:val="24"/>
          <w:szCs w:val="24"/>
        </w:rPr>
        <w:t xml:space="preserve"> Por lo que respecta a las emisiones de gases invernadero, la Comisión declara que, en la versión del acuerdo que prefiere, se liberarán a la atmósfera 11 millones de toneladas de CO2 más, lo que pondrá en entredicho los propios propósitos de reducción de emisiones de la UE acordados en el Protocolo de Kyoto. Aun así, ninguna de estas observaciones ha hecho que la Comisión se replantee su apoyo al TTIP.</w:t>
      </w:r>
    </w:p>
    <w:p w:rsidR="00AF62E6" w:rsidRPr="00534199"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534199"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534199">
        <w:rPr>
          <w:rFonts w:ascii="Times New Roman" w:hAnsi="Times New Roman" w:cs="Times New Roman"/>
          <w:color w:val="FF0000"/>
          <w:sz w:val="24"/>
          <w:szCs w:val="24"/>
        </w:rPr>
        <w:t>Uno de los riesgos más inmediatos del TTIP es la debilitación de algunas regulaciones medioambientales clave en la Unión Europea, regulaciones que garantizan un nivel de seguridad mucho más elevado que en Estados Unidos. Principalmente se verá amenazado el reglamento REACH en materia de substancias químicas, creado en 2007 para proteger la salud de las personas y el medio ambiente frente a substancias peligrosas que usan las empresas en la fase de producción o en otros procesos. Este marco reglamentario se basa en el principio de cautela ya descrito anteriormente, que exige a las industrias que demuestren que una substancia química es segura antes de obtener el permiso para su uso comercial. La Ley sobre el Control de Substancias Químicas estadounidense (TSCA, por sus siglas en inglés) de 1976, en cambio, exige a los inspectores públicos demostrar que una substancia química es peligrosa para poder limitar su uso, y toda restricción se limita a las medidas menos onerosas posibles.</w:t>
      </w:r>
      <w:r w:rsidRPr="000B7C77">
        <w:rPr>
          <w:rFonts w:ascii="Times New Roman" w:hAnsi="Times New Roman" w:cs="Times New Roman"/>
          <w:sz w:val="24"/>
          <w:szCs w:val="24"/>
        </w:rPr>
        <w:t xml:space="preserve"> </w:t>
      </w:r>
      <w:r w:rsidRPr="00534199">
        <w:rPr>
          <w:rFonts w:ascii="Times New Roman" w:hAnsi="Times New Roman" w:cs="Times New Roman"/>
          <w:color w:val="FF0000"/>
          <w:sz w:val="24"/>
          <w:szCs w:val="24"/>
        </w:rPr>
        <w:t xml:space="preserve">Desde la introducción de la TSCA, la Agencia de Protección del Medio Ambiente </w:t>
      </w:r>
      <w:r w:rsidRPr="00534199">
        <w:rPr>
          <w:rFonts w:ascii="Times New Roman" w:hAnsi="Times New Roman" w:cs="Times New Roman"/>
          <w:color w:val="FF0000"/>
          <w:sz w:val="24"/>
          <w:szCs w:val="24"/>
        </w:rPr>
        <w:lastRenderedPageBreak/>
        <w:t>estadounidense solamente ha conseguido introducir controles en seis de las 84.000 substancias quím</w:t>
      </w:r>
      <w:r>
        <w:rPr>
          <w:rFonts w:ascii="Times New Roman" w:hAnsi="Times New Roman" w:cs="Times New Roman"/>
          <w:color w:val="FF0000"/>
          <w:sz w:val="24"/>
          <w:szCs w:val="24"/>
        </w:rPr>
        <w:t>icas en uso comercial en los EEUU</w:t>
      </w:r>
      <w:r w:rsidRPr="00534199">
        <w:rPr>
          <w:rFonts w:ascii="Times New Roman" w:hAnsi="Times New Roman" w:cs="Times New Roman"/>
          <w:color w:val="FF0000"/>
          <w:sz w:val="24"/>
          <w:szCs w:val="24"/>
        </w:rPr>
        <w:t xml:space="preserve"> desde 1976. Un régimen de vigilancia tan laxo tiene consecuencias inmediatas sobre la exposición a riesgos de la salud pública: mientras que la UE prohíbe el uso de 1.200 substancias</w:t>
      </w:r>
      <w:r>
        <w:rPr>
          <w:rFonts w:ascii="Times New Roman" w:hAnsi="Times New Roman" w:cs="Times New Roman"/>
          <w:color w:val="FF0000"/>
          <w:sz w:val="24"/>
          <w:szCs w:val="24"/>
        </w:rPr>
        <w:t xml:space="preserve"> en cosméticos, por ejemplo, EEUU</w:t>
      </w:r>
      <w:r w:rsidRPr="00534199">
        <w:rPr>
          <w:rFonts w:ascii="Times New Roman" w:hAnsi="Times New Roman" w:cs="Times New Roman"/>
          <w:color w:val="FF0000"/>
          <w:sz w:val="24"/>
          <w:szCs w:val="24"/>
        </w:rPr>
        <w:t xml:space="preserve"> solamente prohíbe una docena.</w:t>
      </w:r>
    </w:p>
    <w:p w:rsidR="00AF62E6" w:rsidRPr="00534199"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534199"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0B7C77">
        <w:rPr>
          <w:rFonts w:ascii="Times New Roman" w:hAnsi="Times New Roman" w:cs="Times New Roman"/>
          <w:sz w:val="24"/>
          <w:szCs w:val="24"/>
        </w:rPr>
        <w:t xml:space="preserve">Hace tiempo que grupos ecologistas y de </w:t>
      </w:r>
      <w:r>
        <w:rPr>
          <w:rFonts w:ascii="Times New Roman" w:hAnsi="Times New Roman" w:cs="Times New Roman"/>
          <w:sz w:val="24"/>
          <w:szCs w:val="24"/>
        </w:rPr>
        <w:t xml:space="preserve">interés público estadounidense </w:t>
      </w:r>
      <w:r w:rsidRPr="000B7C77">
        <w:rPr>
          <w:rFonts w:ascii="Times New Roman" w:hAnsi="Times New Roman" w:cs="Times New Roman"/>
          <w:sz w:val="24"/>
          <w:szCs w:val="24"/>
        </w:rPr>
        <w:t>hacen campaña para que se re</w:t>
      </w:r>
      <w:r>
        <w:rPr>
          <w:rFonts w:ascii="Times New Roman" w:hAnsi="Times New Roman" w:cs="Times New Roman"/>
          <w:sz w:val="24"/>
          <w:szCs w:val="24"/>
        </w:rPr>
        <w:t>emplace la TSCA por reglamentos más en la línea del REACH.</w:t>
      </w:r>
      <w:r w:rsidRPr="000B7C77">
        <w:rPr>
          <w:rFonts w:ascii="Times New Roman" w:hAnsi="Times New Roman" w:cs="Times New Roman"/>
          <w:sz w:val="24"/>
          <w:szCs w:val="24"/>
        </w:rPr>
        <w:t xml:space="preserve"> Por otra part</w:t>
      </w:r>
      <w:r>
        <w:rPr>
          <w:rFonts w:ascii="Times New Roman" w:hAnsi="Times New Roman" w:cs="Times New Roman"/>
          <w:sz w:val="24"/>
          <w:szCs w:val="24"/>
        </w:rPr>
        <w:t xml:space="preserve">e, </w:t>
      </w:r>
      <w:r w:rsidRPr="00534199">
        <w:rPr>
          <w:rFonts w:ascii="Times New Roman" w:hAnsi="Times New Roman" w:cs="Times New Roman"/>
          <w:color w:val="FF0000"/>
          <w:sz w:val="24"/>
          <w:szCs w:val="24"/>
        </w:rPr>
        <w:t>grupos de presión del sector empresarial se han opuesto enérgicamente a los requisitos de seguridad de la UE y están intentando usar el marco desregulador del TTIP para “armonizar” las regulaciones del REACH con las normas estadounidenses, más laxas.</w:t>
      </w:r>
      <w:r w:rsidRPr="000B7C77">
        <w:rPr>
          <w:rFonts w:ascii="Times New Roman" w:hAnsi="Times New Roman" w:cs="Times New Roman"/>
          <w:sz w:val="24"/>
          <w:szCs w:val="24"/>
        </w:rPr>
        <w:t xml:space="preserve"> </w:t>
      </w:r>
      <w:r w:rsidRPr="00534199">
        <w:rPr>
          <w:rFonts w:ascii="Times New Roman" w:hAnsi="Times New Roman" w:cs="Times New Roman"/>
          <w:color w:val="FF0000"/>
          <w:sz w:val="24"/>
          <w:szCs w:val="24"/>
        </w:rPr>
        <w:t>La Comisión Europea admite la incompatibilidad fundamental entre los enfoques europeo y estadounidense, pero sigue buscando una posible “convergencia y reconocimiento regulatorios en materia de substancias químicas” en nombre de sus socios en la industria. Las compañías europeas están contentas de poder aunar fuerzas y usar el TTIP para eliminar las regulaciones medioambientales, a las que culpan de ponerlas en situación de desventaja frente a sus competidores globales.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0B7C77">
        <w:rPr>
          <w:rFonts w:ascii="Times New Roman" w:hAnsi="Times New Roman" w:cs="Times New Roman"/>
          <w:sz w:val="24"/>
          <w:szCs w:val="24"/>
        </w:rPr>
        <w:t>Un gran número de otras normativ</w:t>
      </w:r>
      <w:r>
        <w:rPr>
          <w:rFonts w:ascii="Times New Roman" w:hAnsi="Times New Roman" w:cs="Times New Roman"/>
          <w:sz w:val="24"/>
          <w:szCs w:val="24"/>
        </w:rPr>
        <w:t xml:space="preserve">as medioambientales importantes </w:t>
      </w:r>
      <w:r w:rsidRPr="000B7C77">
        <w:rPr>
          <w:rFonts w:ascii="Times New Roman" w:hAnsi="Times New Roman" w:cs="Times New Roman"/>
          <w:sz w:val="24"/>
          <w:szCs w:val="24"/>
        </w:rPr>
        <w:t xml:space="preserve">están amenazadas por el programa desregulador </w:t>
      </w:r>
      <w:r>
        <w:rPr>
          <w:rFonts w:ascii="Times New Roman" w:hAnsi="Times New Roman" w:cs="Times New Roman"/>
          <w:sz w:val="24"/>
          <w:szCs w:val="24"/>
        </w:rPr>
        <w:t xml:space="preserve">del TTIP. </w:t>
      </w:r>
      <w:r w:rsidRPr="00534199">
        <w:rPr>
          <w:rFonts w:ascii="Times New Roman" w:hAnsi="Times New Roman" w:cs="Times New Roman"/>
          <w:color w:val="FF0000"/>
          <w:sz w:val="24"/>
          <w:szCs w:val="24"/>
        </w:rPr>
        <w:t>Los productore</w:t>
      </w:r>
      <w:r>
        <w:rPr>
          <w:rFonts w:ascii="Times New Roman" w:hAnsi="Times New Roman" w:cs="Times New Roman"/>
          <w:color w:val="FF0000"/>
          <w:sz w:val="24"/>
          <w:szCs w:val="24"/>
        </w:rPr>
        <w:t>s de agrocombustibles de los EEUU</w:t>
      </w:r>
      <w:r w:rsidRPr="00534199">
        <w:rPr>
          <w:rFonts w:ascii="Times New Roman" w:hAnsi="Times New Roman" w:cs="Times New Roman"/>
          <w:color w:val="FF0000"/>
          <w:sz w:val="24"/>
          <w:szCs w:val="24"/>
        </w:rPr>
        <w:t xml:space="preserve"> ya han manifestado su interés en “armonizar” las exigencias de sostenibilidad de la Directiva sobre Energías Renovables de la UE con las laxas normativas estadounidenses al respecto. También el gobierno estadounidense está usando el TTIP para socavar la Directiva de Calidad de Combustibles de la Unión Europea con el objetivo de allanar el camino a las refinerías de su país para exportar petróleo a Europa extraído de las arenas bituminosas canadienses, con las devastadoras consecuencias para el medio ambiente que supone. Además, el TTIP abriría las puertas a las exportaciones masivas de gas de esquisto estadounidense a Europa, lo que llevaría a la expansión de la fractura</w:t>
      </w:r>
      <w:r>
        <w:rPr>
          <w:rFonts w:ascii="Times New Roman" w:hAnsi="Times New Roman" w:cs="Times New Roman"/>
          <w:color w:val="FF0000"/>
          <w:sz w:val="24"/>
          <w:szCs w:val="24"/>
        </w:rPr>
        <w:t xml:space="preserve"> hidráulica (el fracking) en EEUU</w:t>
      </w:r>
      <w:r w:rsidRPr="00534199">
        <w:rPr>
          <w:rFonts w:ascii="Times New Roman" w:hAnsi="Times New Roman" w:cs="Times New Roman"/>
          <w:color w:val="FF0000"/>
          <w:sz w:val="24"/>
          <w:szCs w:val="24"/>
        </w:rPr>
        <w:t xml:space="preserve"> y permitiría a las empresas estadounidenses desafiar la prohibición del fracking en Europa</w:t>
      </w:r>
      <w:r>
        <w:rPr>
          <w:rFonts w:ascii="Times New Roman" w:hAnsi="Times New Roman" w:cs="Times New Roman"/>
          <w:sz w:val="24"/>
          <w:szCs w:val="24"/>
        </w:rPr>
        <w:t xml:space="preserve">, tal y </w:t>
      </w:r>
      <w:r w:rsidRPr="000B7C77">
        <w:rPr>
          <w:rFonts w:ascii="Times New Roman" w:hAnsi="Times New Roman" w:cs="Times New Roman"/>
          <w:sz w:val="24"/>
          <w:szCs w:val="24"/>
        </w:rPr>
        <w:t xml:space="preserve">como como está haciendo en estos </w:t>
      </w:r>
      <w:r>
        <w:rPr>
          <w:rFonts w:ascii="Times New Roman" w:hAnsi="Times New Roman" w:cs="Times New Roman"/>
          <w:sz w:val="24"/>
          <w:szCs w:val="24"/>
        </w:rPr>
        <w:t xml:space="preserve">momentos la compañía energética </w:t>
      </w:r>
      <w:r w:rsidRPr="000B7C77">
        <w:rPr>
          <w:rFonts w:ascii="Times New Roman" w:hAnsi="Times New Roman" w:cs="Times New Roman"/>
          <w:sz w:val="24"/>
          <w:szCs w:val="24"/>
        </w:rPr>
        <w:t>estadounidense Lone Pine Resources, que se apo</w:t>
      </w:r>
      <w:r>
        <w:rPr>
          <w:rFonts w:ascii="Times New Roman" w:hAnsi="Times New Roman" w:cs="Times New Roman"/>
          <w:sz w:val="24"/>
          <w:szCs w:val="24"/>
        </w:rPr>
        <w:t xml:space="preserve">ya en las normas del </w:t>
      </w:r>
      <w:r w:rsidRPr="000B7C77">
        <w:rPr>
          <w:rFonts w:ascii="Times New Roman" w:hAnsi="Times New Roman" w:cs="Times New Roman"/>
          <w:sz w:val="24"/>
          <w:szCs w:val="24"/>
        </w:rPr>
        <w:t>NAFTA para demandar al gobierno canad</w:t>
      </w:r>
      <w:r>
        <w:rPr>
          <w:rFonts w:ascii="Times New Roman" w:hAnsi="Times New Roman" w:cs="Times New Roman"/>
          <w:sz w:val="24"/>
          <w:szCs w:val="24"/>
        </w:rPr>
        <w:t>iense por la moratoria sobre el fracking en Quebec.</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0B7C77"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0B7C77">
        <w:rPr>
          <w:rFonts w:ascii="Times New Roman" w:hAnsi="Times New Roman" w:cs="Times New Roman"/>
          <w:b/>
          <w:sz w:val="24"/>
          <w:szCs w:val="24"/>
        </w:rPr>
        <w:t>6 - Un ataque a los servicios públicos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534199">
        <w:rPr>
          <w:rFonts w:ascii="Times New Roman" w:hAnsi="Times New Roman" w:cs="Times New Roman"/>
          <w:color w:val="FF0000"/>
          <w:sz w:val="24"/>
          <w:szCs w:val="24"/>
        </w:rPr>
        <w:t>El TTIP no sólo intenta reducir las regulaciones en materia de medio ambiente y seguridad alimentaria, sino que pretende afianzar la liberalización de los mercados de servicios, incluida la apertura de servicios públicos tales como la sanidad, la educación o la gestión del agua a compañías privadas. Algunas empresas estadounidenses están especialmente interesadas en acceder a los servicios públicos de sanidad europeos, a los que ven como vastos mercados esperando ser explotados. El gobierno estadounidense ha confirmado que usará el TTIP para abrir los mercados de servicios europeos en beneficio del capital estadounidense, y concretamente que “cuestionará el funcionamiento de cualquier monopolio designado” en el ámbito de los servicios públicos.</w:t>
      </w:r>
      <w:r w:rsidRPr="000B7C77">
        <w:rPr>
          <w:rFonts w:ascii="Times New Roman" w:hAnsi="Times New Roman" w:cs="Times New Roman"/>
          <w:sz w:val="24"/>
          <w:szCs w:val="24"/>
        </w:rPr>
        <w:t xml:space="preserve"> Algunos miembros de</w:t>
      </w:r>
      <w:r>
        <w:rPr>
          <w:rFonts w:ascii="Times New Roman" w:hAnsi="Times New Roman" w:cs="Times New Roman"/>
          <w:sz w:val="24"/>
          <w:szCs w:val="24"/>
        </w:rPr>
        <w:t xml:space="preserve">l Parlamento británico han dado </w:t>
      </w:r>
      <w:r w:rsidRPr="000B7C77">
        <w:rPr>
          <w:rFonts w:ascii="Times New Roman" w:hAnsi="Times New Roman" w:cs="Times New Roman"/>
          <w:sz w:val="24"/>
          <w:szCs w:val="24"/>
        </w:rPr>
        <w:t>la alarma y han advertido que el TTIP podría “destruir” el Serv</w:t>
      </w:r>
      <w:r>
        <w:rPr>
          <w:rFonts w:ascii="Times New Roman" w:hAnsi="Times New Roman" w:cs="Times New Roman"/>
          <w:sz w:val="24"/>
          <w:szCs w:val="24"/>
        </w:rPr>
        <w:t xml:space="preserve">icio Nacional </w:t>
      </w:r>
      <w:r w:rsidRPr="000B7C77">
        <w:rPr>
          <w:rFonts w:ascii="Times New Roman" w:hAnsi="Times New Roman" w:cs="Times New Roman"/>
          <w:sz w:val="24"/>
          <w:szCs w:val="24"/>
        </w:rPr>
        <w:t>de Salud si las compañías estadounidenses se hace</w:t>
      </w:r>
      <w:r>
        <w:rPr>
          <w:rFonts w:ascii="Times New Roman" w:hAnsi="Times New Roman" w:cs="Times New Roman"/>
          <w:sz w:val="24"/>
          <w:szCs w:val="24"/>
        </w:rPr>
        <w:t>n con el derecho de adjudicarse contratos de gestión clínica.</w:t>
      </w:r>
    </w:p>
    <w:p w:rsidR="00AF62E6" w:rsidRPr="000B7C77"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534199"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534199">
        <w:rPr>
          <w:rFonts w:ascii="Times New Roman" w:hAnsi="Times New Roman" w:cs="Times New Roman"/>
          <w:color w:val="FF0000"/>
          <w:sz w:val="24"/>
          <w:szCs w:val="24"/>
        </w:rPr>
        <w:lastRenderedPageBreak/>
        <w:t xml:space="preserve">La Comisión Europea ha declarado que los servicios públicos se mantendrán al margen de las negociaciones del TTIP en virtud de una cláusula sobre exclusión de servicios “proporcionados en el ejercicio de autoridad gubernamental”, descrita en el Acuerdo General sobre el Comercio de Servicios de la OMC (GATS, por sus siglas en inglés). </w:t>
      </w:r>
      <w:r>
        <w:rPr>
          <w:rFonts w:ascii="Times New Roman" w:hAnsi="Times New Roman" w:cs="Times New Roman"/>
          <w:sz w:val="24"/>
          <w:szCs w:val="24"/>
        </w:rPr>
        <w:t xml:space="preserve">No obstante, también reconoció </w:t>
      </w:r>
      <w:r w:rsidRPr="000B7C77">
        <w:rPr>
          <w:rFonts w:ascii="Times New Roman" w:hAnsi="Times New Roman" w:cs="Times New Roman"/>
          <w:sz w:val="24"/>
          <w:szCs w:val="24"/>
        </w:rPr>
        <w:t xml:space="preserve">en el pasado que esta cláusula no protege a </w:t>
      </w:r>
      <w:r>
        <w:rPr>
          <w:rFonts w:ascii="Times New Roman" w:hAnsi="Times New Roman" w:cs="Times New Roman"/>
          <w:sz w:val="24"/>
          <w:szCs w:val="24"/>
        </w:rPr>
        <w:t xml:space="preserve">los servicios públicos, dada la </w:t>
      </w:r>
      <w:r w:rsidRPr="000B7C77">
        <w:rPr>
          <w:rFonts w:ascii="Times New Roman" w:hAnsi="Times New Roman" w:cs="Times New Roman"/>
          <w:sz w:val="24"/>
          <w:szCs w:val="24"/>
        </w:rPr>
        <w:t>restringida definición sobre qué servicios pued</w:t>
      </w:r>
      <w:r>
        <w:rPr>
          <w:rFonts w:ascii="Times New Roman" w:hAnsi="Times New Roman" w:cs="Times New Roman"/>
          <w:sz w:val="24"/>
          <w:szCs w:val="24"/>
        </w:rPr>
        <w:t xml:space="preserve">en ser efectivamente excluidos. </w:t>
      </w:r>
      <w:r w:rsidRPr="000B7C77">
        <w:rPr>
          <w:rFonts w:ascii="Times New Roman" w:hAnsi="Times New Roman" w:cs="Times New Roman"/>
          <w:sz w:val="24"/>
          <w:szCs w:val="24"/>
        </w:rPr>
        <w:t>En consecuencia, la UE se vio obligada a</w:t>
      </w:r>
      <w:r>
        <w:rPr>
          <w:rFonts w:ascii="Times New Roman" w:hAnsi="Times New Roman" w:cs="Times New Roman"/>
          <w:sz w:val="24"/>
          <w:szCs w:val="24"/>
        </w:rPr>
        <w:t xml:space="preserve"> introducir una restricción más </w:t>
      </w:r>
      <w:r w:rsidRPr="000B7C77">
        <w:rPr>
          <w:rFonts w:ascii="Times New Roman" w:hAnsi="Times New Roman" w:cs="Times New Roman"/>
          <w:sz w:val="24"/>
          <w:szCs w:val="24"/>
        </w:rPr>
        <w:t>a la lista original de 1995 sobre compromiso</w:t>
      </w:r>
      <w:r>
        <w:rPr>
          <w:rFonts w:ascii="Times New Roman" w:hAnsi="Times New Roman" w:cs="Times New Roman"/>
          <w:sz w:val="24"/>
          <w:szCs w:val="24"/>
        </w:rPr>
        <w:t xml:space="preserve">s en materia de servicios, para </w:t>
      </w:r>
      <w:r w:rsidRPr="000B7C77">
        <w:rPr>
          <w:rFonts w:ascii="Times New Roman" w:hAnsi="Times New Roman" w:cs="Times New Roman"/>
          <w:sz w:val="24"/>
          <w:szCs w:val="24"/>
        </w:rPr>
        <w:t>asegurarse de que sus servicios públicos</w:t>
      </w:r>
      <w:r>
        <w:rPr>
          <w:rFonts w:ascii="Times New Roman" w:hAnsi="Times New Roman" w:cs="Times New Roman"/>
          <w:sz w:val="24"/>
          <w:szCs w:val="24"/>
        </w:rPr>
        <w:t xml:space="preserve"> quedaban exentos de las normas </w:t>
      </w:r>
      <w:r w:rsidRPr="000B7C77">
        <w:rPr>
          <w:rFonts w:ascii="Times New Roman" w:hAnsi="Times New Roman" w:cs="Times New Roman"/>
          <w:sz w:val="24"/>
          <w:szCs w:val="24"/>
        </w:rPr>
        <w:t xml:space="preserve">del GATS. </w:t>
      </w:r>
      <w:r w:rsidRPr="00534199">
        <w:rPr>
          <w:rFonts w:ascii="Times New Roman" w:hAnsi="Times New Roman" w:cs="Times New Roman"/>
          <w:color w:val="FF0000"/>
          <w:sz w:val="24"/>
          <w:szCs w:val="24"/>
        </w:rPr>
        <w:t>Sin embargo, desde entonces la Comisión ha tratado de dejar atrás esta exención sobre los “servicios públicos”, argumentando que desea fervientemente que los servicios públicos estén incluidos dentro de los acuerdos comerciales de la UE, a excepción solamente de los servicios asociados a la seguridad, como el sistema judicial, la vigilancia de fronteras o el control del tráfico aéreo.</w:t>
      </w:r>
    </w:p>
    <w:p w:rsidR="00AF62E6" w:rsidRPr="000B7C77"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8D015E">
        <w:rPr>
          <w:rFonts w:ascii="Times New Roman" w:hAnsi="Times New Roman" w:cs="Times New Roman"/>
          <w:color w:val="FF0000"/>
          <w:sz w:val="24"/>
          <w:szCs w:val="24"/>
        </w:rPr>
        <w:t>Además del proyecto de traspaso de los servicios públicos a compañías con fines lucrativos, uno de los efectos más insidiosos de un acuerdo de libre comercio como el que nos ocupa es el hecho de que después de su privatización, a los países les resulta prácticamente imposible recuperar sus servicios públicos. Este efecto, por el que los gobiernos quedan “atrapados”, se extenderá incluso más si el TTIP adopta el planteamiento de la “lista negativa”, contemplado en el nuevo acuerdo de libre comercio de la UE con Canadá, y por el cual todos los sectores de servicios se entregan a la liberalización a menos que estén señalados expresamente como excepciones (el modelo “list it or lose it”, algo así como “ponlo en la lista o piérdelo”). Esto supone un giro dramático que se aleja del planteamiento de la “lista positiva” tradicionalmente usado por la UE, donde solamente los sectores propuestos activamente para ser incluidos en el listado están abiertos a la competencia de compañías extranjeras. Algunos grupos empresariales europeos se han unido a sus contrapartes estadounidenses para pedir que se use el planteamiento de la lista negativa en el TTIP, con el objetivo de incluir en la liberalización al mayor número posible de sectores de servicios.</w:t>
      </w: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4345EA" w:rsidRDefault="00AF62E6" w:rsidP="00AF62E6">
      <w:pPr>
        <w:autoSpaceDE w:val="0"/>
        <w:autoSpaceDN w:val="0"/>
        <w:adjustRightInd w:val="0"/>
        <w:spacing w:after="0" w:line="240" w:lineRule="auto"/>
        <w:jc w:val="both"/>
        <w:rPr>
          <w:rFonts w:ascii="Times New Roman" w:hAnsi="Times New Roman" w:cs="Times New Roman"/>
          <w:sz w:val="24"/>
          <w:szCs w:val="24"/>
        </w:rPr>
      </w:pPr>
      <w:r w:rsidRPr="008D015E">
        <w:rPr>
          <w:rFonts w:ascii="Times New Roman" w:hAnsi="Times New Roman" w:cs="Times New Roman"/>
          <w:color w:val="FF0000"/>
          <w:sz w:val="24"/>
          <w:szCs w:val="24"/>
        </w:rPr>
        <w:t>Asimismo, si las medidas de protección a los inversores se incluyen en el TTIP, los inversores extranjeros podrán demandar a los países donde inviertan por las pérdidas de beneficios que pueda ocasionar la reversión de privatizaciones ya hechas</w:t>
      </w:r>
      <w:r>
        <w:rPr>
          <w:rFonts w:ascii="Times New Roman" w:hAnsi="Times New Roman" w:cs="Times New Roman"/>
          <w:sz w:val="24"/>
          <w:szCs w:val="24"/>
        </w:rPr>
        <w:t xml:space="preserve">. Cuando en 2006 la ciudadanía </w:t>
      </w:r>
      <w:r w:rsidRPr="000B7C77">
        <w:rPr>
          <w:rFonts w:ascii="Times New Roman" w:hAnsi="Times New Roman" w:cs="Times New Roman"/>
          <w:sz w:val="24"/>
          <w:szCs w:val="24"/>
        </w:rPr>
        <w:t>votó por un gobierno de izquier</w:t>
      </w:r>
      <w:r>
        <w:rPr>
          <w:rFonts w:ascii="Times New Roman" w:hAnsi="Times New Roman" w:cs="Times New Roman"/>
          <w:sz w:val="24"/>
          <w:szCs w:val="24"/>
        </w:rPr>
        <w:t xml:space="preserve">das en Eslovaquia como reacción </w:t>
      </w:r>
      <w:r w:rsidRPr="000B7C77">
        <w:rPr>
          <w:rFonts w:ascii="Times New Roman" w:hAnsi="Times New Roman" w:cs="Times New Roman"/>
          <w:sz w:val="24"/>
          <w:szCs w:val="24"/>
        </w:rPr>
        <w:t xml:space="preserve">a la impopular privatización de los servicios </w:t>
      </w:r>
      <w:r>
        <w:rPr>
          <w:rFonts w:ascii="Times New Roman" w:hAnsi="Times New Roman" w:cs="Times New Roman"/>
          <w:sz w:val="24"/>
          <w:szCs w:val="24"/>
        </w:rPr>
        <w:t xml:space="preserve">sanitarios, una de las primeras </w:t>
      </w:r>
      <w:r w:rsidRPr="000B7C77">
        <w:rPr>
          <w:rFonts w:ascii="Times New Roman" w:hAnsi="Times New Roman" w:cs="Times New Roman"/>
          <w:sz w:val="24"/>
          <w:szCs w:val="24"/>
        </w:rPr>
        <w:t xml:space="preserve">medidas tomadas por el nuevo gobierno </w:t>
      </w:r>
      <w:r>
        <w:rPr>
          <w:rFonts w:ascii="Times New Roman" w:hAnsi="Times New Roman" w:cs="Times New Roman"/>
          <w:sz w:val="24"/>
          <w:szCs w:val="24"/>
        </w:rPr>
        <w:t xml:space="preserve">fue limitar la capacidad de las </w:t>
      </w:r>
      <w:r w:rsidRPr="000B7C77">
        <w:rPr>
          <w:rFonts w:ascii="Times New Roman" w:hAnsi="Times New Roman" w:cs="Times New Roman"/>
          <w:sz w:val="24"/>
          <w:szCs w:val="24"/>
        </w:rPr>
        <w:t>empresas de seguros privados de obtener</w:t>
      </w:r>
      <w:r>
        <w:rPr>
          <w:rFonts w:ascii="Times New Roman" w:hAnsi="Times New Roman" w:cs="Times New Roman"/>
          <w:sz w:val="24"/>
          <w:szCs w:val="24"/>
        </w:rPr>
        <w:t xml:space="preserve"> beneficios a costa del sistema </w:t>
      </w:r>
      <w:r w:rsidRPr="000B7C77">
        <w:rPr>
          <w:rFonts w:ascii="Times New Roman" w:hAnsi="Times New Roman" w:cs="Times New Roman"/>
          <w:sz w:val="24"/>
          <w:szCs w:val="24"/>
        </w:rPr>
        <w:t>de sanidad público. En respuesta, divers</w:t>
      </w:r>
      <w:r>
        <w:rPr>
          <w:rFonts w:ascii="Times New Roman" w:hAnsi="Times New Roman" w:cs="Times New Roman"/>
          <w:sz w:val="24"/>
          <w:szCs w:val="24"/>
        </w:rPr>
        <w:t xml:space="preserve">as compañías de seguros médicos </w:t>
      </w:r>
      <w:r w:rsidRPr="000B7C77">
        <w:rPr>
          <w:rFonts w:ascii="Times New Roman" w:hAnsi="Times New Roman" w:cs="Times New Roman"/>
          <w:sz w:val="24"/>
          <w:szCs w:val="24"/>
        </w:rPr>
        <w:t>demandaron al gobierno eslovaco p</w:t>
      </w:r>
      <w:r>
        <w:rPr>
          <w:rFonts w:ascii="Times New Roman" w:hAnsi="Times New Roman" w:cs="Times New Roman"/>
          <w:sz w:val="24"/>
          <w:szCs w:val="24"/>
        </w:rPr>
        <w:t>or perjuicios; la empresa holan</w:t>
      </w:r>
      <w:r w:rsidRPr="004345EA">
        <w:rPr>
          <w:rFonts w:ascii="Times New Roman" w:hAnsi="Times New Roman" w:cs="Times New Roman"/>
          <w:sz w:val="24"/>
          <w:szCs w:val="24"/>
        </w:rPr>
        <w:t>desa Achmea acabó embolsándose 29,5 millon</w:t>
      </w:r>
      <w:r>
        <w:rPr>
          <w:rFonts w:ascii="Times New Roman" w:hAnsi="Times New Roman" w:cs="Times New Roman"/>
          <w:sz w:val="24"/>
          <w:szCs w:val="24"/>
        </w:rPr>
        <w:t xml:space="preserve">es de euros en activos públicos </w:t>
      </w:r>
      <w:r w:rsidRPr="004345EA">
        <w:rPr>
          <w:rFonts w:ascii="Times New Roman" w:hAnsi="Times New Roman" w:cs="Times New Roman"/>
          <w:sz w:val="24"/>
          <w:szCs w:val="24"/>
        </w:rPr>
        <w:t xml:space="preserve">a modo de “indemnización”. En un </w:t>
      </w:r>
      <w:r>
        <w:rPr>
          <w:rFonts w:ascii="Times New Roman" w:hAnsi="Times New Roman" w:cs="Times New Roman"/>
          <w:sz w:val="24"/>
          <w:szCs w:val="24"/>
        </w:rPr>
        <w:t xml:space="preserve">caso sin precedentes presentado </w:t>
      </w:r>
      <w:r w:rsidRPr="004345EA">
        <w:rPr>
          <w:rFonts w:ascii="Times New Roman" w:hAnsi="Times New Roman" w:cs="Times New Roman"/>
          <w:sz w:val="24"/>
          <w:szCs w:val="24"/>
        </w:rPr>
        <w:t>en 2013, Achmea intenta ahora usar los</w:t>
      </w:r>
      <w:r>
        <w:rPr>
          <w:rFonts w:ascii="Times New Roman" w:hAnsi="Times New Roman" w:cs="Times New Roman"/>
          <w:sz w:val="24"/>
          <w:szCs w:val="24"/>
        </w:rPr>
        <w:t xml:space="preserve"> mismos argumentos para impedir </w:t>
      </w:r>
      <w:r w:rsidRPr="004345EA">
        <w:rPr>
          <w:rFonts w:ascii="Times New Roman" w:hAnsi="Times New Roman" w:cs="Times New Roman"/>
          <w:sz w:val="24"/>
          <w:szCs w:val="24"/>
        </w:rPr>
        <w:t>al gobierno eslovaco establecer un sistema de cobe</w:t>
      </w:r>
      <w:r>
        <w:rPr>
          <w:rFonts w:ascii="Times New Roman" w:hAnsi="Times New Roman" w:cs="Times New Roman"/>
          <w:sz w:val="24"/>
          <w:szCs w:val="24"/>
        </w:rPr>
        <w:t xml:space="preserve">rtura sanitaria pública </w:t>
      </w:r>
      <w:r w:rsidRPr="004345EA">
        <w:rPr>
          <w:rFonts w:ascii="Times New Roman" w:hAnsi="Times New Roman" w:cs="Times New Roman"/>
          <w:sz w:val="24"/>
          <w:szCs w:val="24"/>
        </w:rPr>
        <w:t>par</w:t>
      </w:r>
      <w:r>
        <w:rPr>
          <w:rFonts w:ascii="Times New Roman" w:hAnsi="Times New Roman" w:cs="Times New Roman"/>
          <w:sz w:val="24"/>
          <w:szCs w:val="24"/>
        </w:rPr>
        <w:t>a toda la ciudadanía del país.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4345EA">
        <w:rPr>
          <w:rFonts w:ascii="Times New Roman" w:hAnsi="Times New Roman" w:cs="Times New Roman"/>
          <w:sz w:val="24"/>
          <w:szCs w:val="24"/>
        </w:rPr>
        <w:t>La amenaza que supone el TTIP para los servicios sanitarios ha suscitado</w:t>
      </w:r>
      <w:r>
        <w:rPr>
          <w:rFonts w:ascii="Times New Roman" w:hAnsi="Times New Roman" w:cs="Times New Roman"/>
          <w:sz w:val="24"/>
          <w:szCs w:val="24"/>
        </w:rPr>
        <w:t xml:space="preserve"> </w:t>
      </w:r>
      <w:r w:rsidRPr="004345EA">
        <w:rPr>
          <w:rFonts w:ascii="Times New Roman" w:hAnsi="Times New Roman" w:cs="Times New Roman"/>
          <w:sz w:val="24"/>
          <w:szCs w:val="24"/>
        </w:rPr>
        <w:t>inquietud incluso dentro de la misma Comisi</w:t>
      </w:r>
      <w:r>
        <w:rPr>
          <w:rFonts w:ascii="Times New Roman" w:hAnsi="Times New Roman" w:cs="Times New Roman"/>
          <w:sz w:val="24"/>
          <w:szCs w:val="24"/>
        </w:rPr>
        <w:t xml:space="preserve">ón Europea. Bernie Merkel, jefe </w:t>
      </w:r>
      <w:r w:rsidRPr="004345EA">
        <w:rPr>
          <w:rFonts w:ascii="Times New Roman" w:hAnsi="Times New Roman" w:cs="Times New Roman"/>
          <w:sz w:val="24"/>
          <w:szCs w:val="24"/>
        </w:rPr>
        <w:t>de la Unidad de Sistemas de Atención Sanitaria d</w:t>
      </w:r>
      <w:r>
        <w:rPr>
          <w:rFonts w:ascii="Times New Roman" w:hAnsi="Times New Roman" w:cs="Times New Roman"/>
          <w:sz w:val="24"/>
          <w:szCs w:val="24"/>
        </w:rPr>
        <w:t xml:space="preserve">e la Comisión, ya ha advertido </w:t>
      </w:r>
      <w:r w:rsidRPr="004345EA">
        <w:rPr>
          <w:rFonts w:ascii="Times New Roman" w:hAnsi="Times New Roman" w:cs="Times New Roman"/>
          <w:sz w:val="24"/>
          <w:szCs w:val="24"/>
        </w:rPr>
        <w:t>que la UE va a tener que luchar par</w:t>
      </w:r>
      <w:r>
        <w:rPr>
          <w:rFonts w:ascii="Times New Roman" w:hAnsi="Times New Roman" w:cs="Times New Roman"/>
          <w:sz w:val="24"/>
          <w:szCs w:val="24"/>
        </w:rPr>
        <w:t xml:space="preserve">a defender las disposiciones en </w:t>
      </w:r>
      <w:r w:rsidRPr="004345EA">
        <w:rPr>
          <w:rFonts w:ascii="Times New Roman" w:hAnsi="Times New Roman" w:cs="Times New Roman"/>
          <w:sz w:val="24"/>
          <w:szCs w:val="24"/>
        </w:rPr>
        <w:t>materia de salud pública frente a las exigenci</w:t>
      </w:r>
      <w:r>
        <w:rPr>
          <w:rFonts w:ascii="Times New Roman" w:hAnsi="Times New Roman" w:cs="Times New Roman"/>
          <w:sz w:val="24"/>
          <w:szCs w:val="24"/>
        </w:rPr>
        <w:t xml:space="preserve">as por parte de los EEUU, que </w:t>
      </w:r>
      <w:r w:rsidRPr="004345EA">
        <w:rPr>
          <w:rFonts w:ascii="Times New Roman" w:hAnsi="Times New Roman" w:cs="Times New Roman"/>
          <w:sz w:val="24"/>
          <w:szCs w:val="24"/>
        </w:rPr>
        <w:t>quieren acceder a este nuevo mercado a través</w:t>
      </w:r>
      <w:r>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del TTIP. En un discurso en el </w:t>
      </w:r>
      <w:r w:rsidRPr="004345EA">
        <w:rPr>
          <w:rFonts w:ascii="Times New Roman" w:hAnsi="Times New Roman" w:cs="Times New Roman"/>
          <w:sz w:val="24"/>
          <w:szCs w:val="24"/>
        </w:rPr>
        <w:t>marco del Foro Europeo de la Salud en oct</w:t>
      </w:r>
      <w:r>
        <w:rPr>
          <w:rFonts w:ascii="Times New Roman" w:hAnsi="Times New Roman" w:cs="Times New Roman"/>
          <w:sz w:val="24"/>
          <w:szCs w:val="24"/>
        </w:rPr>
        <w:t xml:space="preserve">ubre de 2013, Merkel aconsejó a </w:t>
      </w:r>
      <w:r w:rsidRPr="004345EA">
        <w:rPr>
          <w:rFonts w:ascii="Times New Roman" w:hAnsi="Times New Roman" w:cs="Times New Roman"/>
          <w:sz w:val="24"/>
          <w:szCs w:val="24"/>
        </w:rPr>
        <w:t>la ciudadanía no hacerse ilusiones ni pensa</w:t>
      </w:r>
      <w:r>
        <w:rPr>
          <w:rFonts w:ascii="Times New Roman" w:hAnsi="Times New Roman" w:cs="Times New Roman"/>
          <w:sz w:val="24"/>
          <w:szCs w:val="24"/>
        </w:rPr>
        <w:t xml:space="preserve">r que este acuerdo comercial es </w:t>
      </w:r>
      <w:r w:rsidRPr="004345EA">
        <w:rPr>
          <w:rFonts w:ascii="Times New Roman" w:hAnsi="Times New Roman" w:cs="Times New Roman"/>
          <w:sz w:val="24"/>
          <w:szCs w:val="24"/>
        </w:rPr>
        <w:t>una oportunidad para mejorar las normativas e</w:t>
      </w:r>
      <w:r>
        <w:rPr>
          <w:rFonts w:ascii="Times New Roman" w:hAnsi="Times New Roman" w:cs="Times New Roman"/>
          <w:sz w:val="24"/>
          <w:szCs w:val="24"/>
        </w:rPr>
        <w:t xml:space="preserve">n materia de atención sanitaria </w:t>
      </w:r>
      <w:r w:rsidRPr="004345EA">
        <w:rPr>
          <w:rFonts w:ascii="Times New Roman" w:hAnsi="Times New Roman" w:cs="Times New Roman"/>
          <w:sz w:val="24"/>
          <w:szCs w:val="24"/>
        </w:rPr>
        <w:t>o acceso a los medicamentos: “No de</w:t>
      </w:r>
      <w:r>
        <w:rPr>
          <w:rFonts w:ascii="Times New Roman" w:hAnsi="Times New Roman" w:cs="Times New Roman"/>
          <w:sz w:val="24"/>
          <w:szCs w:val="24"/>
        </w:rPr>
        <w:t xml:space="preserve">ben olvidar que América va bien </w:t>
      </w:r>
      <w:r w:rsidRPr="004345EA">
        <w:rPr>
          <w:rFonts w:ascii="Times New Roman" w:hAnsi="Times New Roman" w:cs="Times New Roman"/>
          <w:sz w:val="24"/>
          <w:szCs w:val="24"/>
        </w:rPr>
        <w:t>para aquellos que tienen dinero, pero</w:t>
      </w:r>
      <w:r>
        <w:rPr>
          <w:rFonts w:ascii="Times New Roman" w:hAnsi="Times New Roman" w:cs="Times New Roman"/>
          <w:sz w:val="24"/>
          <w:szCs w:val="24"/>
        </w:rPr>
        <w:t xml:space="preserve"> no tan bien para los que no”.</w:t>
      </w:r>
    </w:p>
    <w:p w:rsidR="00AF62E6" w:rsidRPr="004345EA"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8D015E">
        <w:rPr>
          <w:rFonts w:ascii="Times New Roman" w:hAnsi="Times New Roman" w:cs="Times New Roman"/>
          <w:color w:val="FF0000"/>
          <w:sz w:val="24"/>
          <w:szCs w:val="24"/>
        </w:rPr>
        <w:t>Al mismo tiempo, no obstante, es la Comisión Europea la que trata de usar el TTIP para debilitar regulaciones importantes en materia de finanzas que se introdujeron a raíz de la crisis de 2008. A pesar del reconocimiento unánime de que la “regulación mínima” fue una de las causas principales de la quiebra del 2008, la Comisión intenta ahora profundizar en la desregulación exigiendo que el asunto se incluya en las conversaciones del TTIP. La agenda la está marcando el gobierno del Reino Unido en nombre de su poderoso grupo de presión de servicios financieros en la City de Londres, así como el gobierno alemán en nombre de su sector bancario; sin olvidar a los bancos más importantes de Estados Unidos, deseosos de usar el TTIP para debilitar las nuevas regulaciones introducidas por la Ley Dodd-Frank del gobierno de Obama. El gobierno estadounidense ya se ha mostrado de acuerdo en negociar una rebaja de las normas que regulan el acceso a los mercados de servicios financieros, incluida la eliminación de los controles de capitales.</w:t>
      </w: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8D015E">
        <w:rPr>
          <w:rFonts w:ascii="Times New Roman" w:hAnsi="Times New Roman" w:cs="Times New Roman"/>
          <w:color w:val="FF0000"/>
          <w:sz w:val="24"/>
          <w:szCs w:val="24"/>
        </w:rPr>
        <w:t>Además de la apertura de los servicios públicos, la Comisión Europea y el gobierno estadounidense tienen la intención de usar el acuerdo comercial para abrir la adjudicación de contratos públicos a la competencia del sector privado. Esto tendrá como consecuencia que muchos gobiernos locales ya no estarán autorizados a hacer políticas de adjudicación a favor de fines sociales y medioambientales importantes. La UE ya ha anunciado la voluntad de eliminar las populares disposiciones Buy America, establecidas para favorecer el empleo y las empresas locales</w:t>
      </w:r>
      <w:r>
        <w:rPr>
          <w:rFonts w:ascii="Times New Roman" w:hAnsi="Times New Roman" w:cs="Times New Roman"/>
          <w:color w:val="FF0000"/>
          <w:sz w:val="24"/>
          <w:szCs w:val="24"/>
        </w:rPr>
        <w:t xml:space="preserve"> en muchos de los estados de EE</w:t>
      </w:r>
      <w:r w:rsidRPr="008D015E">
        <w:rPr>
          <w:rFonts w:ascii="Times New Roman" w:hAnsi="Times New Roman" w:cs="Times New Roman"/>
          <w:color w:val="FF0000"/>
          <w:sz w:val="24"/>
          <w:szCs w:val="24"/>
        </w:rPr>
        <w:t>UU. El gobierno estadounidense, por su parte, ha manifestado su intención de revisar los sistemas de contratación de la UE, como los programas de alimentos locales fomentados en las escuelas y otros organismos públicos. Una vez más, las únicas beneficiadas serán las corporaciones transnacionales, que desbancarán a los proveedores locales y se harán con sus contratos.</w:t>
      </w: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4345EA">
        <w:rPr>
          <w:rFonts w:ascii="Times New Roman" w:hAnsi="Times New Roman" w:cs="Times New Roman"/>
          <w:sz w:val="24"/>
          <w:szCs w:val="24"/>
        </w:rPr>
        <w:t>Pero ninguna de estas inclusiones es ine</w:t>
      </w:r>
      <w:r>
        <w:rPr>
          <w:rFonts w:ascii="Times New Roman" w:hAnsi="Times New Roman" w:cs="Times New Roman"/>
          <w:sz w:val="24"/>
          <w:szCs w:val="24"/>
        </w:rPr>
        <w:t xml:space="preserve">vitable. Mediante la “excepción </w:t>
      </w:r>
      <w:r w:rsidRPr="004345EA">
        <w:rPr>
          <w:rFonts w:ascii="Times New Roman" w:hAnsi="Times New Roman" w:cs="Times New Roman"/>
          <w:sz w:val="24"/>
          <w:szCs w:val="24"/>
        </w:rPr>
        <w:t>cultural”, que ha protegido tradicionalmen</w:t>
      </w:r>
      <w:r>
        <w:rPr>
          <w:rFonts w:ascii="Times New Roman" w:hAnsi="Times New Roman" w:cs="Times New Roman"/>
          <w:sz w:val="24"/>
          <w:szCs w:val="24"/>
        </w:rPr>
        <w:t xml:space="preserve">te </w:t>
      </w:r>
      <w:r w:rsidRPr="008D015E">
        <w:rPr>
          <w:rFonts w:ascii="Times New Roman" w:hAnsi="Times New Roman" w:cs="Times New Roman"/>
          <w:color w:val="FF0000"/>
          <w:sz w:val="24"/>
          <w:szCs w:val="24"/>
        </w:rPr>
        <w:t>la industria cinematográfica nacional francesa de la competencia externa, el gobierno francés anunció en junio de 2013 que había conseguido dejar los servicios audiovisuales fuera del mandato del TTIP de la Comisión Europea, pese a la oposición del Reino Unido, Alemania y la misma Comisión</w:t>
      </w:r>
      <w:r>
        <w:rPr>
          <w:rFonts w:ascii="Times New Roman" w:hAnsi="Times New Roman" w:cs="Times New Roman"/>
          <w:sz w:val="24"/>
          <w:szCs w:val="24"/>
        </w:rPr>
        <w:t xml:space="preserve">. En un debate acalorado </w:t>
      </w:r>
      <w:r w:rsidRPr="004345EA">
        <w:rPr>
          <w:rFonts w:ascii="Times New Roman" w:hAnsi="Times New Roman" w:cs="Times New Roman"/>
          <w:sz w:val="24"/>
          <w:szCs w:val="24"/>
        </w:rPr>
        <w:t xml:space="preserve">en el Consejo Europeo de Asuntos </w:t>
      </w:r>
      <w:r>
        <w:rPr>
          <w:rFonts w:ascii="Times New Roman" w:hAnsi="Times New Roman" w:cs="Times New Roman"/>
          <w:sz w:val="24"/>
          <w:szCs w:val="24"/>
        </w:rPr>
        <w:t xml:space="preserve">Exteriores, Francia amenazó con </w:t>
      </w:r>
      <w:r w:rsidRPr="004345EA">
        <w:rPr>
          <w:rFonts w:ascii="Times New Roman" w:hAnsi="Times New Roman" w:cs="Times New Roman"/>
          <w:sz w:val="24"/>
          <w:szCs w:val="24"/>
        </w:rPr>
        <w:t xml:space="preserve">vetar el inicio de las negociaciones del acuerdo </w:t>
      </w:r>
      <w:r>
        <w:rPr>
          <w:rFonts w:ascii="Times New Roman" w:hAnsi="Times New Roman" w:cs="Times New Roman"/>
          <w:sz w:val="24"/>
          <w:szCs w:val="24"/>
        </w:rPr>
        <w:t xml:space="preserve">si no se respetaba la excepción </w:t>
      </w:r>
      <w:r w:rsidRPr="004345EA">
        <w:rPr>
          <w:rFonts w:ascii="Times New Roman" w:hAnsi="Times New Roman" w:cs="Times New Roman"/>
          <w:sz w:val="24"/>
          <w:szCs w:val="24"/>
        </w:rPr>
        <w:t xml:space="preserve">cultural. </w:t>
      </w:r>
      <w:r w:rsidRPr="008D015E">
        <w:rPr>
          <w:rFonts w:ascii="Times New Roman" w:hAnsi="Times New Roman" w:cs="Times New Roman"/>
          <w:color w:val="FF0000"/>
          <w:sz w:val="24"/>
          <w:szCs w:val="24"/>
        </w:rPr>
        <w:t>Sin embargo, el gobierno estadounidense ha declarado que “luchará enérgicamente” en nombre de su industria cinematográfica y televisiva para que se incluyan los servicios audiovisuales en las negociaciones</w:t>
      </w:r>
      <w:r>
        <w:rPr>
          <w:rFonts w:ascii="Times New Roman" w:hAnsi="Times New Roman" w:cs="Times New Roman"/>
          <w:sz w:val="24"/>
          <w:szCs w:val="24"/>
        </w:rPr>
        <w:t xml:space="preserve">. </w:t>
      </w:r>
      <w:r w:rsidRPr="004345EA">
        <w:rPr>
          <w:rFonts w:ascii="Times New Roman" w:hAnsi="Times New Roman" w:cs="Times New Roman"/>
          <w:sz w:val="24"/>
          <w:szCs w:val="24"/>
        </w:rPr>
        <w:t>Claramente molesta por no</w:t>
      </w:r>
      <w:r>
        <w:rPr>
          <w:rFonts w:ascii="Times New Roman" w:hAnsi="Times New Roman" w:cs="Times New Roman"/>
          <w:sz w:val="24"/>
          <w:szCs w:val="24"/>
        </w:rPr>
        <w:t xml:space="preserve"> haber podido obtener vía libre </w:t>
      </w:r>
      <w:r w:rsidRPr="004345EA">
        <w:rPr>
          <w:rFonts w:ascii="Times New Roman" w:hAnsi="Times New Roman" w:cs="Times New Roman"/>
          <w:sz w:val="24"/>
          <w:szCs w:val="24"/>
        </w:rPr>
        <w:t>para todos los sectores, la Comisión Europea insiste en que no se harán</w:t>
      </w:r>
      <w:r>
        <w:rPr>
          <w:rFonts w:ascii="Times New Roman" w:hAnsi="Times New Roman" w:cs="Times New Roman"/>
          <w:sz w:val="24"/>
          <w:szCs w:val="24"/>
        </w:rPr>
        <w:t xml:space="preserve"> </w:t>
      </w:r>
      <w:r w:rsidRPr="004345EA">
        <w:rPr>
          <w:rFonts w:ascii="Times New Roman" w:hAnsi="Times New Roman" w:cs="Times New Roman"/>
          <w:sz w:val="24"/>
          <w:szCs w:val="24"/>
        </w:rPr>
        <w:t>excepciones con los servicios audiovisuales, y qui</w:t>
      </w:r>
      <w:r>
        <w:rPr>
          <w:rFonts w:ascii="Times New Roman" w:hAnsi="Times New Roman" w:cs="Times New Roman"/>
          <w:sz w:val="24"/>
          <w:szCs w:val="24"/>
        </w:rPr>
        <w:t xml:space="preserve">zás intente volver a incluirlos </w:t>
      </w:r>
      <w:r w:rsidRPr="004345EA">
        <w:rPr>
          <w:rFonts w:ascii="Times New Roman" w:hAnsi="Times New Roman" w:cs="Times New Roman"/>
          <w:sz w:val="24"/>
          <w:szCs w:val="24"/>
        </w:rPr>
        <w:t xml:space="preserve">en el TTIP en una fase más </w:t>
      </w:r>
      <w:r>
        <w:rPr>
          <w:rFonts w:ascii="Times New Roman" w:hAnsi="Times New Roman" w:cs="Times New Roman"/>
          <w:sz w:val="24"/>
          <w:szCs w:val="24"/>
        </w:rPr>
        <w:t>avanzada de las negociaciones.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4345EA"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4345EA">
        <w:rPr>
          <w:rFonts w:ascii="Times New Roman" w:hAnsi="Times New Roman" w:cs="Times New Roman"/>
          <w:b/>
          <w:sz w:val="24"/>
          <w:szCs w:val="24"/>
        </w:rPr>
        <w:t>7 - La privacidad en peligro</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8D015E">
        <w:rPr>
          <w:rFonts w:ascii="Times New Roman" w:hAnsi="Times New Roman" w:cs="Times New Roman"/>
          <w:color w:val="FF0000"/>
          <w:sz w:val="24"/>
          <w:szCs w:val="24"/>
        </w:rPr>
        <w:lastRenderedPageBreak/>
        <w:t>Aunque este acuerdo comercial esté principalmente orientado a desregular para favorecer el comercio, también trata de incrementar los beneficios de las corporaciones limitando a las personas el acceso a la información. El capítulo del TTIP referente a los derechos de propiedad intelectual contiene disposiciones relativas a derechos de autor, patentes y marcas con vistas a fortalecer el control de las corporaciones sobre el conocimiento en detrimento del a</w:t>
      </w:r>
      <w:r>
        <w:rPr>
          <w:rFonts w:ascii="Times New Roman" w:hAnsi="Times New Roman" w:cs="Times New Roman"/>
          <w:color w:val="FF0000"/>
          <w:sz w:val="24"/>
          <w:szCs w:val="24"/>
        </w:rPr>
        <w:t>cceso público en la UE y los EE</w:t>
      </w:r>
      <w:r w:rsidRPr="008D015E">
        <w:rPr>
          <w:rFonts w:ascii="Times New Roman" w:hAnsi="Times New Roman" w:cs="Times New Roman"/>
          <w:color w:val="FF0000"/>
          <w:sz w:val="24"/>
          <w:szCs w:val="24"/>
        </w:rPr>
        <w:t>UU. Podrían desaparecer importantes exenciones de derechos de autor para escuelas, bibliotecas, personas con discapacidades y educación a distancia. Asimismo, la industria farmacéutica está intentando usar el acuerdo para restringir el acceso público a los datos de ensayos clínicos, lo que afectará a la transparencia y elevará los costes para los sistemas nacionales de sanidad en el futuro.</w:t>
      </w: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8D015E">
        <w:rPr>
          <w:rFonts w:ascii="Times New Roman" w:hAnsi="Times New Roman" w:cs="Times New Roman"/>
          <w:color w:val="FF0000"/>
          <w:sz w:val="24"/>
          <w:szCs w:val="24"/>
        </w:rPr>
        <w:t>Un documento filtrado de la Comisión Europea ha suscitado temores, a su vez, de que el TTIP incluya aspectos centrales del Acuerdo Comercial de Lucha contra la Falsificación (ACTA, por sus siglas en inglés), el cual ya fue rechazado por el Parlamento Europeo en 2012</w:t>
      </w:r>
      <w:r>
        <w:rPr>
          <w:rFonts w:ascii="Times New Roman" w:hAnsi="Times New Roman" w:cs="Times New Roman"/>
          <w:sz w:val="24"/>
          <w:szCs w:val="24"/>
        </w:rPr>
        <w:t xml:space="preserve">. Esta ley fue </w:t>
      </w:r>
      <w:r w:rsidRPr="004345EA">
        <w:rPr>
          <w:rFonts w:ascii="Times New Roman" w:hAnsi="Times New Roman" w:cs="Times New Roman"/>
          <w:sz w:val="24"/>
          <w:szCs w:val="24"/>
        </w:rPr>
        <w:t>denunciada extensamente en toda Europa por</w:t>
      </w:r>
      <w:r>
        <w:rPr>
          <w:rFonts w:ascii="Times New Roman" w:hAnsi="Times New Roman" w:cs="Times New Roman"/>
          <w:sz w:val="24"/>
          <w:szCs w:val="24"/>
        </w:rPr>
        <w:t xml:space="preserve"> ser un ataque a las libertades </w:t>
      </w:r>
      <w:r w:rsidRPr="004345EA">
        <w:rPr>
          <w:rFonts w:ascii="Times New Roman" w:hAnsi="Times New Roman" w:cs="Times New Roman"/>
          <w:sz w:val="24"/>
          <w:szCs w:val="24"/>
        </w:rPr>
        <w:t xml:space="preserve">civiles, pues contemplaba obligar </w:t>
      </w:r>
      <w:r>
        <w:rPr>
          <w:rFonts w:ascii="Times New Roman" w:hAnsi="Times New Roman" w:cs="Times New Roman"/>
          <w:sz w:val="24"/>
          <w:szCs w:val="24"/>
        </w:rPr>
        <w:t xml:space="preserve">a los proveedores de internet a </w:t>
      </w:r>
      <w:r w:rsidRPr="004345EA">
        <w:rPr>
          <w:rFonts w:ascii="Times New Roman" w:hAnsi="Times New Roman" w:cs="Times New Roman"/>
          <w:sz w:val="24"/>
          <w:szCs w:val="24"/>
        </w:rPr>
        <w:t xml:space="preserve">controlar la actividad en la red e informar </w:t>
      </w:r>
      <w:r>
        <w:rPr>
          <w:rFonts w:ascii="Times New Roman" w:hAnsi="Times New Roman" w:cs="Times New Roman"/>
          <w:sz w:val="24"/>
          <w:szCs w:val="24"/>
        </w:rPr>
        <w:t xml:space="preserve">sobre personas sospechosas </w:t>
      </w:r>
      <w:r w:rsidRPr="004345EA">
        <w:rPr>
          <w:rFonts w:ascii="Times New Roman" w:hAnsi="Times New Roman" w:cs="Times New Roman"/>
          <w:sz w:val="24"/>
          <w:szCs w:val="24"/>
        </w:rPr>
        <w:t>de infringir las disposiciones sobre derechos de</w:t>
      </w:r>
      <w:r>
        <w:rPr>
          <w:rFonts w:ascii="Times New Roman" w:hAnsi="Times New Roman" w:cs="Times New Roman"/>
          <w:sz w:val="24"/>
          <w:szCs w:val="24"/>
        </w:rPr>
        <w:t xml:space="preserve"> autor. Los y las eurodiputadas </w:t>
      </w:r>
      <w:r w:rsidRPr="004345EA">
        <w:rPr>
          <w:rFonts w:ascii="Times New Roman" w:hAnsi="Times New Roman" w:cs="Times New Roman"/>
          <w:sz w:val="24"/>
          <w:szCs w:val="24"/>
        </w:rPr>
        <w:t>rechazaron el ACTA por una mayor</w:t>
      </w:r>
      <w:r>
        <w:rPr>
          <w:rFonts w:ascii="Times New Roman" w:hAnsi="Times New Roman" w:cs="Times New Roman"/>
          <w:sz w:val="24"/>
          <w:szCs w:val="24"/>
        </w:rPr>
        <w:t xml:space="preserve">ía abrumadora de 478 a 39. Esta </w:t>
      </w:r>
      <w:r w:rsidRPr="004345EA">
        <w:rPr>
          <w:rFonts w:ascii="Times New Roman" w:hAnsi="Times New Roman" w:cs="Times New Roman"/>
          <w:sz w:val="24"/>
          <w:szCs w:val="24"/>
        </w:rPr>
        <w:t xml:space="preserve">fue la primera vez que el Parlamento </w:t>
      </w:r>
      <w:r>
        <w:rPr>
          <w:rFonts w:ascii="Times New Roman" w:hAnsi="Times New Roman" w:cs="Times New Roman"/>
          <w:sz w:val="24"/>
          <w:szCs w:val="24"/>
        </w:rPr>
        <w:t xml:space="preserve">Europeo hacía uso de los nuevos </w:t>
      </w:r>
      <w:r w:rsidRPr="004345EA">
        <w:rPr>
          <w:rFonts w:ascii="Times New Roman" w:hAnsi="Times New Roman" w:cs="Times New Roman"/>
          <w:sz w:val="24"/>
          <w:szCs w:val="24"/>
        </w:rPr>
        <w:t>poderes en virtud del Tratado de Lisboa par</w:t>
      </w:r>
      <w:r>
        <w:rPr>
          <w:rFonts w:ascii="Times New Roman" w:hAnsi="Times New Roman" w:cs="Times New Roman"/>
          <w:sz w:val="24"/>
          <w:szCs w:val="24"/>
        </w:rPr>
        <w:t xml:space="preserve">a rechazar un acuerdo comercial </w:t>
      </w:r>
      <w:r w:rsidRPr="004345EA">
        <w:rPr>
          <w:rFonts w:ascii="Times New Roman" w:hAnsi="Times New Roman" w:cs="Times New Roman"/>
          <w:sz w:val="24"/>
          <w:szCs w:val="24"/>
        </w:rPr>
        <w:t>internacional. David Martin, el eurodiputado escocés que ejerció</w:t>
      </w:r>
      <w:r>
        <w:rPr>
          <w:rFonts w:ascii="Times New Roman" w:hAnsi="Times New Roman" w:cs="Times New Roman"/>
          <w:sz w:val="24"/>
          <w:szCs w:val="24"/>
        </w:rPr>
        <w:t xml:space="preserve"> </w:t>
      </w:r>
      <w:r w:rsidRPr="004345EA">
        <w:rPr>
          <w:rFonts w:ascii="Times New Roman" w:hAnsi="Times New Roman" w:cs="Times New Roman"/>
          <w:sz w:val="24"/>
          <w:szCs w:val="24"/>
        </w:rPr>
        <w:t xml:space="preserve">de ponente sobre el ACTA, advirtió a </w:t>
      </w:r>
      <w:r>
        <w:rPr>
          <w:rFonts w:ascii="Times New Roman" w:hAnsi="Times New Roman" w:cs="Times New Roman"/>
          <w:sz w:val="24"/>
          <w:szCs w:val="24"/>
        </w:rPr>
        <w:t xml:space="preserve">los miembros del Parlamento que </w:t>
      </w:r>
      <w:r w:rsidRPr="004345EA">
        <w:rPr>
          <w:rFonts w:ascii="Times New Roman" w:hAnsi="Times New Roman" w:cs="Times New Roman"/>
          <w:sz w:val="24"/>
          <w:szCs w:val="24"/>
        </w:rPr>
        <w:t>sería impensable aceptar un acuerdo que ha sido negociado en sec</w:t>
      </w:r>
      <w:r>
        <w:rPr>
          <w:rFonts w:ascii="Times New Roman" w:hAnsi="Times New Roman" w:cs="Times New Roman"/>
          <w:sz w:val="24"/>
          <w:szCs w:val="24"/>
        </w:rPr>
        <w:t xml:space="preserve">reto y </w:t>
      </w:r>
      <w:r w:rsidRPr="004345EA">
        <w:rPr>
          <w:rFonts w:ascii="Times New Roman" w:hAnsi="Times New Roman" w:cs="Times New Roman"/>
          <w:sz w:val="24"/>
          <w:szCs w:val="24"/>
        </w:rPr>
        <w:t>presentado al Parlamento Europeo ya como un hecho consumado.</w:t>
      </w:r>
    </w:p>
    <w:p w:rsidR="00AF62E6" w:rsidRPr="004345EA"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8D015E">
        <w:rPr>
          <w:rFonts w:ascii="Times New Roman" w:hAnsi="Times New Roman" w:cs="Times New Roman"/>
          <w:color w:val="FF0000"/>
          <w:sz w:val="24"/>
          <w:szCs w:val="24"/>
        </w:rPr>
        <w:t>El TTIP también debilitará las leyes de privacidad de datos ya que facilitará a las compañías el acceso a información personal con fines comerciales. La Comisión Europea ya ha rebajado la normativa de la Unión en materia de privacidad de datos con el objetivo de allanar el terreno a la coherencia reglamentaria a la que aspira el TTIP, eliminando medidas clave de protección contra el espionaje de las agencias de inteligencia estadounidenses a la ciudadanía europea</w:t>
      </w:r>
      <w:r>
        <w:rPr>
          <w:rFonts w:ascii="Times New Roman" w:hAnsi="Times New Roman" w:cs="Times New Roman"/>
          <w:sz w:val="24"/>
          <w:szCs w:val="24"/>
        </w:rPr>
        <w:t xml:space="preserve">. Lo más irónico es que, como </w:t>
      </w:r>
      <w:r w:rsidRPr="004345EA">
        <w:rPr>
          <w:rFonts w:ascii="Times New Roman" w:hAnsi="Times New Roman" w:cs="Times New Roman"/>
          <w:sz w:val="24"/>
          <w:szCs w:val="24"/>
        </w:rPr>
        <w:t xml:space="preserve">revelan documentos sacados a la luz </w:t>
      </w:r>
      <w:r>
        <w:rPr>
          <w:rFonts w:ascii="Times New Roman" w:hAnsi="Times New Roman" w:cs="Times New Roman"/>
          <w:sz w:val="24"/>
          <w:szCs w:val="24"/>
        </w:rPr>
        <w:t xml:space="preserve">por Edward Snowden, el gobierno </w:t>
      </w:r>
      <w:r w:rsidRPr="004345EA">
        <w:rPr>
          <w:rFonts w:ascii="Times New Roman" w:hAnsi="Times New Roman" w:cs="Times New Roman"/>
          <w:sz w:val="24"/>
          <w:szCs w:val="24"/>
        </w:rPr>
        <w:t xml:space="preserve">estadounidense ha pinchado las oficinas de </w:t>
      </w:r>
      <w:r>
        <w:rPr>
          <w:rFonts w:ascii="Times New Roman" w:hAnsi="Times New Roman" w:cs="Times New Roman"/>
          <w:sz w:val="24"/>
          <w:szCs w:val="24"/>
        </w:rPr>
        <w:t xml:space="preserve">la UE en Nueva York, Washington </w:t>
      </w:r>
      <w:r w:rsidRPr="004345EA">
        <w:rPr>
          <w:rFonts w:ascii="Times New Roman" w:hAnsi="Times New Roman" w:cs="Times New Roman"/>
          <w:sz w:val="24"/>
          <w:szCs w:val="24"/>
        </w:rPr>
        <w:t>y Bruselas y se ha infiltrado en su red informática para t</w:t>
      </w:r>
      <w:r>
        <w:rPr>
          <w:rFonts w:ascii="Times New Roman" w:hAnsi="Times New Roman" w:cs="Times New Roman"/>
          <w:sz w:val="24"/>
          <w:szCs w:val="24"/>
        </w:rPr>
        <w:t xml:space="preserve">ener acceso </w:t>
      </w:r>
      <w:r w:rsidRPr="004345EA">
        <w:rPr>
          <w:rFonts w:ascii="Times New Roman" w:hAnsi="Times New Roman" w:cs="Times New Roman"/>
          <w:sz w:val="24"/>
          <w:szCs w:val="24"/>
        </w:rPr>
        <w:t>a correos electrónicos y documentos int</w:t>
      </w:r>
      <w:r>
        <w:rPr>
          <w:rFonts w:ascii="Times New Roman" w:hAnsi="Times New Roman" w:cs="Times New Roman"/>
          <w:sz w:val="24"/>
          <w:szCs w:val="24"/>
        </w:rPr>
        <w:t xml:space="preserve">ernos de la Unión. En respuesta </w:t>
      </w:r>
      <w:r w:rsidRPr="004345EA">
        <w:rPr>
          <w:rFonts w:ascii="Times New Roman" w:hAnsi="Times New Roman" w:cs="Times New Roman"/>
          <w:sz w:val="24"/>
          <w:szCs w:val="24"/>
        </w:rPr>
        <w:t>a declaraciones de miembros del Parlam</w:t>
      </w:r>
      <w:r>
        <w:rPr>
          <w:rFonts w:ascii="Times New Roman" w:hAnsi="Times New Roman" w:cs="Times New Roman"/>
          <w:sz w:val="24"/>
          <w:szCs w:val="24"/>
        </w:rPr>
        <w:t xml:space="preserve">ento que exigen la interrupción </w:t>
      </w:r>
      <w:r w:rsidRPr="004345EA">
        <w:rPr>
          <w:rFonts w:ascii="Times New Roman" w:hAnsi="Times New Roman" w:cs="Times New Roman"/>
          <w:sz w:val="24"/>
          <w:szCs w:val="24"/>
        </w:rPr>
        <w:t xml:space="preserve">de las conversaciones en torno al TTIP a la luz </w:t>
      </w:r>
      <w:r>
        <w:rPr>
          <w:rFonts w:ascii="Times New Roman" w:hAnsi="Times New Roman" w:cs="Times New Roman"/>
          <w:sz w:val="24"/>
          <w:szCs w:val="24"/>
        </w:rPr>
        <w:t xml:space="preserve">de este escándalo, la Comisaria </w:t>
      </w:r>
      <w:r w:rsidRPr="004345EA">
        <w:rPr>
          <w:rFonts w:ascii="Times New Roman" w:hAnsi="Times New Roman" w:cs="Times New Roman"/>
          <w:sz w:val="24"/>
          <w:szCs w:val="24"/>
        </w:rPr>
        <w:t>de Justicia de la Unión, Viviane Re</w:t>
      </w:r>
      <w:r>
        <w:rPr>
          <w:rFonts w:ascii="Times New Roman" w:hAnsi="Times New Roman" w:cs="Times New Roman"/>
          <w:sz w:val="24"/>
          <w:szCs w:val="24"/>
        </w:rPr>
        <w:t xml:space="preserve">ding, se mostró de acuerdo: “No </w:t>
      </w:r>
      <w:r w:rsidRPr="004345EA">
        <w:rPr>
          <w:rFonts w:ascii="Times New Roman" w:hAnsi="Times New Roman" w:cs="Times New Roman"/>
          <w:sz w:val="24"/>
          <w:szCs w:val="24"/>
        </w:rPr>
        <w:t>podemos negociar sobre un gran mercado</w:t>
      </w:r>
      <w:r>
        <w:rPr>
          <w:rFonts w:ascii="Times New Roman" w:hAnsi="Times New Roman" w:cs="Times New Roman"/>
          <w:sz w:val="24"/>
          <w:szCs w:val="24"/>
        </w:rPr>
        <w:t xml:space="preserve"> transatlántico mientras exista </w:t>
      </w:r>
      <w:r w:rsidRPr="004345EA">
        <w:rPr>
          <w:rFonts w:ascii="Times New Roman" w:hAnsi="Times New Roman" w:cs="Times New Roman"/>
          <w:sz w:val="24"/>
          <w:szCs w:val="24"/>
        </w:rPr>
        <w:t>la más mínima duda de que nuestros socios es</w:t>
      </w:r>
      <w:r>
        <w:rPr>
          <w:rFonts w:ascii="Times New Roman" w:hAnsi="Times New Roman" w:cs="Times New Roman"/>
          <w:sz w:val="24"/>
          <w:szCs w:val="24"/>
        </w:rPr>
        <w:t xml:space="preserve">tán llevando a cabo actividades </w:t>
      </w:r>
      <w:r w:rsidRPr="004345EA">
        <w:rPr>
          <w:rFonts w:ascii="Times New Roman" w:hAnsi="Times New Roman" w:cs="Times New Roman"/>
          <w:sz w:val="24"/>
          <w:szCs w:val="24"/>
        </w:rPr>
        <w:t>de espionaje en las ofici</w:t>
      </w:r>
      <w:r>
        <w:rPr>
          <w:rFonts w:ascii="Times New Roman" w:hAnsi="Times New Roman" w:cs="Times New Roman"/>
          <w:sz w:val="24"/>
          <w:szCs w:val="24"/>
        </w:rPr>
        <w:t>nas de nuestros negociadores”.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4345EA"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4345EA">
        <w:rPr>
          <w:rFonts w:ascii="Times New Roman" w:hAnsi="Times New Roman" w:cs="Times New Roman"/>
          <w:b/>
          <w:sz w:val="24"/>
          <w:szCs w:val="24"/>
        </w:rPr>
        <w:t>8 - La resolución de disputas entre inversores y Estados: una amenaza para la democracia</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8D015E">
        <w:rPr>
          <w:rFonts w:ascii="Times New Roman" w:hAnsi="Times New Roman" w:cs="Times New Roman"/>
          <w:color w:val="FF0000"/>
          <w:sz w:val="24"/>
          <w:szCs w:val="24"/>
        </w:rPr>
        <w:t xml:space="preserve">Pero la amenaza más grande que se deriva del TTIP quizás sea su intención de conceder a las corporaciones transnacionales el poder de demandar directamente a países concretos por pérdidas en sus áreas de competencia como resultado de decisiones de política pública. Esta disposición para la resolución de disputas entre inversores y Estados (ISDS, por sus siglas en inglés) no tiene parangón en sus consecuencias, pues </w:t>
      </w:r>
      <w:r w:rsidRPr="008D015E">
        <w:rPr>
          <w:rFonts w:ascii="Times New Roman" w:hAnsi="Times New Roman" w:cs="Times New Roman"/>
          <w:color w:val="FF0000"/>
          <w:sz w:val="24"/>
          <w:szCs w:val="24"/>
        </w:rPr>
        <w:lastRenderedPageBreak/>
        <w:t>equipara la condición jurídica del capital transnacional a la del Estado nación. Si se aprueba el TTIP, se les otorgará a las corporaciones europeas y estadounidenses el poder de cuestionar decisiones democráticas tomadas por Estados soberanos y de pedir indemnizaciones cuando estas decisiones afecten de forma adversa a sus beneficios.</w:t>
      </w: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Los EEUU</w:t>
      </w:r>
      <w:r w:rsidRPr="008D015E">
        <w:rPr>
          <w:rFonts w:ascii="Times New Roman" w:hAnsi="Times New Roman" w:cs="Times New Roman"/>
          <w:color w:val="FF0000"/>
          <w:sz w:val="24"/>
          <w:szCs w:val="24"/>
        </w:rPr>
        <w:t xml:space="preserve"> han insistido en incluir el ISDS en casi todos sus acuerdos bilaterales de inversión hasta la fecha, y solamente Australia ha conseguido ser la excepción. Según el ISDS, las compañías pueden demandar por daños y perjuicios al país donde lleven a cabo sus actividades incluso aunque no tengan ningún contrato con su gobierno. Además, se permite a los inversores evitar los tribunales nacionales y presentar sus demandas directamente en tribunales de arbitraje internacionales, incumpliendo la norma tradicional de agotar las posibilidades a nivel local antes de recurrir a tribunales internacionales. En algunos casos, compañías nacionales se han reinventado para pasar por inversores “extranjeros” y así poder sacar provecho de los privilegios que concede el ISDS, demandando a su propio gobierno.</w:t>
      </w: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Pr="008D015E"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8D015E">
        <w:rPr>
          <w:rFonts w:ascii="Times New Roman" w:hAnsi="Times New Roman" w:cs="Times New Roman"/>
          <w:color w:val="FF0000"/>
          <w:sz w:val="24"/>
          <w:szCs w:val="24"/>
        </w:rPr>
        <w:t>Los tribunales de arbitraje no dejan de ser tribunales irregulares. Los árbitros no son jueces titulados con autoridad pública como en los sistemas de justicia nacionales, sino un pequeño grupo de abogados corporativistas nombrados según las necesidades y con intereses personales para fallar a favor de las empresas. Los tribunales se reúnen en secreto, y sus árbitros han sido considerados culpables de tantas aplicaciones erróneas de la ley que incluso aquellos que defienden la idea del arbitraje internacional admiten que estos han perdido toda credibilidad. En una declaración pública firmada por más de 50 profesores de derecho y otras personas del mundo académico se pide la abolición de este sistema y el retorno de las competencias judiciales a los tribunales nacionales.</w:t>
      </w: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r w:rsidRPr="008D015E">
        <w:rPr>
          <w:rFonts w:ascii="Times New Roman" w:hAnsi="Times New Roman" w:cs="Times New Roman"/>
          <w:bCs/>
          <w:color w:val="FF0000"/>
          <w:sz w:val="24"/>
          <w:szCs w:val="24"/>
        </w:rPr>
        <w:t>Allá donde se ha incluido</w:t>
      </w:r>
      <w:r w:rsidRPr="008D015E">
        <w:rPr>
          <w:rFonts w:ascii="Times New Roman" w:hAnsi="Times New Roman" w:cs="Times New Roman"/>
          <w:b/>
          <w:bCs/>
          <w:color w:val="FF0000"/>
          <w:sz w:val="24"/>
          <w:szCs w:val="24"/>
        </w:rPr>
        <w:t xml:space="preserve"> </w:t>
      </w:r>
      <w:r w:rsidRPr="008D015E">
        <w:rPr>
          <w:rFonts w:ascii="Times New Roman" w:hAnsi="Times New Roman" w:cs="Times New Roman"/>
          <w:color w:val="FF0000"/>
          <w:sz w:val="24"/>
          <w:szCs w:val="24"/>
        </w:rPr>
        <w:t>el ISDS en tratados bilaterales de inversión u otra clase de acuerdos comerciales, los daños producidos a la política pública y a la democracia ya son significativos</w:t>
      </w:r>
      <w:r w:rsidRPr="00A72B60">
        <w:rPr>
          <w:rFonts w:ascii="Times New Roman" w:hAnsi="Times New Roman" w:cs="Times New Roman"/>
          <w:sz w:val="24"/>
          <w:szCs w:val="24"/>
        </w:rPr>
        <w:t xml:space="preserve">. </w:t>
      </w:r>
      <w:r>
        <w:rPr>
          <w:rFonts w:ascii="Times New Roman" w:hAnsi="Times New Roman" w:cs="Times New Roman"/>
          <w:sz w:val="24"/>
          <w:szCs w:val="24"/>
        </w:rPr>
        <w:t xml:space="preserve">Algunos de los ejemplos </w:t>
      </w:r>
      <w:r w:rsidRPr="00A72B60">
        <w:rPr>
          <w:rFonts w:ascii="Times New Roman" w:hAnsi="Times New Roman" w:cs="Times New Roman"/>
          <w:sz w:val="24"/>
          <w:szCs w:val="24"/>
        </w:rPr>
        <w:t>más destacados son:</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r w:rsidRPr="00A72B60">
        <w:rPr>
          <w:rFonts w:ascii="Times New Roman" w:hAnsi="Times New Roman" w:cs="Times New Roman"/>
          <w:sz w:val="24"/>
          <w:szCs w:val="24"/>
        </w:rPr>
        <w:t>􀁝 La compañía energética sueca Vatten</w:t>
      </w:r>
      <w:r>
        <w:rPr>
          <w:rFonts w:ascii="Times New Roman" w:hAnsi="Times New Roman" w:cs="Times New Roman"/>
          <w:sz w:val="24"/>
          <w:szCs w:val="24"/>
        </w:rPr>
        <w:t xml:space="preserve">fall reclama al gobierno alemán </w:t>
      </w:r>
      <w:r w:rsidRPr="00A72B60">
        <w:rPr>
          <w:rFonts w:ascii="Times New Roman" w:hAnsi="Times New Roman" w:cs="Times New Roman"/>
          <w:sz w:val="24"/>
          <w:szCs w:val="24"/>
        </w:rPr>
        <w:t>3.700 millones de euros por su dec</w:t>
      </w:r>
      <w:r>
        <w:rPr>
          <w:rFonts w:ascii="Times New Roman" w:hAnsi="Times New Roman" w:cs="Times New Roman"/>
          <w:sz w:val="24"/>
          <w:szCs w:val="24"/>
        </w:rPr>
        <w:t xml:space="preserve">isión de abandonar gradualmente </w:t>
      </w:r>
      <w:r w:rsidRPr="00A72B60">
        <w:rPr>
          <w:rFonts w:ascii="Times New Roman" w:hAnsi="Times New Roman" w:cs="Times New Roman"/>
          <w:sz w:val="24"/>
          <w:szCs w:val="24"/>
        </w:rPr>
        <w:t xml:space="preserve">la producción de energía nuclear a </w:t>
      </w:r>
      <w:r>
        <w:rPr>
          <w:rFonts w:ascii="Times New Roman" w:hAnsi="Times New Roman" w:cs="Times New Roman"/>
          <w:sz w:val="24"/>
          <w:szCs w:val="24"/>
        </w:rPr>
        <w:t xml:space="preserve">raíz del desastre de Fukushima. </w:t>
      </w:r>
      <w:r w:rsidRPr="00A72B60">
        <w:rPr>
          <w:rFonts w:ascii="Times New Roman" w:hAnsi="Times New Roman" w:cs="Times New Roman"/>
          <w:sz w:val="24"/>
          <w:szCs w:val="24"/>
        </w:rPr>
        <w:t>Vattenfall ya se salió con la suy</w:t>
      </w:r>
      <w:r>
        <w:rPr>
          <w:rFonts w:ascii="Times New Roman" w:hAnsi="Times New Roman" w:cs="Times New Roman"/>
          <w:sz w:val="24"/>
          <w:szCs w:val="24"/>
        </w:rPr>
        <w:t xml:space="preserve">a cuando cuestionó la normativa </w:t>
      </w:r>
      <w:r w:rsidRPr="00A72B60">
        <w:rPr>
          <w:rFonts w:ascii="Times New Roman" w:hAnsi="Times New Roman" w:cs="Times New Roman"/>
          <w:sz w:val="24"/>
          <w:szCs w:val="24"/>
        </w:rPr>
        <w:t>medioambiental de la ciudad de Hambur</w:t>
      </w:r>
      <w:r>
        <w:rPr>
          <w:rFonts w:ascii="Times New Roman" w:hAnsi="Times New Roman" w:cs="Times New Roman"/>
          <w:sz w:val="24"/>
          <w:szCs w:val="24"/>
        </w:rPr>
        <w:t xml:space="preserve">go, que finalmente fue rebajada </w:t>
      </w:r>
      <w:r w:rsidRPr="00A72B60">
        <w:rPr>
          <w:rFonts w:ascii="Times New Roman" w:hAnsi="Times New Roman" w:cs="Times New Roman"/>
          <w:sz w:val="24"/>
          <w:szCs w:val="24"/>
        </w:rPr>
        <w:t>a causa de las presiones de la compañía.</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r w:rsidRPr="00A72B60">
        <w:rPr>
          <w:rFonts w:ascii="Times New Roman" w:hAnsi="Times New Roman" w:cs="Times New Roman"/>
          <w:sz w:val="24"/>
          <w:szCs w:val="24"/>
        </w:rPr>
        <w:t>􀁝 En uno de los múltiples casos de</w:t>
      </w:r>
      <w:r>
        <w:rPr>
          <w:rFonts w:ascii="Times New Roman" w:hAnsi="Times New Roman" w:cs="Times New Roman"/>
          <w:sz w:val="24"/>
          <w:szCs w:val="24"/>
        </w:rPr>
        <w:t xml:space="preserve"> ISDS presentados contra Canadá </w:t>
      </w:r>
      <w:r w:rsidRPr="00A72B60">
        <w:rPr>
          <w:rFonts w:ascii="Times New Roman" w:hAnsi="Times New Roman" w:cs="Times New Roman"/>
          <w:sz w:val="24"/>
          <w:szCs w:val="24"/>
        </w:rPr>
        <w:t xml:space="preserve">después de la entrada en vigor del </w:t>
      </w:r>
      <w:r>
        <w:rPr>
          <w:rFonts w:ascii="Times New Roman" w:hAnsi="Times New Roman" w:cs="Times New Roman"/>
          <w:sz w:val="24"/>
          <w:szCs w:val="24"/>
        </w:rPr>
        <w:t xml:space="preserve">NAFTA, este país fue obligado a </w:t>
      </w:r>
      <w:r w:rsidRPr="00A72B60">
        <w:rPr>
          <w:rFonts w:ascii="Times New Roman" w:hAnsi="Times New Roman" w:cs="Times New Roman"/>
          <w:sz w:val="24"/>
          <w:szCs w:val="24"/>
        </w:rPr>
        <w:t>revocar su prohibición sobre el ad</w:t>
      </w:r>
      <w:r>
        <w:rPr>
          <w:rFonts w:ascii="Times New Roman" w:hAnsi="Times New Roman" w:cs="Times New Roman"/>
          <w:sz w:val="24"/>
          <w:szCs w:val="24"/>
        </w:rPr>
        <w:t xml:space="preserve">itivo para combustible MMT bajo </w:t>
      </w:r>
      <w:r w:rsidRPr="00A72B60">
        <w:rPr>
          <w:rFonts w:ascii="Times New Roman" w:hAnsi="Times New Roman" w:cs="Times New Roman"/>
          <w:sz w:val="24"/>
          <w:szCs w:val="24"/>
        </w:rPr>
        <w:t>presiones de la compañía estadouni</w:t>
      </w:r>
      <w:r>
        <w:rPr>
          <w:rFonts w:ascii="Times New Roman" w:hAnsi="Times New Roman" w:cs="Times New Roman"/>
          <w:sz w:val="24"/>
          <w:szCs w:val="24"/>
        </w:rPr>
        <w:t xml:space="preserve">dense Ethyl. Posteriormente, en </w:t>
      </w:r>
      <w:r w:rsidRPr="00A72B60">
        <w:rPr>
          <w:rFonts w:ascii="Times New Roman" w:hAnsi="Times New Roman" w:cs="Times New Roman"/>
          <w:sz w:val="24"/>
          <w:szCs w:val="24"/>
        </w:rPr>
        <w:t>un caso sobre derechos en materia de agua y madera, Canadá tuvo</w:t>
      </w:r>
      <w:r>
        <w:rPr>
          <w:rFonts w:ascii="Times New Roman" w:hAnsi="Times New Roman" w:cs="Times New Roman"/>
          <w:sz w:val="24"/>
          <w:szCs w:val="24"/>
        </w:rPr>
        <w:t xml:space="preserve"> </w:t>
      </w:r>
      <w:r w:rsidRPr="00A72B60">
        <w:rPr>
          <w:rFonts w:ascii="Times New Roman" w:hAnsi="Times New Roman" w:cs="Times New Roman"/>
          <w:sz w:val="24"/>
          <w:szCs w:val="24"/>
        </w:rPr>
        <w:t>que pagar 122 millones de dólares a la compañía papelera canadiense</w:t>
      </w:r>
      <w:r>
        <w:rPr>
          <w:rFonts w:ascii="Times New Roman" w:hAnsi="Times New Roman" w:cs="Times New Roman"/>
          <w:sz w:val="24"/>
          <w:szCs w:val="24"/>
        </w:rPr>
        <w:t xml:space="preserve"> </w:t>
      </w:r>
      <w:r w:rsidRPr="00A72B60">
        <w:rPr>
          <w:rFonts w:ascii="Times New Roman" w:hAnsi="Times New Roman" w:cs="Times New Roman"/>
          <w:sz w:val="24"/>
          <w:szCs w:val="24"/>
        </w:rPr>
        <w:t>AbitibiBowater, la cual hizo uso de las</w:t>
      </w:r>
      <w:r>
        <w:rPr>
          <w:rFonts w:ascii="Times New Roman" w:hAnsi="Times New Roman" w:cs="Times New Roman"/>
          <w:sz w:val="24"/>
          <w:szCs w:val="24"/>
        </w:rPr>
        <w:t xml:space="preserve"> reglas del NAFTA para demandar </w:t>
      </w:r>
      <w:r w:rsidRPr="00A72B60">
        <w:rPr>
          <w:rFonts w:ascii="Times New Roman" w:hAnsi="Times New Roman" w:cs="Times New Roman"/>
          <w:sz w:val="24"/>
          <w:szCs w:val="24"/>
        </w:rPr>
        <w:t>a su propio p</w:t>
      </w:r>
      <w:r>
        <w:rPr>
          <w:rFonts w:ascii="Times New Roman" w:hAnsi="Times New Roman" w:cs="Times New Roman"/>
          <w:sz w:val="24"/>
          <w:szCs w:val="24"/>
        </w:rPr>
        <w:t>aís desde su sucursal en los EE</w:t>
      </w:r>
      <w:r w:rsidRPr="00A72B60">
        <w:rPr>
          <w:rFonts w:ascii="Times New Roman" w:hAnsi="Times New Roman" w:cs="Times New Roman"/>
          <w:sz w:val="24"/>
          <w:szCs w:val="24"/>
        </w:rPr>
        <w:t>UU.</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r w:rsidRPr="00A72B60">
        <w:rPr>
          <w:rFonts w:ascii="Times New Roman" w:hAnsi="Times New Roman" w:cs="Times New Roman"/>
          <w:sz w:val="24"/>
          <w:szCs w:val="24"/>
        </w:rPr>
        <w:t>􀁝 La gigante tabacalera estadounidense Philip Morris reclama al gobierno australiano miles de millones de dólares como indemnización por tomar una medida política en materia de salud pública que obliga a vender los cigarrillos en paquetes sin publicidad. Philip Morris demandado también a Uruguay por sus medidas para combatir</w:t>
      </w:r>
      <w:r>
        <w:rPr>
          <w:rFonts w:ascii="Times New Roman" w:hAnsi="Times New Roman" w:cs="Times New Roman"/>
          <w:sz w:val="24"/>
          <w:szCs w:val="24"/>
        </w:rPr>
        <w:t xml:space="preserve"> </w:t>
      </w:r>
      <w:r w:rsidRPr="00A72B60">
        <w:rPr>
          <w:rFonts w:ascii="Times New Roman" w:hAnsi="Times New Roman" w:cs="Times New Roman"/>
          <w:sz w:val="24"/>
          <w:szCs w:val="24"/>
        </w:rPr>
        <w:t xml:space="preserve">el tabaquismo en el país, que obligan </w:t>
      </w:r>
      <w:r>
        <w:rPr>
          <w:rFonts w:ascii="Times New Roman" w:hAnsi="Times New Roman" w:cs="Times New Roman"/>
          <w:sz w:val="24"/>
          <w:szCs w:val="24"/>
        </w:rPr>
        <w:t xml:space="preserve">a que las advertencias gráficas </w:t>
      </w:r>
      <w:r w:rsidRPr="00A72B60">
        <w:rPr>
          <w:rFonts w:ascii="Times New Roman" w:hAnsi="Times New Roman" w:cs="Times New Roman"/>
          <w:sz w:val="24"/>
          <w:szCs w:val="24"/>
        </w:rPr>
        <w:t xml:space="preserve">sobre los riesgos que fumar conllevan </w:t>
      </w:r>
      <w:r>
        <w:rPr>
          <w:rFonts w:ascii="Times New Roman" w:hAnsi="Times New Roman" w:cs="Times New Roman"/>
          <w:sz w:val="24"/>
          <w:szCs w:val="24"/>
        </w:rPr>
        <w:t xml:space="preserve">para la salud cubran el 80% del </w:t>
      </w:r>
      <w:r w:rsidRPr="00A72B60">
        <w:rPr>
          <w:rFonts w:ascii="Times New Roman" w:hAnsi="Times New Roman" w:cs="Times New Roman"/>
          <w:sz w:val="24"/>
          <w:szCs w:val="24"/>
        </w:rPr>
        <w:t>paquete de cigarrillos.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r w:rsidRPr="00A72B60">
        <w:rPr>
          <w:rFonts w:ascii="Times New Roman" w:hAnsi="Times New Roman" w:cs="Times New Roman"/>
          <w:sz w:val="24"/>
          <w:szCs w:val="24"/>
        </w:rPr>
        <w:t>􀁝 Ningún estado se ha visto tan afectado po</w:t>
      </w:r>
      <w:r>
        <w:rPr>
          <w:rFonts w:ascii="Times New Roman" w:hAnsi="Times New Roman" w:cs="Times New Roman"/>
          <w:sz w:val="24"/>
          <w:szCs w:val="24"/>
        </w:rPr>
        <w:t xml:space="preserve">r casos de ISDS como Argentina, </w:t>
      </w:r>
      <w:r w:rsidRPr="00A72B60">
        <w:rPr>
          <w:rFonts w:ascii="Times New Roman" w:hAnsi="Times New Roman" w:cs="Times New Roman"/>
          <w:sz w:val="24"/>
          <w:szCs w:val="24"/>
        </w:rPr>
        <w:t>muchos de ellos relaciona</w:t>
      </w:r>
      <w:r>
        <w:rPr>
          <w:rFonts w:ascii="Times New Roman" w:hAnsi="Times New Roman" w:cs="Times New Roman"/>
          <w:sz w:val="24"/>
          <w:szCs w:val="24"/>
        </w:rPr>
        <w:t xml:space="preserve">dos con la decisión del país en </w:t>
      </w:r>
      <w:r w:rsidRPr="00A72B60">
        <w:rPr>
          <w:rFonts w:ascii="Times New Roman" w:hAnsi="Times New Roman" w:cs="Times New Roman"/>
          <w:sz w:val="24"/>
          <w:szCs w:val="24"/>
        </w:rPr>
        <w:t>2002 de desvincular el peso argentino del dólar estadounidense.</w:t>
      </w:r>
      <w:r>
        <w:rPr>
          <w:rFonts w:ascii="Times New Roman" w:hAnsi="Times New Roman" w:cs="Times New Roman"/>
          <w:sz w:val="24"/>
          <w:szCs w:val="24"/>
        </w:rPr>
        <w:t xml:space="preserve"> </w:t>
      </w:r>
      <w:r w:rsidRPr="00A72B60">
        <w:rPr>
          <w:rFonts w:ascii="Times New Roman" w:hAnsi="Times New Roman" w:cs="Times New Roman"/>
          <w:sz w:val="24"/>
          <w:szCs w:val="24"/>
        </w:rPr>
        <w:t>Después de muchos años de litigio en torno</w:t>
      </w:r>
      <w:r>
        <w:rPr>
          <w:rFonts w:ascii="Times New Roman" w:hAnsi="Times New Roman" w:cs="Times New Roman"/>
          <w:sz w:val="24"/>
          <w:szCs w:val="24"/>
        </w:rPr>
        <w:t xml:space="preserve"> a estos casos, en octubre </w:t>
      </w:r>
      <w:r w:rsidRPr="00A72B60">
        <w:rPr>
          <w:rFonts w:ascii="Times New Roman" w:hAnsi="Times New Roman" w:cs="Times New Roman"/>
          <w:sz w:val="24"/>
          <w:szCs w:val="24"/>
        </w:rPr>
        <w:t>de 2013 se obligó al gobierno argent</w:t>
      </w:r>
      <w:r>
        <w:rPr>
          <w:rFonts w:ascii="Times New Roman" w:hAnsi="Times New Roman" w:cs="Times New Roman"/>
          <w:sz w:val="24"/>
          <w:szCs w:val="24"/>
        </w:rPr>
        <w:t xml:space="preserve">ino a pagar más de 500 millones </w:t>
      </w:r>
      <w:r w:rsidRPr="00A72B60">
        <w:rPr>
          <w:rFonts w:ascii="Times New Roman" w:hAnsi="Times New Roman" w:cs="Times New Roman"/>
          <w:sz w:val="24"/>
          <w:szCs w:val="24"/>
        </w:rPr>
        <w:t>de dólares para satisfacer las demandas de cinco compañías.</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r w:rsidRPr="00A72B60">
        <w:rPr>
          <w:rFonts w:ascii="Times New Roman" w:hAnsi="Times New Roman" w:cs="Times New Roman"/>
          <w:sz w:val="24"/>
          <w:szCs w:val="24"/>
        </w:rPr>
        <w:t>􀁝 En la mayor indemnización fruto del IS</w:t>
      </w:r>
      <w:r>
        <w:rPr>
          <w:rFonts w:ascii="Times New Roman" w:hAnsi="Times New Roman" w:cs="Times New Roman"/>
          <w:sz w:val="24"/>
          <w:szCs w:val="24"/>
        </w:rPr>
        <w:t xml:space="preserve">DS efectuada hasta la fecha, se </w:t>
      </w:r>
      <w:r w:rsidRPr="00A72B60">
        <w:rPr>
          <w:rFonts w:ascii="Times New Roman" w:hAnsi="Times New Roman" w:cs="Times New Roman"/>
          <w:sz w:val="24"/>
          <w:szCs w:val="24"/>
        </w:rPr>
        <w:t>ha obligado a Ecuador a pagar a l</w:t>
      </w:r>
      <w:r>
        <w:rPr>
          <w:rFonts w:ascii="Times New Roman" w:hAnsi="Times New Roman" w:cs="Times New Roman"/>
          <w:sz w:val="24"/>
          <w:szCs w:val="24"/>
        </w:rPr>
        <w:t xml:space="preserve">a compañía Occidental Petroleum </w:t>
      </w:r>
      <w:r w:rsidRPr="00A72B60">
        <w:rPr>
          <w:rFonts w:ascii="Times New Roman" w:hAnsi="Times New Roman" w:cs="Times New Roman"/>
          <w:sz w:val="24"/>
          <w:szCs w:val="24"/>
        </w:rPr>
        <w:t>1.770 millones de dólares como ind</w:t>
      </w:r>
      <w:r>
        <w:rPr>
          <w:rFonts w:ascii="Times New Roman" w:hAnsi="Times New Roman" w:cs="Times New Roman"/>
          <w:sz w:val="24"/>
          <w:szCs w:val="24"/>
        </w:rPr>
        <w:t xml:space="preserve">emnización por haber rescindido </w:t>
      </w:r>
      <w:r w:rsidRPr="00A72B60">
        <w:rPr>
          <w:rFonts w:ascii="Times New Roman" w:hAnsi="Times New Roman" w:cs="Times New Roman"/>
          <w:sz w:val="24"/>
          <w:szCs w:val="24"/>
        </w:rPr>
        <w:t xml:space="preserve">el contrato con el gigante petrolífero, </w:t>
      </w:r>
      <w:r>
        <w:rPr>
          <w:rFonts w:ascii="Times New Roman" w:hAnsi="Times New Roman" w:cs="Times New Roman"/>
          <w:sz w:val="24"/>
          <w:szCs w:val="24"/>
        </w:rPr>
        <w:t xml:space="preserve">al violar este último las leyes </w:t>
      </w:r>
      <w:r w:rsidRPr="00A72B60">
        <w:rPr>
          <w:rFonts w:ascii="Times New Roman" w:hAnsi="Times New Roman" w:cs="Times New Roman"/>
          <w:sz w:val="24"/>
          <w:szCs w:val="24"/>
        </w:rPr>
        <w:t>del país. Otro tribunal desechó la d</w:t>
      </w:r>
      <w:r>
        <w:rPr>
          <w:rFonts w:ascii="Times New Roman" w:hAnsi="Times New Roman" w:cs="Times New Roman"/>
          <w:sz w:val="24"/>
          <w:szCs w:val="24"/>
        </w:rPr>
        <w:t xml:space="preserve">emanda interpuesta por Ecuador, </w:t>
      </w:r>
      <w:r w:rsidRPr="00A72B60">
        <w:rPr>
          <w:rFonts w:ascii="Times New Roman" w:hAnsi="Times New Roman" w:cs="Times New Roman"/>
          <w:sz w:val="24"/>
          <w:szCs w:val="24"/>
        </w:rPr>
        <w:t xml:space="preserve">que reclamaba 19.000 millones de dólares </w:t>
      </w:r>
      <w:r>
        <w:rPr>
          <w:rFonts w:ascii="Times New Roman" w:hAnsi="Times New Roman" w:cs="Times New Roman"/>
          <w:sz w:val="24"/>
          <w:szCs w:val="24"/>
        </w:rPr>
        <w:t xml:space="preserve">a Chevron por haber contaminado </w:t>
      </w:r>
      <w:r w:rsidRPr="00A72B60">
        <w:rPr>
          <w:rFonts w:ascii="Times New Roman" w:hAnsi="Times New Roman" w:cs="Times New Roman"/>
          <w:sz w:val="24"/>
          <w:szCs w:val="24"/>
        </w:rPr>
        <w:t>la selva amazónica durante dos décadas.</w:t>
      </w:r>
    </w:p>
    <w:p w:rsidR="00AF62E6" w:rsidRDefault="00AF62E6" w:rsidP="00AF62E6">
      <w:pPr>
        <w:autoSpaceDE w:val="0"/>
        <w:autoSpaceDN w:val="0"/>
        <w:adjustRightInd w:val="0"/>
        <w:spacing w:after="0" w:line="240" w:lineRule="auto"/>
        <w:jc w:val="both"/>
        <w:rPr>
          <w:rFonts w:ascii="Times New Roman" w:hAnsi="Times New Roman" w:cs="Times New Roman"/>
          <w:b/>
          <w:bCs/>
          <w:sz w:val="24"/>
          <w:szCs w:val="24"/>
        </w:rPr>
      </w:pPr>
    </w:p>
    <w:p w:rsidR="00AF62E6" w:rsidRPr="00DB211A"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DB211A">
        <w:rPr>
          <w:rFonts w:ascii="Times New Roman" w:hAnsi="Times New Roman" w:cs="Times New Roman"/>
          <w:bCs/>
          <w:color w:val="FF0000"/>
          <w:sz w:val="24"/>
          <w:szCs w:val="24"/>
        </w:rPr>
        <w:t>El uso de los procesos</w:t>
      </w:r>
      <w:r w:rsidRPr="00DB211A">
        <w:rPr>
          <w:rFonts w:ascii="Times New Roman" w:hAnsi="Times New Roman" w:cs="Times New Roman"/>
          <w:b/>
          <w:bCs/>
          <w:color w:val="FF0000"/>
          <w:sz w:val="24"/>
          <w:szCs w:val="24"/>
        </w:rPr>
        <w:t xml:space="preserve"> </w:t>
      </w:r>
      <w:r w:rsidRPr="00DB211A">
        <w:rPr>
          <w:rFonts w:ascii="Times New Roman" w:hAnsi="Times New Roman" w:cs="Times New Roman"/>
          <w:color w:val="FF0000"/>
          <w:sz w:val="24"/>
          <w:szCs w:val="24"/>
        </w:rPr>
        <w:t>de ISDS por parte de las corporaciones transnacionales se está extendiendo como una pandemia. Se sabe que se han presentado más de 500 casos contra al menos 95 países, 400 solamente en los últimos 10 años.63 Y se sospecha que se han iniciado muchos más sin que se haya hecho público, dado el secretismo con el que se llevan a cabo los procesos.</w:t>
      </w:r>
    </w:p>
    <w:p w:rsidR="00AF62E6" w:rsidRPr="00DB211A" w:rsidRDefault="00AF62E6" w:rsidP="00AF62E6">
      <w:pPr>
        <w:autoSpaceDE w:val="0"/>
        <w:autoSpaceDN w:val="0"/>
        <w:adjustRightInd w:val="0"/>
        <w:spacing w:after="0" w:line="240" w:lineRule="auto"/>
        <w:jc w:val="both"/>
        <w:rPr>
          <w:rFonts w:ascii="Times New Roman" w:hAnsi="Times New Roman" w:cs="Times New Roman"/>
          <w:b/>
          <w:bCs/>
          <w:color w:val="FF0000"/>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B211A">
        <w:rPr>
          <w:rFonts w:ascii="Times New Roman" w:hAnsi="Times New Roman" w:cs="Times New Roman"/>
          <w:bCs/>
          <w:color w:val="FF0000"/>
          <w:sz w:val="24"/>
          <w:szCs w:val="24"/>
        </w:rPr>
        <w:t>Funcionarios gubernamentales</w:t>
      </w:r>
      <w:r w:rsidRPr="00DB211A">
        <w:rPr>
          <w:rFonts w:ascii="Times New Roman" w:hAnsi="Times New Roman" w:cs="Times New Roman"/>
          <w:b/>
          <w:bCs/>
          <w:color w:val="FF0000"/>
          <w:sz w:val="24"/>
          <w:szCs w:val="24"/>
        </w:rPr>
        <w:t xml:space="preserve"> </w:t>
      </w:r>
      <w:r w:rsidRPr="00DB211A">
        <w:rPr>
          <w:rFonts w:ascii="Times New Roman" w:hAnsi="Times New Roman" w:cs="Times New Roman"/>
          <w:color w:val="FF0000"/>
          <w:sz w:val="24"/>
          <w:szCs w:val="24"/>
        </w:rPr>
        <w:t>de toda Europa están poniendo en tela de juicio la conveniencia de incluir el ISDS en el TTIP.</w:t>
      </w:r>
      <w:r>
        <w:rPr>
          <w:rFonts w:ascii="Times New Roman" w:hAnsi="Times New Roman" w:cs="Times New Roman"/>
          <w:sz w:val="24"/>
          <w:szCs w:val="24"/>
        </w:rPr>
        <w:t xml:space="preserve"> El gobierno del Reino </w:t>
      </w:r>
      <w:r w:rsidRPr="00A72B60">
        <w:rPr>
          <w:rFonts w:ascii="Times New Roman" w:hAnsi="Times New Roman" w:cs="Times New Roman"/>
          <w:sz w:val="24"/>
          <w:szCs w:val="24"/>
        </w:rPr>
        <w:t>Unido encargó a la London School of Eco</w:t>
      </w:r>
      <w:r>
        <w:rPr>
          <w:rFonts w:ascii="Times New Roman" w:hAnsi="Times New Roman" w:cs="Times New Roman"/>
          <w:sz w:val="24"/>
          <w:szCs w:val="24"/>
        </w:rPr>
        <w:t xml:space="preserve">nomics un informe de evaluación </w:t>
      </w:r>
      <w:r w:rsidRPr="00A72B60">
        <w:rPr>
          <w:rFonts w:ascii="Times New Roman" w:hAnsi="Times New Roman" w:cs="Times New Roman"/>
          <w:sz w:val="24"/>
          <w:szCs w:val="24"/>
        </w:rPr>
        <w:t>de impacto sobre los costes y lo</w:t>
      </w:r>
      <w:r>
        <w:rPr>
          <w:rFonts w:ascii="Times New Roman" w:hAnsi="Times New Roman" w:cs="Times New Roman"/>
          <w:sz w:val="24"/>
          <w:szCs w:val="24"/>
        </w:rPr>
        <w:t xml:space="preserve">s beneficios que resultarían de </w:t>
      </w:r>
      <w:r w:rsidRPr="00A72B60">
        <w:rPr>
          <w:rFonts w:ascii="Times New Roman" w:hAnsi="Times New Roman" w:cs="Times New Roman"/>
          <w:sz w:val="24"/>
          <w:szCs w:val="24"/>
        </w:rPr>
        <w:t>incluir la protección a inversores en un a</w:t>
      </w:r>
      <w:r>
        <w:rPr>
          <w:rFonts w:ascii="Times New Roman" w:hAnsi="Times New Roman" w:cs="Times New Roman"/>
          <w:sz w:val="24"/>
          <w:szCs w:val="24"/>
        </w:rPr>
        <w:t xml:space="preserve">cuerdo entre la UE y los EEUU. </w:t>
      </w:r>
      <w:r w:rsidRPr="00A72B60">
        <w:rPr>
          <w:rFonts w:ascii="Times New Roman" w:hAnsi="Times New Roman" w:cs="Times New Roman"/>
          <w:sz w:val="24"/>
          <w:szCs w:val="24"/>
        </w:rPr>
        <w:t>El informe llegó a la conclusión que si es</w:t>
      </w:r>
      <w:r>
        <w:rPr>
          <w:rFonts w:ascii="Times New Roman" w:hAnsi="Times New Roman" w:cs="Times New Roman"/>
          <w:sz w:val="24"/>
          <w:szCs w:val="24"/>
        </w:rPr>
        <w:t xml:space="preserve">to sucediera, el Reino Unido se </w:t>
      </w:r>
      <w:r w:rsidRPr="00A72B60">
        <w:rPr>
          <w:rFonts w:ascii="Times New Roman" w:hAnsi="Times New Roman" w:cs="Times New Roman"/>
          <w:sz w:val="24"/>
          <w:szCs w:val="24"/>
        </w:rPr>
        <w:t xml:space="preserve">vería expuesto a un número de litigios y </w:t>
      </w:r>
      <w:r>
        <w:rPr>
          <w:rFonts w:ascii="Times New Roman" w:hAnsi="Times New Roman" w:cs="Times New Roman"/>
          <w:sz w:val="24"/>
          <w:szCs w:val="24"/>
        </w:rPr>
        <w:t xml:space="preserve">costes incluso mayor del que ha </w:t>
      </w:r>
      <w:r w:rsidRPr="00A72B60">
        <w:rPr>
          <w:rFonts w:ascii="Times New Roman" w:hAnsi="Times New Roman" w:cs="Times New Roman"/>
          <w:sz w:val="24"/>
          <w:szCs w:val="24"/>
        </w:rPr>
        <w:t>sufrido Canadá después de haber entrado</w:t>
      </w:r>
      <w:r>
        <w:rPr>
          <w:rFonts w:ascii="Times New Roman" w:hAnsi="Times New Roman" w:cs="Times New Roman"/>
          <w:sz w:val="24"/>
          <w:szCs w:val="24"/>
        </w:rPr>
        <w:t xml:space="preserve"> en vigor el NAFTA. El aumento </w:t>
      </w:r>
      <w:r w:rsidRPr="00A72B60">
        <w:rPr>
          <w:rFonts w:ascii="Times New Roman" w:hAnsi="Times New Roman" w:cs="Times New Roman"/>
          <w:sz w:val="24"/>
          <w:szCs w:val="24"/>
        </w:rPr>
        <w:t>de las inversiones resultado del acuerdo, po</w:t>
      </w:r>
      <w:r>
        <w:rPr>
          <w:rFonts w:ascii="Times New Roman" w:hAnsi="Times New Roman" w:cs="Times New Roman"/>
          <w:sz w:val="24"/>
          <w:szCs w:val="24"/>
        </w:rPr>
        <w:t xml:space="preserve">r el contrario, sería “casi con </w:t>
      </w:r>
      <w:r w:rsidRPr="00A72B60">
        <w:rPr>
          <w:rFonts w:ascii="Times New Roman" w:hAnsi="Times New Roman" w:cs="Times New Roman"/>
          <w:sz w:val="24"/>
          <w:szCs w:val="24"/>
        </w:rPr>
        <w:t>total seguridad” inexistente (hasta ahora ning</w:t>
      </w:r>
      <w:r>
        <w:rPr>
          <w:rFonts w:ascii="Times New Roman" w:hAnsi="Times New Roman" w:cs="Times New Roman"/>
          <w:sz w:val="24"/>
          <w:szCs w:val="24"/>
        </w:rPr>
        <w:t xml:space="preserve">uno de los acuerdos bilaterales </w:t>
      </w:r>
      <w:r w:rsidRPr="00A72B60">
        <w:rPr>
          <w:rFonts w:ascii="Times New Roman" w:hAnsi="Times New Roman" w:cs="Times New Roman"/>
          <w:sz w:val="24"/>
          <w:szCs w:val="24"/>
        </w:rPr>
        <w:t>con países industrializados han</w:t>
      </w:r>
      <w:r>
        <w:rPr>
          <w:rFonts w:ascii="Times New Roman" w:hAnsi="Times New Roman" w:cs="Times New Roman"/>
          <w:sz w:val="24"/>
          <w:szCs w:val="24"/>
        </w:rPr>
        <w:t xml:space="preserve"> llevado a un incremento de las </w:t>
      </w:r>
      <w:r w:rsidRPr="00A72B60">
        <w:rPr>
          <w:rFonts w:ascii="Times New Roman" w:hAnsi="Times New Roman" w:cs="Times New Roman"/>
          <w:sz w:val="24"/>
          <w:szCs w:val="24"/>
        </w:rPr>
        <w:t>inv</w:t>
      </w:r>
      <w:r>
        <w:rPr>
          <w:rFonts w:ascii="Times New Roman" w:hAnsi="Times New Roman" w:cs="Times New Roman"/>
          <w:sz w:val="24"/>
          <w:szCs w:val="24"/>
        </w:rPr>
        <w:t>ersiones provenientes de los EEUU). Los autores del informe acon</w:t>
      </w:r>
      <w:r w:rsidRPr="00A72B60">
        <w:rPr>
          <w:rFonts w:ascii="Times New Roman" w:hAnsi="Times New Roman" w:cs="Times New Roman"/>
          <w:sz w:val="24"/>
          <w:szCs w:val="24"/>
        </w:rPr>
        <w:t>sejaron al gobierno que recapacitara sobr</w:t>
      </w:r>
      <w:r>
        <w:rPr>
          <w:rFonts w:ascii="Times New Roman" w:hAnsi="Times New Roman" w:cs="Times New Roman"/>
          <w:sz w:val="24"/>
          <w:szCs w:val="24"/>
        </w:rPr>
        <w:t xml:space="preserve">e la conveniencia de incluir la </w:t>
      </w:r>
      <w:r w:rsidRPr="00A72B60">
        <w:rPr>
          <w:rFonts w:ascii="Times New Roman" w:hAnsi="Times New Roman" w:cs="Times New Roman"/>
          <w:sz w:val="24"/>
          <w:szCs w:val="24"/>
        </w:rPr>
        <w:t>protec</w:t>
      </w:r>
      <w:r>
        <w:rPr>
          <w:rFonts w:ascii="Times New Roman" w:hAnsi="Times New Roman" w:cs="Times New Roman"/>
          <w:sz w:val="24"/>
          <w:szCs w:val="24"/>
        </w:rPr>
        <w:t>ción de inversores en el TTIP.</w:t>
      </w: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r w:rsidRPr="00DB211A">
        <w:rPr>
          <w:rFonts w:ascii="Times New Roman" w:hAnsi="Times New Roman" w:cs="Times New Roman"/>
          <w:color w:val="FF0000"/>
          <w:sz w:val="24"/>
          <w:szCs w:val="24"/>
        </w:rPr>
        <w:t>La Comisión Europea ya ha decidido qué tipo de sistema de ISDS desea incluir en el TTIP. Sin embargo, su postura ha levantado críticas por parte de grupos de la sociedad civil (como muestra la carta conjunta remitida por 200 organizaciones europeas, estadounidenses e internacionales en diciembre de 2013) y también por parte de numerosos Estados miembros de la UE. En respuesta a estas críticas, la Comisión anunció en enero de 2014 que suspendería las negociaciones en torno al ISDS dentro del TTIP durante tres meses para llevar a cabo una “consulta” entre la ciudadanía europea. Comentarios posteriores realizados por Karel de Gucht, comisario de Comercio de la UE, revelan que lo que se pretende con ello es convencer a la opinión pública escéptica sobre las bondades del ISDS y en ningún caso replantearse la postura de la Comisión.</w:t>
      </w:r>
    </w:p>
    <w:p w:rsidR="00AF62E6" w:rsidRDefault="00AF62E6" w:rsidP="00AF62E6">
      <w:pPr>
        <w:autoSpaceDE w:val="0"/>
        <w:autoSpaceDN w:val="0"/>
        <w:adjustRightInd w:val="0"/>
        <w:spacing w:after="0" w:line="240" w:lineRule="auto"/>
        <w:jc w:val="both"/>
        <w:rPr>
          <w:rFonts w:ascii="Times New Roman" w:hAnsi="Times New Roman" w:cs="Times New Roman"/>
          <w:color w:val="FF0000"/>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b/>
          <w:sz w:val="24"/>
          <w:szCs w:val="24"/>
        </w:rPr>
      </w:pPr>
      <w:r w:rsidRPr="00A72B60">
        <w:rPr>
          <w:rFonts w:ascii="Times New Roman" w:hAnsi="Times New Roman" w:cs="Times New Roman"/>
          <w:b/>
          <w:sz w:val="24"/>
          <w:szCs w:val="24"/>
        </w:rPr>
        <w:t>9 - La resistencia crece</w:t>
      </w:r>
    </w:p>
    <w:p w:rsidR="00AF62E6" w:rsidRDefault="00AF62E6" w:rsidP="00AF62E6">
      <w:pPr>
        <w:autoSpaceDE w:val="0"/>
        <w:autoSpaceDN w:val="0"/>
        <w:adjustRightInd w:val="0"/>
        <w:spacing w:after="0" w:line="240" w:lineRule="auto"/>
        <w:jc w:val="both"/>
        <w:rPr>
          <w:rFonts w:ascii="Times New Roman" w:hAnsi="Times New Roman" w:cs="Times New Roman"/>
          <w:b/>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A72B60">
        <w:rPr>
          <w:rFonts w:ascii="Times New Roman" w:hAnsi="Times New Roman" w:cs="Times New Roman"/>
          <w:sz w:val="24"/>
          <w:szCs w:val="24"/>
        </w:rPr>
        <w:t>Los movimientos contrarios a este acue</w:t>
      </w:r>
      <w:r>
        <w:rPr>
          <w:rFonts w:ascii="Times New Roman" w:hAnsi="Times New Roman" w:cs="Times New Roman"/>
          <w:sz w:val="24"/>
          <w:szCs w:val="24"/>
        </w:rPr>
        <w:t xml:space="preserve">rdo comercial están creciendo a </w:t>
      </w:r>
      <w:r w:rsidRPr="00A72B60">
        <w:rPr>
          <w:rFonts w:ascii="Times New Roman" w:hAnsi="Times New Roman" w:cs="Times New Roman"/>
          <w:sz w:val="24"/>
          <w:szCs w:val="24"/>
        </w:rPr>
        <w:t>los dos lados del Atlántico, pues la gent</w:t>
      </w:r>
      <w:r>
        <w:rPr>
          <w:rFonts w:ascii="Times New Roman" w:hAnsi="Times New Roman" w:cs="Times New Roman"/>
          <w:sz w:val="24"/>
          <w:szCs w:val="24"/>
        </w:rPr>
        <w:t xml:space="preserve">e es cada vez más consciente de </w:t>
      </w:r>
      <w:r w:rsidRPr="00A72B60">
        <w:rPr>
          <w:rFonts w:ascii="Times New Roman" w:hAnsi="Times New Roman" w:cs="Times New Roman"/>
          <w:sz w:val="24"/>
          <w:szCs w:val="24"/>
        </w:rPr>
        <w:t>las consecuencias que tendrían estas n</w:t>
      </w:r>
      <w:r>
        <w:rPr>
          <w:rFonts w:ascii="Times New Roman" w:hAnsi="Times New Roman" w:cs="Times New Roman"/>
          <w:sz w:val="24"/>
          <w:szCs w:val="24"/>
        </w:rPr>
        <w:t xml:space="preserve">egociaciones en tantos aspectos </w:t>
      </w:r>
      <w:r w:rsidRPr="00A72B60">
        <w:rPr>
          <w:rFonts w:ascii="Times New Roman" w:hAnsi="Times New Roman" w:cs="Times New Roman"/>
          <w:sz w:val="24"/>
          <w:szCs w:val="24"/>
        </w:rPr>
        <w:t xml:space="preserve">de su vida. Activistas a favor de la salud </w:t>
      </w:r>
      <w:r>
        <w:rPr>
          <w:rFonts w:ascii="Times New Roman" w:hAnsi="Times New Roman" w:cs="Times New Roman"/>
          <w:sz w:val="24"/>
          <w:szCs w:val="24"/>
        </w:rPr>
        <w:t xml:space="preserve">pública, </w:t>
      </w:r>
      <w:r>
        <w:rPr>
          <w:rFonts w:ascii="Times New Roman" w:hAnsi="Times New Roman" w:cs="Times New Roman"/>
          <w:sz w:val="24"/>
          <w:szCs w:val="24"/>
        </w:rPr>
        <w:lastRenderedPageBreak/>
        <w:t xml:space="preserve">el medio ambiente y la </w:t>
      </w:r>
      <w:r w:rsidRPr="00A72B60">
        <w:rPr>
          <w:rFonts w:ascii="Times New Roman" w:hAnsi="Times New Roman" w:cs="Times New Roman"/>
          <w:sz w:val="24"/>
          <w:szCs w:val="24"/>
        </w:rPr>
        <w:t>justicia social están uniendo fuerzas con sind</w:t>
      </w:r>
      <w:r>
        <w:rPr>
          <w:rFonts w:ascii="Times New Roman" w:hAnsi="Times New Roman" w:cs="Times New Roman"/>
          <w:sz w:val="24"/>
          <w:szCs w:val="24"/>
        </w:rPr>
        <w:t xml:space="preserve">icatos y grupos de consumidores </w:t>
      </w:r>
      <w:r w:rsidRPr="00A72B60">
        <w:rPr>
          <w:rFonts w:ascii="Times New Roman" w:hAnsi="Times New Roman" w:cs="Times New Roman"/>
          <w:sz w:val="24"/>
          <w:szCs w:val="24"/>
        </w:rPr>
        <w:t>tanto en Europa como en los E</w:t>
      </w:r>
      <w:r>
        <w:rPr>
          <w:rFonts w:ascii="Times New Roman" w:hAnsi="Times New Roman" w:cs="Times New Roman"/>
          <w:sz w:val="24"/>
          <w:szCs w:val="24"/>
        </w:rPr>
        <w:t xml:space="preserve">EUU para oponerse a la agenda </w:t>
      </w:r>
      <w:r w:rsidRPr="00A72B60">
        <w:rPr>
          <w:rFonts w:ascii="Times New Roman" w:hAnsi="Times New Roman" w:cs="Times New Roman"/>
          <w:sz w:val="24"/>
          <w:szCs w:val="24"/>
        </w:rPr>
        <w:t xml:space="preserve">desreguladora del TTIP. Diputados y diputadas de toda Europa </w:t>
      </w:r>
      <w:r>
        <w:rPr>
          <w:rFonts w:ascii="Times New Roman" w:hAnsi="Times New Roman" w:cs="Times New Roman"/>
          <w:sz w:val="24"/>
          <w:szCs w:val="24"/>
        </w:rPr>
        <w:t xml:space="preserve">han expresado </w:t>
      </w:r>
      <w:r w:rsidRPr="00A72B60">
        <w:rPr>
          <w:rFonts w:ascii="Times New Roman" w:hAnsi="Times New Roman" w:cs="Times New Roman"/>
          <w:sz w:val="24"/>
          <w:szCs w:val="24"/>
        </w:rPr>
        <w:t>su preocupación por las consecuencias del acuerdo</w:t>
      </w:r>
      <w:r>
        <w:rPr>
          <w:rFonts w:ascii="Times New Roman" w:hAnsi="Times New Roman" w:cs="Times New Roman"/>
          <w:sz w:val="24"/>
          <w:szCs w:val="24"/>
        </w:rPr>
        <w:t>…</w:t>
      </w:r>
    </w:p>
    <w:p w:rsidR="00AF62E6" w:rsidRPr="00A72B60"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B211A">
        <w:rPr>
          <w:rFonts w:ascii="Times New Roman" w:hAnsi="Times New Roman" w:cs="Times New Roman"/>
          <w:color w:val="FF0000"/>
          <w:sz w:val="24"/>
          <w:szCs w:val="24"/>
        </w:rPr>
        <w:t>Otras potencias comerciales a nivel mundial también se muestran preocupadas por el impacto que puede tener el TTIP en sus intereses</w:t>
      </w:r>
      <w:r>
        <w:rPr>
          <w:rFonts w:ascii="Times New Roman" w:hAnsi="Times New Roman" w:cs="Times New Roman"/>
          <w:sz w:val="24"/>
          <w:szCs w:val="24"/>
        </w:rPr>
        <w:t xml:space="preserve">. La </w:t>
      </w:r>
      <w:r w:rsidRPr="00A72B60">
        <w:rPr>
          <w:rFonts w:ascii="Times New Roman" w:hAnsi="Times New Roman" w:cs="Times New Roman"/>
          <w:sz w:val="24"/>
          <w:szCs w:val="24"/>
        </w:rPr>
        <w:t>urgencia por profundizar las relaciones en</w:t>
      </w:r>
      <w:r>
        <w:rPr>
          <w:rFonts w:ascii="Times New Roman" w:hAnsi="Times New Roman" w:cs="Times New Roman"/>
          <w:sz w:val="24"/>
          <w:szCs w:val="24"/>
        </w:rPr>
        <w:t xml:space="preserve">tre la UE y los EEUU mediante </w:t>
      </w:r>
      <w:r w:rsidRPr="00A72B60">
        <w:rPr>
          <w:rFonts w:ascii="Times New Roman" w:hAnsi="Times New Roman" w:cs="Times New Roman"/>
          <w:sz w:val="24"/>
          <w:szCs w:val="24"/>
        </w:rPr>
        <w:t>el acuerdo se percibe generalmente como un intento de dejar al margen</w:t>
      </w:r>
      <w:r>
        <w:rPr>
          <w:rFonts w:ascii="Times New Roman" w:hAnsi="Times New Roman" w:cs="Times New Roman"/>
          <w:sz w:val="24"/>
          <w:szCs w:val="24"/>
        </w:rPr>
        <w:t xml:space="preserve"> </w:t>
      </w:r>
      <w:r w:rsidRPr="00D1467E">
        <w:rPr>
          <w:rFonts w:ascii="Times New Roman" w:hAnsi="Times New Roman" w:cs="Times New Roman"/>
          <w:sz w:val="24"/>
          <w:szCs w:val="24"/>
        </w:rPr>
        <w:t>economías emergentes como China, Brasil</w:t>
      </w:r>
      <w:r>
        <w:rPr>
          <w:rFonts w:ascii="Times New Roman" w:hAnsi="Times New Roman" w:cs="Times New Roman"/>
          <w:sz w:val="24"/>
          <w:szCs w:val="24"/>
        </w:rPr>
        <w:t xml:space="preserve"> e India, que en estos momentos </w:t>
      </w:r>
      <w:r w:rsidRPr="00D1467E">
        <w:rPr>
          <w:rFonts w:ascii="Times New Roman" w:hAnsi="Times New Roman" w:cs="Times New Roman"/>
          <w:sz w:val="24"/>
          <w:szCs w:val="24"/>
        </w:rPr>
        <w:t>amenazan la hegemonía de las potenc</w:t>
      </w:r>
      <w:r>
        <w:rPr>
          <w:rFonts w:ascii="Times New Roman" w:hAnsi="Times New Roman" w:cs="Times New Roman"/>
          <w:sz w:val="24"/>
          <w:szCs w:val="24"/>
        </w:rPr>
        <w:t xml:space="preserve">ias capitalistas tradicionales. </w:t>
      </w:r>
      <w:r w:rsidRPr="00D1467E">
        <w:rPr>
          <w:rFonts w:ascii="Times New Roman" w:hAnsi="Times New Roman" w:cs="Times New Roman"/>
          <w:sz w:val="24"/>
          <w:szCs w:val="24"/>
        </w:rPr>
        <w:t>La Comisión Europea ha declarado que el TT</w:t>
      </w:r>
      <w:r>
        <w:rPr>
          <w:rFonts w:ascii="Times New Roman" w:hAnsi="Times New Roman" w:cs="Times New Roman"/>
          <w:sz w:val="24"/>
          <w:szCs w:val="24"/>
        </w:rPr>
        <w:t xml:space="preserve">IP no solamente va a establecer </w:t>
      </w:r>
      <w:r w:rsidRPr="00D1467E">
        <w:rPr>
          <w:rFonts w:ascii="Times New Roman" w:hAnsi="Times New Roman" w:cs="Times New Roman"/>
          <w:sz w:val="24"/>
          <w:szCs w:val="24"/>
        </w:rPr>
        <w:t>normativa</w:t>
      </w:r>
      <w:r>
        <w:rPr>
          <w:rFonts w:ascii="Times New Roman" w:hAnsi="Times New Roman" w:cs="Times New Roman"/>
          <w:sz w:val="24"/>
          <w:szCs w:val="24"/>
        </w:rPr>
        <w:t xml:space="preserve">s para la UE y los EEUU, sino que cabe esperar que sus </w:t>
      </w:r>
      <w:r w:rsidRPr="00D1467E">
        <w:rPr>
          <w:rFonts w:ascii="Times New Roman" w:hAnsi="Times New Roman" w:cs="Times New Roman"/>
          <w:sz w:val="24"/>
          <w:szCs w:val="24"/>
        </w:rPr>
        <w:t>socios comerciales adopten las mismas no</w:t>
      </w:r>
      <w:r>
        <w:rPr>
          <w:rFonts w:ascii="Times New Roman" w:hAnsi="Times New Roman" w:cs="Times New Roman"/>
          <w:sz w:val="24"/>
          <w:szCs w:val="24"/>
        </w:rPr>
        <w:t xml:space="preserve">rmativas si no quieren quedarse </w:t>
      </w:r>
      <w:r w:rsidRPr="00D1467E">
        <w:rPr>
          <w:rFonts w:ascii="Times New Roman" w:hAnsi="Times New Roman" w:cs="Times New Roman"/>
          <w:sz w:val="24"/>
          <w:szCs w:val="24"/>
        </w:rPr>
        <w:t>al margen de la economía global</w:t>
      </w:r>
      <w:r>
        <w:rPr>
          <w:rFonts w:ascii="Times New Roman" w:hAnsi="Times New Roman" w:cs="Times New Roman"/>
          <w:sz w:val="24"/>
          <w:szCs w:val="24"/>
        </w:rPr>
        <w:t>…</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B211A">
        <w:rPr>
          <w:rFonts w:ascii="Times New Roman" w:hAnsi="Times New Roman" w:cs="Times New Roman"/>
          <w:color w:val="FF0000"/>
          <w:sz w:val="24"/>
          <w:szCs w:val="24"/>
        </w:rPr>
        <w:t>En última instancia, el TTIP es un acuerdo diseñado para beneficiar a las corporaciones transnacionales europeas y estadounidenses que quieren expandir su acceso a los mercados y eliminar las normativas que limitan sus ganancias</w:t>
      </w:r>
      <w:r w:rsidRPr="00D1467E">
        <w:rPr>
          <w:rFonts w:ascii="Times New Roman" w:hAnsi="Times New Roman" w:cs="Times New Roman"/>
          <w:sz w:val="24"/>
          <w:szCs w:val="24"/>
        </w:rPr>
        <w:t xml:space="preserve">. Las voces que sugieren </w:t>
      </w:r>
      <w:r>
        <w:rPr>
          <w:rFonts w:ascii="Times New Roman" w:hAnsi="Times New Roman" w:cs="Times New Roman"/>
          <w:sz w:val="24"/>
          <w:szCs w:val="24"/>
        </w:rPr>
        <w:t xml:space="preserve">que el acuerdo puede repercutir </w:t>
      </w:r>
      <w:r w:rsidRPr="00D1467E">
        <w:rPr>
          <w:rFonts w:ascii="Times New Roman" w:hAnsi="Times New Roman" w:cs="Times New Roman"/>
          <w:sz w:val="24"/>
          <w:szCs w:val="24"/>
        </w:rPr>
        <w:t>positivamente, aumentando los estándares a am</w:t>
      </w:r>
      <w:r>
        <w:rPr>
          <w:rFonts w:ascii="Times New Roman" w:hAnsi="Times New Roman" w:cs="Times New Roman"/>
          <w:sz w:val="24"/>
          <w:szCs w:val="24"/>
        </w:rPr>
        <w:t xml:space="preserve">bos lados del Atlántico, </w:t>
      </w:r>
      <w:r w:rsidRPr="00D1467E">
        <w:rPr>
          <w:rFonts w:ascii="Times New Roman" w:hAnsi="Times New Roman" w:cs="Times New Roman"/>
          <w:sz w:val="24"/>
          <w:szCs w:val="24"/>
        </w:rPr>
        <w:t>parecen olvidar el origen, el contenido y</w:t>
      </w:r>
      <w:r>
        <w:rPr>
          <w:rFonts w:ascii="Times New Roman" w:hAnsi="Times New Roman" w:cs="Times New Roman"/>
          <w:sz w:val="24"/>
          <w:szCs w:val="24"/>
        </w:rPr>
        <w:t xml:space="preserve"> la agenda desreguladora, razón </w:t>
      </w:r>
      <w:r w:rsidRPr="00D1467E">
        <w:rPr>
          <w:rFonts w:ascii="Times New Roman" w:hAnsi="Times New Roman" w:cs="Times New Roman"/>
          <w:sz w:val="24"/>
          <w:szCs w:val="24"/>
        </w:rPr>
        <w:t>de ser del acuerdo. Por estos motivos, la sociedad civ</w:t>
      </w:r>
      <w:r>
        <w:rPr>
          <w:rFonts w:ascii="Times New Roman" w:hAnsi="Times New Roman" w:cs="Times New Roman"/>
          <w:sz w:val="24"/>
          <w:szCs w:val="24"/>
        </w:rPr>
        <w:t xml:space="preserve">il responde a las negociaciones </w:t>
      </w:r>
      <w:r w:rsidRPr="00D1467E">
        <w:rPr>
          <w:rFonts w:ascii="Times New Roman" w:hAnsi="Times New Roman" w:cs="Times New Roman"/>
          <w:sz w:val="24"/>
          <w:szCs w:val="24"/>
        </w:rPr>
        <w:t>haciendo un llamamiento pa</w:t>
      </w:r>
      <w:r>
        <w:rPr>
          <w:rFonts w:ascii="Times New Roman" w:hAnsi="Times New Roman" w:cs="Times New Roman"/>
          <w:sz w:val="24"/>
          <w:szCs w:val="24"/>
        </w:rPr>
        <w:t xml:space="preserve">ra impedir el TTIP y aprobar en </w:t>
      </w:r>
      <w:r w:rsidRPr="00D1467E">
        <w:rPr>
          <w:rFonts w:ascii="Times New Roman" w:hAnsi="Times New Roman" w:cs="Times New Roman"/>
          <w:sz w:val="24"/>
          <w:szCs w:val="24"/>
        </w:rPr>
        <w:t xml:space="preserve">su lugar un tratado comercial que ponga </w:t>
      </w:r>
      <w:r>
        <w:rPr>
          <w:rFonts w:ascii="Times New Roman" w:hAnsi="Times New Roman" w:cs="Times New Roman"/>
          <w:sz w:val="24"/>
          <w:szCs w:val="24"/>
        </w:rPr>
        <w:t xml:space="preserve">a las personas y al planeta por </w:t>
      </w:r>
      <w:r w:rsidRPr="00D1467E">
        <w:rPr>
          <w:rFonts w:ascii="Times New Roman" w:hAnsi="Times New Roman" w:cs="Times New Roman"/>
          <w:sz w:val="24"/>
          <w:szCs w:val="24"/>
        </w:rPr>
        <w:t>delante de los beneficios corporativos</w:t>
      </w:r>
      <w:r>
        <w:rPr>
          <w:rFonts w:ascii="Times New Roman" w:hAnsi="Times New Roman" w:cs="Times New Roman"/>
          <w:sz w:val="24"/>
          <w:szCs w:val="24"/>
        </w:rPr>
        <w:t>…</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bCs/>
          <w:sz w:val="24"/>
          <w:szCs w:val="24"/>
        </w:rPr>
        <w:t>En las siguientes</w:t>
      </w:r>
      <w:r w:rsidRPr="00D1467E">
        <w:rPr>
          <w:rFonts w:ascii="Times New Roman" w:hAnsi="Times New Roman" w:cs="Times New Roman"/>
          <w:b/>
          <w:bCs/>
          <w:sz w:val="24"/>
          <w:szCs w:val="24"/>
        </w:rPr>
        <w:t xml:space="preserve"> </w:t>
      </w:r>
      <w:r w:rsidRPr="00D1467E">
        <w:rPr>
          <w:rFonts w:ascii="Times New Roman" w:hAnsi="Times New Roman" w:cs="Times New Roman"/>
          <w:sz w:val="24"/>
          <w:szCs w:val="24"/>
        </w:rPr>
        <w:t>páginas web se pueden encontrar campañas, noticias y</w:t>
      </w:r>
      <w:r>
        <w:rPr>
          <w:rFonts w:ascii="Times New Roman" w:hAnsi="Times New Roman" w:cs="Times New Roman"/>
          <w:sz w:val="24"/>
          <w:szCs w:val="24"/>
        </w:rPr>
        <w:t xml:space="preserve"> </w:t>
      </w:r>
      <w:r w:rsidRPr="00D1467E">
        <w:rPr>
          <w:rFonts w:ascii="Times New Roman" w:hAnsi="Times New Roman" w:cs="Times New Roman"/>
          <w:sz w:val="24"/>
          <w:szCs w:val="24"/>
        </w:rPr>
        <w:t>estudios críticos sobre el TTIP:</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sz w:val="24"/>
          <w:szCs w:val="24"/>
        </w:rPr>
        <w:t>􀁝 bilaterals.org: aparecen las noticias más recientes sobre el acuerdo</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D1467E">
        <w:rPr>
          <w:rFonts w:ascii="Times New Roman" w:hAnsi="Times New Roman" w:cs="Times New Roman"/>
          <w:sz w:val="24"/>
          <w:szCs w:val="24"/>
        </w:rPr>
        <w:t>􀁝</w:t>
      </w:r>
      <w:r w:rsidRPr="00D1467E">
        <w:rPr>
          <w:rFonts w:ascii="Times New Roman" w:hAnsi="Times New Roman" w:cs="Times New Roman"/>
          <w:sz w:val="24"/>
          <w:szCs w:val="24"/>
          <w:lang w:val="en-US"/>
        </w:rPr>
        <w:t xml:space="preserve"> s2bnetwork.org: la red europea Seattle to Brussels</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D1467E">
        <w:rPr>
          <w:rFonts w:ascii="Times New Roman" w:hAnsi="Times New Roman" w:cs="Times New Roman"/>
          <w:sz w:val="24"/>
          <w:szCs w:val="24"/>
        </w:rPr>
        <w:t>􀁝</w:t>
      </w:r>
      <w:r w:rsidRPr="00D1467E">
        <w:rPr>
          <w:rFonts w:ascii="Times New Roman" w:hAnsi="Times New Roman" w:cs="Times New Roman"/>
          <w:sz w:val="24"/>
          <w:szCs w:val="24"/>
          <w:lang w:val="en-US"/>
        </w:rPr>
        <w:t xml:space="preserve"> </w:t>
      </w:r>
      <w:r>
        <w:rPr>
          <w:rFonts w:ascii="Times New Roman" w:hAnsi="Times New Roman" w:cs="Times New Roman"/>
          <w:sz w:val="24"/>
          <w:szCs w:val="24"/>
          <w:lang w:val="en-US"/>
        </w:rPr>
        <w:t>citizen.org: Public Citizen (EEUU</w:t>
      </w:r>
      <w:r w:rsidRPr="00D1467E">
        <w:rPr>
          <w:rFonts w:ascii="Times New Roman" w:hAnsi="Times New Roman" w:cs="Times New Roman"/>
          <w:sz w:val="24"/>
          <w:szCs w:val="24"/>
          <w:lang w:val="en-US"/>
        </w:rPr>
        <w:t>)</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sz w:val="24"/>
          <w:szCs w:val="24"/>
        </w:rPr>
        <w:t xml:space="preserve">􀁝 </w:t>
      </w:r>
      <w:r>
        <w:rPr>
          <w:rFonts w:ascii="Times New Roman" w:hAnsi="Times New Roman" w:cs="Times New Roman"/>
          <w:sz w:val="24"/>
          <w:szCs w:val="24"/>
        </w:rPr>
        <w:t>sierraclub.org: Sierra Club (EEUU</w:t>
      </w:r>
      <w:r w:rsidRPr="00D1467E">
        <w:rPr>
          <w:rFonts w:ascii="Times New Roman" w:hAnsi="Times New Roman" w:cs="Times New Roman"/>
          <w:sz w:val="24"/>
          <w:szCs w:val="24"/>
        </w:rPr>
        <w:t>)</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bCs/>
          <w:sz w:val="24"/>
          <w:szCs w:val="24"/>
        </w:rPr>
        <w:t>Asimismo, se puede</w:t>
      </w:r>
      <w:r w:rsidRPr="00D1467E">
        <w:rPr>
          <w:rFonts w:ascii="Times New Roman" w:hAnsi="Times New Roman" w:cs="Times New Roman"/>
          <w:b/>
          <w:bCs/>
          <w:sz w:val="24"/>
          <w:szCs w:val="24"/>
        </w:rPr>
        <w:t xml:space="preserve"> </w:t>
      </w:r>
      <w:r w:rsidRPr="00D1467E">
        <w:rPr>
          <w:rFonts w:ascii="Times New Roman" w:hAnsi="Times New Roman" w:cs="Times New Roman"/>
          <w:sz w:val="24"/>
          <w:szCs w:val="24"/>
        </w:rPr>
        <w:t>encontrar documentación oficial sobre el TTIP en</w:t>
      </w:r>
      <w:r>
        <w:rPr>
          <w:rFonts w:ascii="Times New Roman" w:hAnsi="Times New Roman" w:cs="Times New Roman"/>
          <w:sz w:val="24"/>
          <w:szCs w:val="24"/>
        </w:rPr>
        <w:t xml:space="preserve"> </w:t>
      </w:r>
      <w:r w:rsidRPr="00D1467E">
        <w:rPr>
          <w:rFonts w:ascii="Times New Roman" w:hAnsi="Times New Roman" w:cs="Times New Roman"/>
          <w:sz w:val="24"/>
          <w:szCs w:val="24"/>
        </w:rPr>
        <w:t>las siguientes páginas web:</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sz w:val="24"/>
          <w:szCs w:val="24"/>
        </w:rPr>
        <w:t>􀁝 La Comisión Europea: ec.europa.eu/trade/policy/in-focus/ttip</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sz w:val="24"/>
          <w:szCs w:val="24"/>
        </w:rPr>
        <w:t>(página en parte disponible en español)</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r w:rsidRPr="00D1467E">
        <w:rPr>
          <w:rFonts w:ascii="Times New Roman" w:hAnsi="Times New Roman" w:cs="Times New Roman"/>
          <w:sz w:val="24"/>
          <w:szCs w:val="24"/>
        </w:rPr>
        <w:t>􀁝 Representante de Comercio de los Estados Unidos:</w:t>
      </w:r>
      <w:r>
        <w:rPr>
          <w:rFonts w:ascii="Times New Roman" w:hAnsi="Times New Roman" w:cs="Times New Roman"/>
          <w:sz w:val="24"/>
          <w:szCs w:val="24"/>
        </w:rPr>
        <w:t xml:space="preserve"> </w:t>
      </w:r>
      <w:r w:rsidRPr="00D1467E">
        <w:rPr>
          <w:rFonts w:ascii="Times New Roman" w:hAnsi="Times New Roman" w:cs="Times New Roman"/>
          <w:sz w:val="24"/>
          <w:szCs w:val="24"/>
        </w:rPr>
        <w:t>www.ustr.gov/ttip (en inglés)</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D1467E" w:rsidRDefault="00AF62E6" w:rsidP="00AF62E6">
      <w:pPr>
        <w:pStyle w:val="NormalWeb"/>
        <w:jc w:val="both"/>
        <w:rPr>
          <w:lang w:val="en-US"/>
        </w:rPr>
      </w:pPr>
      <w:r w:rsidRPr="00D1467E">
        <w:rPr>
          <w:lang w:val="en-US"/>
        </w:rPr>
        <w:t xml:space="preserve">(John Hilary es director ejecutivo de War on Want. </w:t>
      </w:r>
      <w:r w:rsidRPr="00D1467E">
        <w:t xml:space="preserve">Ha publicado textos sobre una gran variedad de asuntos del ámbito del comercio y la inversión en los últimos 20 años, y en 2013 fue nombrado profesor honorario por la School of Politics and International Relations de la Universidad de Nottingham. </w:t>
      </w:r>
      <w:r w:rsidRPr="00D1467E">
        <w:rPr>
          <w:lang w:val="en-US"/>
        </w:rPr>
        <w:t>Su nuevo libro, The Poverty of Capitalism: Economic Meltdown and the Struggle for What Comes Next, se publicó en Pluto Press en octubre de 2013)</w:t>
      </w:r>
    </w:p>
    <w:p w:rsidR="00AF62E6" w:rsidRPr="00D1467E" w:rsidRDefault="00AF62E6" w:rsidP="00AF62E6">
      <w:pPr>
        <w:pStyle w:val="NormalWeb"/>
        <w:jc w:val="both"/>
        <w:rPr>
          <w:lang w:val="en-US"/>
        </w:rPr>
      </w:pPr>
    </w:p>
    <w:p w:rsidR="00AF62E6" w:rsidRPr="00D1467E" w:rsidRDefault="00AF62E6" w:rsidP="00AF62E6">
      <w:pPr>
        <w:pStyle w:val="NormalWeb"/>
        <w:jc w:val="both"/>
        <w:rPr>
          <w:bCs/>
        </w:rPr>
      </w:pPr>
      <w:r w:rsidRPr="00D1467E">
        <w:t xml:space="preserve">(La fundación Rosa Luxemburg es una organización internacional de izquierdas sin ánimo de lucro dedicada a la educación cívica y vinculada al partido alemán “Die Linke” (La Izquierda). Activa desde 1990, la fundación se ha dedicado al análisis de </w:t>
      </w:r>
      <w:r w:rsidRPr="00D1467E">
        <w:lastRenderedPageBreak/>
        <w:t xml:space="preserve">procesos y avances sociales y políticos a nivel mundial… </w:t>
      </w:r>
      <w:r w:rsidRPr="00D1467E">
        <w:rPr>
          <w:bCs/>
        </w:rPr>
        <w:t xml:space="preserve">www.rosalux-europa.info - </w:t>
      </w:r>
      <w:hyperlink r:id="rId55" w:history="1">
        <w:r w:rsidRPr="00D046BF">
          <w:rPr>
            <w:rStyle w:val="Hipervnculo"/>
            <w:rFonts w:eastAsiaTheme="majorEastAsia"/>
            <w:bCs/>
            <w:color w:val="auto"/>
            <w:u w:val="none"/>
          </w:rPr>
          <w:t>www.rosalux.de</w:t>
        </w:r>
      </w:hyperlink>
      <w:r w:rsidRPr="00D1467E">
        <w:rPr>
          <w:bCs/>
        </w:rPr>
        <w:t>)</w:t>
      </w:r>
    </w:p>
    <w:p w:rsidR="00AF62E6" w:rsidRPr="00D1467E" w:rsidRDefault="00AF62E6" w:rsidP="00AF62E6">
      <w:pPr>
        <w:pStyle w:val="NormalWeb"/>
        <w:jc w:val="both"/>
        <w:rPr>
          <w:bCs/>
        </w:rPr>
      </w:pPr>
    </w:p>
    <w:p w:rsidR="00AF62E6" w:rsidRDefault="00AF62E6" w:rsidP="00AF62E6">
      <w:pPr>
        <w:autoSpaceDE w:val="0"/>
        <w:autoSpaceDN w:val="0"/>
        <w:adjustRightInd w:val="0"/>
        <w:spacing w:after="0" w:line="240" w:lineRule="auto"/>
        <w:jc w:val="both"/>
        <w:rPr>
          <w:rFonts w:ascii="Times New Roman" w:hAnsi="Times New Roman" w:cs="Times New Roman"/>
          <w:bCs/>
          <w:sz w:val="24"/>
          <w:szCs w:val="24"/>
        </w:rPr>
      </w:pPr>
      <w:r w:rsidRPr="00D1467E">
        <w:rPr>
          <w:rFonts w:ascii="Times New Roman" w:hAnsi="Times New Roman" w:cs="Times New Roman"/>
          <w:sz w:val="24"/>
          <w:szCs w:val="24"/>
        </w:rPr>
        <w:t xml:space="preserve">(War on Want es una organización de activistas cuyo fin es luchar contra las causas últimas de la pobreza y la violación de los derechos humanos, como parte del movimiento mundial para la justicia social. </w:t>
      </w:r>
      <w:r w:rsidRPr="00D1467E">
        <w:rPr>
          <w:rFonts w:ascii="Times New Roman" w:hAnsi="Times New Roman" w:cs="Times New Roman"/>
          <w:bCs/>
          <w:sz w:val="24"/>
          <w:szCs w:val="24"/>
        </w:rPr>
        <w:t>www.waronwant.org)</w:t>
      </w:r>
    </w:p>
    <w:p w:rsidR="00AF62E6" w:rsidRPr="00D1467E"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Pr="00D1467E" w:rsidRDefault="00AF62E6" w:rsidP="00AF62E6">
      <w:pPr>
        <w:pStyle w:val="NormalWeb"/>
        <w:jc w:val="both"/>
        <w:rPr>
          <w:bCs/>
        </w:rPr>
      </w:pPr>
    </w:p>
    <w:p w:rsidR="00AF62E6" w:rsidRPr="00D1467E" w:rsidRDefault="00AF62E6" w:rsidP="00AF62E6">
      <w:pPr>
        <w:pStyle w:val="NormalWeb"/>
        <w:jc w:val="both"/>
        <w:rPr>
          <w:bCs/>
        </w:rPr>
      </w:pPr>
    </w:p>
    <w:p w:rsidR="00AF62E6" w:rsidRPr="00D1467E" w:rsidRDefault="00AF62E6" w:rsidP="00AF62E6">
      <w:pPr>
        <w:pStyle w:val="NormalWeb"/>
        <w:jc w:val="both"/>
      </w:pPr>
    </w:p>
    <w:p w:rsidR="00AF62E6" w:rsidRPr="00D1467E" w:rsidRDefault="00AF62E6" w:rsidP="00AF62E6">
      <w:pPr>
        <w:pStyle w:val="NormalWeb"/>
        <w:jc w:val="both"/>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rPr>
      </w:pPr>
    </w:p>
    <w:p w:rsidR="00AF62E6" w:rsidRDefault="00AF62E6" w:rsidP="00AF62E6">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Informe: </w:t>
      </w:r>
      <w:r w:rsidRPr="00F44398">
        <w:rPr>
          <w:rFonts w:ascii="Times New Roman" w:hAnsi="Times New Roman" w:cs="Times New Roman"/>
          <w:b/>
          <w:sz w:val="24"/>
          <w:szCs w:val="24"/>
          <w:lang w:val="en-US"/>
        </w:rPr>
        <w:t>Trade Sustainability Impact Assessment comprehensive trade and investment agreement between the European Union and the United States of America</w:t>
      </w:r>
      <w:r>
        <w:rPr>
          <w:rFonts w:ascii="Times New Roman" w:hAnsi="Times New Roman" w:cs="Times New Roman"/>
          <w:b/>
          <w:sz w:val="24"/>
          <w:szCs w:val="24"/>
          <w:lang w:val="en-US"/>
        </w:rPr>
        <w:t xml:space="preserve"> - ECORYS - (28/4/14)</w:t>
      </w:r>
    </w:p>
    <w:p w:rsidR="00AF62E6" w:rsidRDefault="00AF62E6" w:rsidP="00AF62E6">
      <w:pPr>
        <w:autoSpaceDE w:val="0"/>
        <w:autoSpaceDN w:val="0"/>
        <w:adjustRightInd w:val="0"/>
        <w:spacing w:after="0" w:line="240" w:lineRule="auto"/>
        <w:jc w:val="both"/>
        <w:rPr>
          <w:rFonts w:ascii="Times New Roman" w:hAnsi="Times New Roman" w:cs="Times New Roman"/>
          <w:b/>
          <w:sz w:val="24"/>
          <w:szCs w:val="24"/>
          <w:lang w:val="en-US"/>
        </w:rPr>
      </w:pPr>
    </w:p>
    <w:p w:rsidR="00AF62E6" w:rsidRPr="00650DCB"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650DCB">
        <w:rPr>
          <w:rFonts w:ascii="Times New Roman" w:hAnsi="Times New Roman" w:cs="Times New Roman"/>
          <w:sz w:val="24"/>
          <w:szCs w:val="24"/>
          <w:lang w:val="en-US"/>
        </w:rPr>
        <w:t>(Reproducción parcial)</w:t>
      </w:r>
    </w:p>
    <w:p w:rsidR="00AF62E6" w:rsidRPr="00F44398" w:rsidRDefault="00AF62E6" w:rsidP="00AF62E6">
      <w:pPr>
        <w:autoSpaceDE w:val="0"/>
        <w:autoSpaceDN w:val="0"/>
        <w:adjustRightInd w:val="0"/>
        <w:spacing w:after="0" w:line="240" w:lineRule="auto"/>
        <w:jc w:val="both"/>
        <w:rPr>
          <w:rFonts w:ascii="Times New Roman" w:hAnsi="Times New Roman" w:cs="Times New Roman"/>
          <w:b/>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44398">
        <w:rPr>
          <w:rFonts w:ascii="Times New Roman" w:hAnsi="Times New Roman" w:cs="Times New Roman"/>
          <w:sz w:val="24"/>
          <w:szCs w:val="24"/>
          <w:lang w:val="en-US"/>
        </w:rPr>
        <w:t xml:space="preserve">This report was commissioned and financed by the European Commission. The views expressed herein are those of the Contractor, and do not represent an </w:t>
      </w:r>
      <w:r>
        <w:rPr>
          <w:rFonts w:ascii="Times New Roman" w:hAnsi="Times New Roman" w:cs="Times New Roman"/>
          <w:sz w:val="24"/>
          <w:szCs w:val="24"/>
          <w:lang w:val="en-US"/>
        </w:rPr>
        <w:t>official view of the Commission)</w:t>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B66F6C">
        <w:rPr>
          <w:rFonts w:ascii="Times New Roman" w:hAnsi="Times New Roman" w:cs="Times New Roman"/>
          <w:b/>
          <w:bCs/>
          <w:color w:val="000000"/>
          <w:sz w:val="24"/>
          <w:szCs w:val="24"/>
          <w:lang w:val="en-US"/>
        </w:rPr>
        <w:t xml:space="preserve">1 Background and introduction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B66F6C" w:rsidRDefault="00AF62E6" w:rsidP="00AF62E6">
      <w:pPr>
        <w:pStyle w:val="Prrafodelista"/>
        <w:numPr>
          <w:ilvl w:val="1"/>
          <w:numId w:val="19"/>
        </w:num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 xml:space="preserve">Background </w:t>
      </w:r>
    </w:p>
    <w:p w:rsidR="00AF62E6" w:rsidRPr="00B66F6C" w:rsidRDefault="00AF62E6" w:rsidP="00AF62E6">
      <w:pPr>
        <w:pStyle w:val="Prrafodelista"/>
        <w:autoSpaceDE w:val="0"/>
        <w:autoSpaceDN w:val="0"/>
        <w:adjustRightInd w:val="0"/>
        <w:spacing w:after="0" w:line="240" w:lineRule="auto"/>
        <w:ind w:left="360"/>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B66F6C">
        <w:rPr>
          <w:rFonts w:ascii="Times New Roman" w:hAnsi="Times New Roman" w:cs="Times New Roman"/>
          <w:b/>
          <w:bCs/>
          <w:color w:val="000000"/>
          <w:sz w:val="24"/>
          <w:szCs w:val="24"/>
          <w:lang w:val="en-US"/>
        </w:rPr>
        <w:t xml:space="preserve">Depth of the economic relationship and developments in trade and investment relationship between EU-US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The EU and US are the two most integrated economies in the world. This is through impor</w:t>
      </w:r>
      <w:r>
        <w:rPr>
          <w:rFonts w:ascii="Times New Roman" w:hAnsi="Times New Roman" w:cs="Times New Roman"/>
          <w:color w:val="000000"/>
          <w:sz w:val="24"/>
          <w:szCs w:val="24"/>
          <w:lang w:val="en-US"/>
        </w:rPr>
        <w:t>ts and exports of goods trade -since they are very integrated-</w:t>
      </w:r>
      <w:r w:rsidRPr="00B66F6C">
        <w:rPr>
          <w:rFonts w:ascii="Times New Roman" w:hAnsi="Times New Roman" w:cs="Times New Roman"/>
          <w:color w:val="000000"/>
          <w:sz w:val="24"/>
          <w:szCs w:val="24"/>
          <w:lang w:val="en-US"/>
        </w:rPr>
        <w:t xml:space="preserve"> but also through services trade, investments and strong commercial presence in each other’s economies. Hamilton &amp; Quinlan give a short summary of these main economic elements in their annual publications on the EU-US economic relationship. Clearly from the work of these authors, services stand as the sleeping giant of the Transatlantic market place (Hamilton &amp; Quinlan, 2012). We choose not to repeat these statistics but to refer to this research done and add some more general points: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The longstanding relationship provides opportunities but also poses challenges for EU-US trade and investment relations.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The EU and the US are each other’s main trading partners in goods and services and account for the largest bilateral trade relationship in the world.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The transatlantic economies are among the freest in the world, but certainly not absolutely free.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There is still significant scope for further trade and investment liberalisation through reductions in non-tariff measures since tariffs are already quite low between the countries.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lastRenderedPageBreak/>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The EU and US realise the need for stronger transatlantic cooperation in light of increased competition from Asia, but that means significant alignment in non-tariff measures and regulatory convergence is needed.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The approach chosen to look at aligning non-tariff measures needs to be chosen with care - so as not to lower standards, and to avoid treating differences in regulatory systems as simple trade barriers. This matters particularly with regard to consumer interests on product safety, and social and environmental standards.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Although rapidly rising economies have gained much attention, the US and EU remain the heart of the global economy.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In terms of structure, the two economies are broadly similar. The secondary sectors account for most trade, constituting about a quarter of output. Both the EU and the US are service economies, with the service sectors accounting for roughly 70 percent of all output. Together the two countries together account for almost half of the world trade making the two countries strong competitors on the global market. </w:t>
      </w:r>
    </w:p>
    <w:p w:rsidR="00AF62E6"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Concerns for the environment worldwide may have an impact on the EU - US trade and investment relationship. </w:t>
      </w:r>
    </w:p>
    <w:p w:rsidR="00AF62E6"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Social standards diverge relatively less between the EU-US when compared to third countries like Colombia, Peru, or the Eastern Neighbourhood countries and are more in line with -for example- the EU and Canada. Nonetheless, these are important to study and will be part of the analysis. </w:t>
      </w: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In light of the TTIP negotiations this special position of Turkey needs to be recognised and kept in mind. Turkey has a Customs Union with the EU since 1996 which is the final step of Ankara Agreement Establishing an Association between Turkey and the EEC signed in 1963 and the Additional Protocol on tariff elimination schedule dated 1973. In 2009, the US and Turkey established the Framework for Strategic Economic and Commercial Cooperation (FSECC). On May 2013, with the ultimate objective of continuing to deepen economic relations and liberalize trade, Turkey and the US established the High Level Committee (HLC) with a special reference to the TTIP impacts on Turkey due to its Customs Union with the EU. </w:t>
      </w: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B66F6C">
        <w:rPr>
          <w:rFonts w:ascii="Times New Roman" w:hAnsi="Times New Roman" w:cs="Times New Roman"/>
          <w:b/>
          <w:bCs/>
          <w:color w:val="000000"/>
          <w:sz w:val="24"/>
          <w:szCs w:val="24"/>
          <w:lang w:val="en-US"/>
        </w:rPr>
        <w:t xml:space="preserve">Major milestones in the (regulatory) relationship between EU-US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 xml:space="preserve">The EU and US have a long-standing history of cooperation. To do justice to this long history and show respect for the many initiatives, we here sum up the main steps in bullet form as part of the EU-US context that has led us to where we are now: after the fourth negotiating round of TTIP.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The EU and US regularly discuss the transatlantic relation via EU-US Summits (to address economic cooperation and market integration at the highest political levels, to prevent disruptive and costly disputes and stimulate trade and investment flows by reducing both at-the-border and behind-the-border costs).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1990, the Transatlantic Declaration came about as a result regular EU-US summits.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1995, the New Transatlantic Agenda (NTA), the platform to work together to achieve the expansion of world trade and foster closer economic EU-US relations started.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It also set up: the TABD (Transatlantic Business Dialogue), the TALD (Transatlantic Labour Dialogue which was suspended in 2000 citing the failure of the US Government </w:t>
      </w:r>
      <w:r w:rsidRPr="00B66F6C">
        <w:rPr>
          <w:rFonts w:ascii="Times New Roman" w:hAnsi="Times New Roman" w:cs="Times New Roman"/>
          <w:color w:val="000000"/>
          <w:sz w:val="24"/>
          <w:szCs w:val="24"/>
          <w:lang w:val="en-US"/>
        </w:rPr>
        <w:lastRenderedPageBreak/>
        <w:t xml:space="preserve">to supply its share of funding), TAED (Transatlantic Environmental Dialogue) and the TACD (TransAtlantic Consumer Dialogue).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1998, the Transatlantic Economic Partnership (TEP) came into force.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1999 the Transatlantic Legislators' Dialogue (TLD) was established by the European Parliament and the US Congress to support and intensify the level of political discourse between American and European lawmakers.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2002, agreements on Guidelines for Regulatory Cooperation and Transparency to encourage EU and US agencies to consult with each other on a voluntary basis were established.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2004 saw the design of a Roadmap for EU-US regulatory Cooperation and Transparency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The May 2005 communication emphasised “A Stronger EU-US Partnership and a More Open Market for the 21st Century”. From it, the EC identified regulatory co-operation as a prime objective of transatlantic co-operation.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Following from the two initiatives before, in 2005, the High-Level Regulatory Co-operation Forum was set up to develop a joint regulatory work plan and the political leaders agreed to move forward in the fields of investment, public procurement, services and improvements in mutual recognition of professional qualifications.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2005 Transatlantic Intellectual Property Rights (IPR) Working Group (previously known as the US-EU IPR Working Group) was established (It coordinates in three main areas under the US-EU IPR Action Strategy: engagement on IPR issues in third countries, customs cooperation, and public-private partnerships.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2007 EU-US Summit launched the Transatlantic Economic Framework and the Transatlantic Economic Council (TEC) to help further strengthen EU-US economic integration.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On the Annual EU-US Summit in 2009 an EU-US Energy Council was agreed to be established.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December 2011, the EU-US Summit announced the creation of the ‘High Level Working Group for Jobs and Growth’ to look into the possibility of an EU-US Free Trade Agreement.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December 2012 European-American Business Council and TransAtlantic Business Dialogue decided to merge to form the Transatlantic Business Council from 1 January 2013 onwards. </w:t>
      </w:r>
    </w:p>
    <w:p w:rsidR="00AF62E6" w:rsidRPr="00B66F6C"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February 2013 The Europe</w:t>
      </w:r>
      <w:r>
        <w:rPr>
          <w:rFonts w:ascii="Times New Roman" w:hAnsi="Times New Roman" w:cs="Times New Roman"/>
          <w:color w:val="000000"/>
          <w:sz w:val="24"/>
          <w:szCs w:val="24"/>
          <w:lang w:val="en-US"/>
        </w:rPr>
        <w:t>an Union and the United States -</w:t>
      </w:r>
      <w:r w:rsidRPr="00B66F6C">
        <w:rPr>
          <w:rFonts w:ascii="Times New Roman" w:hAnsi="Times New Roman" w:cs="Times New Roman"/>
          <w:color w:val="000000"/>
          <w:sz w:val="24"/>
          <w:szCs w:val="24"/>
          <w:lang w:val="en-US"/>
        </w:rPr>
        <w:t xml:space="preserve"> following a positive report by the HLWG on Jobs and Growth, announced their intention to conclude a free trade agreement (FTA) which would encompass both sides of the Atlantic.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In July 2013 the first round of negotiations took place in Washington DC and in October 2013 the second round of negotiations is planned.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B66F6C">
        <w:rPr>
          <w:rFonts w:ascii="Times New Roman" w:hAnsi="Times New Roman" w:cs="Times New Roman"/>
          <w:b/>
          <w:bCs/>
          <w:color w:val="000000"/>
          <w:sz w:val="24"/>
          <w:szCs w:val="24"/>
          <w:lang w:val="en-US"/>
        </w:rPr>
        <w:t xml:space="preserve">Differences in EU-US regulatory systems and the challenge of covering standards and regulations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893213">
        <w:rPr>
          <w:rFonts w:ascii="Times New Roman" w:hAnsi="Times New Roman" w:cs="Times New Roman"/>
          <w:color w:val="FF0000"/>
          <w:sz w:val="24"/>
          <w:szCs w:val="24"/>
          <w:lang w:val="en-US"/>
        </w:rPr>
        <w:t>It needs to be recognised that the EU and US regulatory systems are complex with many stakeholders involved, and that the regulatory systems are different from each other. In the US, US Congress has an important role to play in regulatory issues, through the committees of jurisdiction.</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893213">
        <w:rPr>
          <w:rFonts w:ascii="Times New Roman" w:hAnsi="Times New Roman" w:cs="Times New Roman"/>
          <w:color w:val="FF0000"/>
          <w:sz w:val="24"/>
          <w:szCs w:val="24"/>
          <w:lang w:val="en-US"/>
        </w:rPr>
        <w:t>The regulatory agencies in the US are independent but are overseen by the executive. The complex US picture is further complicated by the fact that in various policy fields, US States have the power to introduce laws and regulations separate from the federal level. In the EU regulatory system, primary legislation is with the Council and European Parliament, while comitology and delegated acts lie with the European Commission. The EC has the negotiating mandate, given by the Council, but the EP as well as the Council can approve or re</w:t>
      </w:r>
      <w:r>
        <w:rPr>
          <w:rFonts w:ascii="Times New Roman" w:hAnsi="Times New Roman" w:cs="Times New Roman"/>
          <w:color w:val="FF0000"/>
          <w:sz w:val="24"/>
          <w:szCs w:val="24"/>
          <w:lang w:val="en-US"/>
        </w:rPr>
        <w:t>ject the final deal altogether</w:t>
      </w:r>
      <w:r w:rsidRPr="00893213">
        <w:rPr>
          <w:rFonts w:ascii="Times New Roman" w:hAnsi="Times New Roman" w:cs="Times New Roman"/>
          <w:color w:val="FF0000"/>
          <w:sz w:val="24"/>
          <w:szCs w:val="24"/>
          <w:lang w:val="en-US"/>
        </w:rPr>
        <w:t xml:space="preserve">. The EU member states and the EP are informed in detail about the negotiations and have access to negotiation documents. </w:t>
      </w: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893213">
        <w:rPr>
          <w:rFonts w:ascii="Times New Roman" w:hAnsi="Times New Roman" w:cs="Times New Roman"/>
          <w:color w:val="FF0000"/>
          <w:sz w:val="24"/>
          <w:szCs w:val="24"/>
          <w:lang w:val="en-US"/>
        </w:rPr>
        <w:t xml:space="preserve">The multiple layers of complexity, from standards to regulations to conformity assessments create another challenge to addressing the regulatory divergences that exist between the EU and US. Many efforts have been made in the past -either at the technical level or at the highest political level- to achieve more convergence with limited success. The dilemma lies therein that conformity assessments can be technically aligned but would still be based on different underlying goals policies aim to achieve. So any ‘shock’ to the regulatory system brought about by developments in national societies would create the potential for new regulatory divergences.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TTIP -</w:t>
      </w:r>
      <w:r w:rsidRPr="00B66F6C">
        <w:rPr>
          <w:rFonts w:ascii="Times New Roman" w:hAnsi="Times New Roman" w:cs="Times New Roman"/>
          <w:b/>
          <w:bCs/>
          <w:color w:val="000000"/>
          <w:sz w:val="24"/>
          <w:szCs w:val="24"/>
          <w:lang w:val="en-US"/>
        </w:rPr>
        <w:t xml:space="preserve"> a new style trade agreement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893213">
        <w:rPr>
          <w:rFonts w:ascii="Times New Roman" w:hAnsi="Times New Roman" w:cs="Times New Roman"/>
          <w:color w:val="FF0000"/>
          <w:sz w:val="24"/>
          <w:szCs w:val="24"/>
          <w:lang w:val="en-US"/>
        </w:rPr>
        <w:t xml:space="preserve">TTIP is a ‘new style’ trade agreement that contains an important element of ‘regulatory cooperation’ that goes beyond what has been included in more standard trade agreements before - with the possible exception of the EU-Canada Comprehensive Trade Agreement (CETA) where regulatory cooperation is included (Krstic, 2012). </w:t>
      </w:r>
      <w:r w:rsidRPr="00B66F6C">
        <w:rPr>
          <w:rFonts w:ascii="Times New Roman" w:hAnsi="Times New Roman" w:cs="Times New Roman"/>
          <w:color w:val="000000"/>
          <w:sz w:val="24"/>
          <w:szCs w:val="24"/>
          <w:lang w:val="en-US"/>
        </w:rPr>
        <w:t>The inclusion of regulatory cooperation has several important implications. Some implications are the following:</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 xml:space="preserve"> </w:t>
      </w:r>
    </w:p>
    <w:p w:rsidR="00AF62E6" w:rsidRPr="00893213"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 xml:space="preserve">Because of the component of regulatory compatibility TTIP could lead to different economic outcomes than the traditional trade agreements. Contrary to tariff-driven trade agreements where those ‘inside’ the FTA gain and those ‘outside’ lose, regulatory compatibility could also lead to cost gains for firms in third countries who could thus benefit. </w:t>
      </w:r>
    </w:p>
    <w:p w:rsidR="00AF62E6" w:rsidRPr="00E83EED"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893213">
        <w:rPr>
          <w:rFonts w:ascii="Times New Roman" w:hAnsi="Times New Roman" w:cs="Times New Roman"/>
          <w:color w:val="FF0000"/>
          <w:sz w:val="24"/>
          <w:szCs w:val="24"/>
          <w:lang w:val="en-US"/>
        </w:rPr>
        <w:t>Because of the component of regulatory compatibility, the EU and US political systems are engaged at a much more fundamental level than before</w:t>
      </w:r>
      <w:r w:rsidRPr="00E83EED">
        <w:rPr>
          <w:rFonts w:ascii="Times New Roman" w:hAnsi="Times New Roman" w:cs="Times New Roman"/>
          <w:color w:val="FF0000"/>
          <w:sz w:val="24"/>
          <w:szCs w:val="24"/>
          <w:lang w:val="en-US"/>
        </w:rPr>
        <w:t xml:space="preserve">. For example, in the US the House Ways &amp; Means and Senate Finance Committee are committees of jurisdiction on trade policy -but TTIP goes beyond that if regulatory cooperation in- for example - financial services, energy, food safety or other areas are also discussed. This would involve many more House and Senate committees as well as a vast array of independent regulatory agencies. </w:t>
      </w:r>
    </w:p>
    <w:p w:rsidR="00AF62E6" w:rsidRPr="00E83EED" w:rsidRDefault="00AF62E6" w:rsidP="00AF62E6">
      <w:pPr>
        <w:autoSpaceDE w:val="0"/>
        <w:autoSpaceDN w:val="0"/>
        <w:adjustRightInd w:val="0"/>
        <w:spacing w:after="81"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E83EED">
        <w:rPr>
          <w:rFonts w:ascii="Times New Roman" w:hAnsi="Times New Roman" w:cs="Times New Roman"/>
          <w:color w:val="FF0000"/>
          <w:sz w:val="24"/>
          <w:szCs w:val="24"/>
          <w:lang w:val="en-US"/>
        </w:rPr>
        <w:t xml:space="preserve">Because of the component of regulatory compatibility, the expected societal impact of TTIP -apart from its sheer size as already explained above- could be much greater than the impact of a traditional trade agreement. This warrants an in-depth study of potential societal impacts of TTIP. </w:t>
      </w:r>
    </w:p>
    <w:p w:rsidR="00AF62E6" w:rsidRPr="00E83EED"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B66F6C">
        <w:rPr>
          <w:rFonts w:ascii="Times New Roman" w:hAnsi="Times New Roman" w:cs="Times New Roman"/>
          <w:color w:val="000000"/>
          <w:sz w:val="24"/>
          <w:szCs w:val="24"/>
        </w:rPr>
        <w:t></w:t>
      </w:r>
      <w:r w:rsidRPr="00B66F6C">
        <w:rPr>
          <w:rFonts w:ascii="Times New Roman" w:hAnsi="Times New Roman" w:cs="Times New Roman"/>
          <w:color w:val="000000"/>
          <w:sz w:val="24"/>
          <w:szCs w:val="24"/>
          <w:lang w:val="en-US"/>
        </w:rPr>
        <w:t xml:space="preserve"> </w:t>
      </w:r>
      <w:r w:rsidRPr="00E83EED">
        <w:rPr>
          <w:rFonts w:ascii="Times New Roman" w:hAnsi="Times New Roman" w:cs="Times New Roman"/>
          <w:color w:val="FF0000"/>
          <w:sz w:val="24"/>
          <w:szCs w:val="24"/>
          <w:lang w:val="en-US"/>
        </w:rPr>
        <w:t xml:space="preserve">Because of the component of regulatory compatibility, focus on the details of what is discussed is important. The regulatory effect of TTIP depends on what is actually agreed. This is different from tariff reductions that are transparent and uni-dimensional, where -given the production structure of the economy- effects can be investigated more </w:t>
      </w:r>
      <w:r w:rsidRPr="00E83EED">
        <w:rPr>
          <w:rFonts w:ascii="Times New Roman" w:hAnsi="Times New Roman" w:cs="Times New Roman"/>
          <w:color w:val="FF0000"/>
          <w:sz w:val="24"/>
          <w:szCs w:val="24"/>
          <w:lang w:val="en-US"/>
        </w:rPr>
        <w:lastRenderedPageBreak/>
        <w:t xml:space="preserve">easily. Non-tariff measures are multi-dimensional (regulations, certification, conformity assessments) and much more difficult to analyse. </w:t>
      </w:r>
    </w:p>
    <w:p w:rsidR="00AF62E6" w:rsidRPr="00E83EED"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Pr="00893213"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893213">
        <w:rPr>
          <w:rFonts w:ascii="Times New Roman" w:hAnsi="Times New Roman" w:cs="Times New Roman"/>
          <w:b/>
          <w:bCs/>
          <w:color w:val="000000"/>
          <w:sz w:val="24"/>
          <w:szCs w:val="24"/>
          <w:lang w:val="en-US"/>
        </w:rPr>
        <w:t xml:space="preserve">Civil society and TTIP </w:t>
      </w: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B66F6C" w:rsidRDefault="00AF62E6" w:rsidP="00AF62E6">
      <w:pPr>
        <w:pStyle w:val="Default"/>
        <w:jc w:val="both"/>
        <w:rPr>
          <w:rFonts w:ascii="Times New Roman" w:hAnsi="Times New Roman" w:cs="Times New Roman"/>
          <w:lang w:val="en-US"/>
        </w:rPr>
      </w:pPr>
      <w:r w:rsidRPr="00E83EED">
        <w:rPr>
          <w:rFonts w:ascii="Times New Roman" w:hAnsi="Times New Roman" w:cs="Times New Roman"/>
          <w:color w:val="FF0000"/>
          <w:lang w:val="en-US"/>
        </w:rPr>
        <w:t>Civil society organisations play a very important role in voicing concerns of their constituents in particular and EU citizens in general. And as such, civil society will be involved and informed as much as possible throughout the unfolding of the TTIP negotiations.</w:t>
      </w:r>
      <w:r w:rsidRPr="00B66F6C">
        <w:rPr>
          <w:rFonts w:ascii="Times New Roman" w:hAnsi="Times New Roman" w:cs="Times New Roman"/>
          <w:lang w:val="en-US"/>
        </w:rPr>
        <w:t xml:space="preserve"> In light of the last two issues mentioned above with regard to the regulatory cooperation element that is part of the TTIP negotiations, information dissemination, discussions based on arguments and facts and transparency are crucial elements that need to be addressed.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E83EED">
        <w:rPr>
          <w:rFonts w:ascii="Times New Roman" w:hAnsi="Times New Roman" w:cs="Times New Roman"/>
          <w:color w:val="FF0000"/>
          <w:sz w:val="24"/>
          <w:szCs w:val="24"/>
          <w:lang w:val="en-US"/>
        </w:rPr>
        <w:t>Over the last months, we have seen a strong increase in activity from civil society organisations regarding TTIP. This is a development that we welcome, and that we as Ecorys want to further facilitate through this Trade Sustainability Impact Assessment (Trade SIA) on TTIP</w:t>
      </w:r>
      <w:r w:rsidRPr="00B66F6C">
        <w:rPr>
          <w:rFonts w:ascii="Times New Roman" w:hAnsi="Times New Roman" w:cs="Times New Roman"/>
          <w:color w:val="000000"/>
          <w:sz w:val="24"/>
          <w:szCs w:val="24"/>
          <w:lang w:val="en-US"/>
        </w:rPr>
        <w:t>. Since the start of the study, we have started to receive inputs from various stakeholders, have been invited for workshops and seminars and invite stakeholders to provide us with their inputs, concerns, and views on TTIP. A ‘stakeholder’ for Ecorys is any person who or any organisation that has a view on TTIP. We see debates and get views on food safety standards, GMOs, ISDS, overexploitation of natural resources, TTIP effect on CO2 emissions, etc. These are all important issues that deserve to be debated and see views of</w:t>
      </w:r>
      <w:r>
        <w:rPr>
          <w:rFonts w:ascii="Times New Roman" w:hAnsi="Times New Roman" w:cs="Times New Roman"/>
          <w:color w:val="000000"/>
          <w:sz w:val="24"/>
          <w:szCs w:val="24"/>
          <w:lang w:val="en-US"/>
        </w:rPr>
        <w:t xml:space="preserve"> society reach the negotiators -</w:t>
      </w:r>
      <w:r w:rsidRPr="00B66F6C">
        <w:rPr>
          <w:rFonts w:ascii="Times New Roman" w:hAnsi="Times New Roman" w:cs="Times New Roman"/>
          <w:color w:val="000000"/>
          <w:sz w:val="24"/>
          <w:szCs w:val="24"/>
          <w:lang w:val="en-US"/>
        </w:rPr>
        <w:t xml:space="preserve"> it is that platform that Ecorys wants to provide through this Trade SIA. </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B66F6C" w:rsidRDefault="00AF62E6" w:rsidP="00AF62E6">
      <w:pPr>
        <w:pStyle w:val="Prrafodelista"/>
        <w:numPr>
          <w:ilvl w:val="1"/>
          <w:numId w:val="19"/>
        </w:num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 xml:space="preserve">Results on impact assessment studies so far </w:t>
      </w:r>
    </w:p>
    <w:p w:rsidR="00AF62E6" w:rsidRPr="00B66F6C" w:rsidRDefault="00AF62E6" w:rsidP="00AF62E6">
      <w:pPr>
        <w:pStyle w:val="Prrafodelista"/>
        <w:autoSpaceDE w:val="0"/>
        <w:autoSpaceDN w:val="0"/>
        <w:adjustRightInd w:val="0"/>
        <w:spacing w:after="0" w:line="240" w:lineRule="auto"/>
        <w:ind w:left="360"/>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 xml:space="preserve">As mentioned in the previous section, the negotiations on the comprehensive trade and investment agreement currently taking place between the EU and the USA (TTIP) are a result of long and preparatory dialogues and cooperation. As the comprehensive cooperation between the EU and the US became more and more concrete over time, the need for independent studies examining the impact of such increased cooperation became more pressing. The discussions on increased cooperation between the EU and the US have often been backed with reports and statements from negotiating parties, but after the launch of the Transatlantic Economic Council (TEC) and the Transatlantic Economic Framework the European Commission started commissioning </w:t>
      </w:r>
      <w:r w:rsidRPr="00E83EED">
        <w:rPr>
          <w:rFonts w:ascii="Times New Roman" w:hAnsi="Times New Roman" w:cs="Times New Roman"/>
          <w:color w:val="FF0000"/>
          <w:sz w:val="24"/>
          <w:szCs w:val="24"/>
          <w:lang w:val="en-US"/>
        </w:rPr>
        <w:t xml:space="preserve">more independent studies that would simulate the potential impact of the increased cooperation. Since that time, a number of studies on the overall expected impacts from increased EU US cooperation in trade and investment have been published. These studies have mostly focused on impacts at macroeconomic level and were based on the best possible assumptions of the foreseen cooperation between the EU and the US at the time. Still, the scenarios studied and the economic modelling assumptions taken varied and, as a result, different estimations on the likely impacts of an EU US trade and investment agreement differ. Moreover, the debate on TTIP has been further fuelled by some studies that estimate the impact of an EU-US agreement on Member State level. </w:t>
      </w:r>
      <w:r w:rsidRPr="00B66F6C">
        <w:rPr>
          <w:rFonts w:ascii="Times New Roman" w:hAnsi="Times New Roman" w:cs="Times New Roman"/>
          <w:color w:val="000000"/>
          <w:sz w:val="24"/>
          <w:szCs w:val="24"/>
          <w:lang w:val="en-US"/>
        </w:rPr>
        <w:t xml:space="preserve">Examples are the contributions from Francois &amp; Pindyuk (2011) for Austria, the Kommers-Kollegium for Sweden (2012), CEsifo for Germany (2013) and Ecorys for the Netherlands (2012). Some of them also report effects for the EU as a whole </w:t>
      </w:r>
      <w:r>
        <w:rPr>
          <w:rFonts w:ascii="Times New Roman" w:hAnsi="Times New Roman" w:cs="Times New Roman"/>
          <w:color w:val="000000"/>
          <w:sz w:val="24"/>
          <w:szCs w:val="24"/>
          <w:lang w:val="en-US"/>
        </w:rPr>
        <w:t>and the findings will be used -where relevant</w:t>
      </w:r>
      <w:r w:rsidRPr="00B66F6C">
        <w:rPr>
          <w:rFonts w:ascii="Times New Roman" w:hAnsi="Times New Roman" w:cs="Times New Roman"/>
          <w:color w:val="000000"/>
          <w:sz w:val="24"/>
          <w:szCs w:val="24"/>
          <w:lang w:val="en-US"/>
        </w:rPr>
        <w:t>- for this Trade SIA.</w:t>
      </w:r>
    </w:p>
    <w:p w:rsidR="00AF62E6" w:rsidRPr="00B66F6C"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66F6C">
        <w:rPr>
          <w:rFonts w:ascii="Times New Roman" w:hAnsi="Times New Roman" w:cs="Times New Roman"/>
          <w:color w:val="000000"/>
          <w:sz w:val="24"/>
          <w:szCs w:val="24"/>
          <w:lang w:val="en-US"/>
        </w:rPr>
        <w:t xml:space="preserve"> </w:t>
      </w:r>
    </w:p>
    <w:p w:rsidR="00AF62E6" w:rsidRPr="00E83EED"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E83EED">
        <w:rPr>
          <w:rFonts w:ascii="Times New Roman" w:hAnsi="Times New Roman" w:cs="Times New Roman"/>
          <w:color w:val="FF0000"/>
          <w:sz w:val="24"/>
          <w:szCs w:val="24"/>
          <w:lang w:val="en-US"/>
        </w:rPr>
        <w:lastRenderedPageBreak/>
        <w:t>Firstly, before the European Commission enters into official negotiations with any trading partner, they are obliged to conduct a Commission staff Impact Assessment. For the negotiations on the TTIP, this impact assessment was conducted in 2013 (EC, 2013). The assessment is conducted based on the EC’s general impact assessment guidelines and bases its main impact assessment results on the CEPR (2013) study. The impact assessment specifically focused on the motor vehicles, insurance and electronic equipment industries and evaluated the expected impacts in those sectors in more detail. According to the CEPR (2013) study, the motor vehicles and insurance industries in the EU are expected to expand, whereas the electronic equipment industry was expected to decline.</w:t>
      </w:r>
    </w:p>
    <w:p w:rsidR="00AF62E6" w:rsidRPr="00E83EED"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650DCB">
        <w:rPr>
          <w:rFonts w:ascii="Times New Roman" w:hAnsi="Times New Roman" w:cs="Times New Roman"/>
          <w:color w:val="FF0000"/>
          <w:sz w:val="24"/>
          <w:szCs w:val="24"/>
          <w:lang w:val="en-US"/>
        </w:rPr>
        <w:t>Table 1.1 summarises the main impacts on macroeconomic level for the most commonly included indicators, both for the EU and for the US from a selected number of studies</w:t>
      </w:r>
      <w:r w:rsidRPr="00C36C75">
        <w:rPr>
          <w:rFonts w:ascii="Times New Roman" w:hAnsi="Times New Roman" w:cs="Times New Roman"/>
          <w:color w:val="000000"/>
          <w:sz w:val="24"/>
          <w:szCs w:val="24"/>
          <w:lang w:val="en-US"/>
        </w:rPr>
        <w:t xml:space="preserve">. This table of results will be extended throughout the Trade SIA and the findings from these studies will be used in the assessment where relevant. This table is however not exhaustive and the overall economic impact assessment will be based on other existing materials as well. </w:t>
      </w:r>
      <w:r w:rsidRPr="00650DCB">
        <w:rPr>
          <w:rFonts w:ascii="Times New Roman" w:hAnsi="Times New Roman" w:cs="Times New Roman"/>
          <w:color w:val="FF0000"/>
          <w:sz w:val="24"/>
          <w:szCs w:val="24"/>
          <w:lang w:val="en-US"/>
        </w:rPr>
        <w:t>The results in the table are a simplified representation of the wealth of information and results included in each of the studies, but the overall impact on GDP or national income can be used to understand the differences in the models and assumptions.</w:t>
      </w:r>
      <w:r w:rsidRPr="00C36C75">
        <w:rPr>
          <w:rFonts w:ascii="Times New Roman" w:hAnsi="Times New Roman" w:cs="Times New Roman"/>
          <w:color w:val="000000"/>
          <w:sz w:val="24"/>
          <w:szCs w:val="24"/>
          <w:lang w:val="en-US"/>
        </w:rPr>
        <w:t xml:space="preserve"> The numbers presented in the table represent the most ambitious scenarios taken in each study, but the results for all scenarios (even the most modest ones) are all positive for both the EU and the US. The studies differ in terms of the expected effects on third countries, where the Bertelsmann Stiftung (2013) finds relatively strong negative effects on third countries and the CEPR (2013) estimates mostly positive effects from a TTIP on third country markets. Rather than discussing which result is </w:t>
      </w:r>
      <w:r>
        <w:rPr>
          <w:rFonts w:ascii="Times New Roman" w:hAnsi="Times New Roman" w:cs="Times New Roman"/>
          <w:color w:val="000000"/>
          <w:sz w:val="24"/>
          <w:szCs w:val="24"/>
          <w:lang w:val="en-US"/>
        </w:rPr>
        <w:t>more likely to occur, we note -as stated above-</w:t>
      </w:r>
      <w:r w:rsidRPr="00C36C75">
        <w:rPr>
          <w:rFonts w:ascii="Times New Roman" w:hAnsi="Times New Roman" w:cs="Times New Roman"/>
          <w:color w:val="000000"/>
          <w:sz w:val="24"/>
          <w:szCs w:val="24"/>
          <w:lang w:val="en-US"/>
        </w:rPr>
        <w:t xml:space="preserve"> that the benefits for third country markets critically depend on whether third-country spill-overs are expected and on the stringency of potential Rules of Origin applied in the agreement and the effects of standard setting in the regulatory component of the agreement. A common EU-US standard could become a de facto world standard. </w:t>
      </w:r>
    </w:p>
    <w:p w:rsidR="00AF62E6" w:rsidRPr="00C36C75"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286E0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286E03">
        <w:rPr>
          <w:rFonts w:ascii="Times New Roman" w:hAnsi="Times New Roman" w:cs="Times New Roman"/>
          <w:color w:val="FF0000"/>
          <w:sz w:val="24"/>
          <w:szCs w:val="24"/>
          <w:lang w:val="en-US"/>
        </w:rPr>
        <w:t xml:space="preserve">The results on the EU and the US differ between the studies mostly due to differences in assumed liberalisation scenarios, as well as differences in the economic modelling techniques. Even though all studies apply Computable General Equilibrium (CGE) models of some sort, the different specifications and data sources used trigger different outcomes. All studies also recognise that in the most ambitious scenario, most of the tariffs applied on bilateral trade could be removed and that most of the gains in economic growth from the agreement stem from aligning NTBs (roughly speaking 80 percent due to NTM alignment and 20% due to tariff reduction). </w:t>
      </w:r>
    </w:p>
    <w:p w:rsidR="00AF62E6" w:rsidRPr="00C36C75"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C36C75">
        <w:rPr>
          <w:rFonts w:ascii="Times New Roman" w:hAnsi="Times New Roman" w:cs="Times New Roman"/>
          <w:color w:val="000000"/>
          <w:sz w:val="24"/>
          <w:szCs w:val="24"/>
          <w:lang w:val="en-US"/>
        </w:rPr>
        <w:t>Since these and other valuable contributions have already been made and are used by policy makers and the public, it is the aim of this Trade SIA to take the results from these studies as a basis and go beyond them by expanding on the expected social, environmental and human rights effects as well as providing more detail on the expected sectoral level impacts. The mai</w:t>
      </w:r>
      <w:r>
        <w:rPr>
          <w:rFonts w:ascii="Times New Roman" w:hAnsi="Times New Roman" w:cs="Times New Roman"/>
          <w:color w:val="000000"/>
          <w:sz w:val="24"/>
          <w:szCs w:val="24"/>
          <w:lang w:val="en-US"/>
        </w:rPr>
        <w:t>n -but not only-</w:t>
      </w:r>
      <w:r w:rsidRPr="00C36C75">
        <w:rPr>
          <w:rFonts w:ascii="Times New Roman" w:hAnsi="Times New Roman" w:cs="Times New Roman"/>
          <w:color w:val="000000"/>
          <w:sz w:val="24"/>
          <w:szCs w:val="24"/>
          <w:lang w:val="en-US"/>
        </w:rPr>
        <w:t xml:space="preserve"> source for our quantitative analysis will be the CEPR (2013) report, in line with the Terms of Reference. Though also this study uses a model that is an abstract of reality, having compared this work with others, this work is by far the most comprehensive and globally comparable study done on TTIP so far. We find the following elements of particular importance: </w:t>
      </w:r>
    </w:p>
    <w:p w:rsidR="00AF62E6" w:rsidRPr="00C36C75"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C36C75" w:rsidRDefault="00AF62E6" w:rsidP="00AF62E6">
      <w:pPr>
        <w:autoSpaceDE w:val="0"/>
        <w:autoSpaceDN w:val="0"/>
        <w:adjustRightInd w:val="0"/>
        <w:spacing w:after="79" w:line="240" w:lineRule="auto"/>
        <w:jc w:val="both"/>
        <w:rPr>
          <w:rFonts w:ascii="Times New Roman" w:hAnsi="Times New Roman" w:cs="Times New Roman"/>
          <w:color w:val="000000"/>
          <w:sz w:val="24"/>
          <w:szCs w:val="24"/>
          <w:lang w:val="en-US"/>
        </w:rPr>
      </w:pPr>
      <w:r w:rsidRPr="00C36C75">
        <w:rPr>
          <w:rFonts w:ascii="Times New Roman" w:hAnsi="Times New Roman" w:cs="Times New Roman"/>
          <w:color w:val="000000"/>
          <w:sz w:val="24"/>
          <w:szCs w:val="24"/>
        </w:rPr>
        <w:lastRenderedPageBreak/>
        <w:t></w:t>
      </w:r>
      <w:r w:rsidRPr="00C36C75">
        <w:rPr>
          <w:rFonts w:ascii="Times New Roman" w:hAnsi="Times New Roman" w:cs="Times New Roman"/>
          <w:color w:val="000000"/>
          <w:sz w:val="24"/>
          <w:szCs w:val="24"/>
          <w:lang w:val="en-US"/>
        </w:rPr>
        <w:t xml:space="preserve"> The study uses one of the most tested and (academically and empirically) challenged CGE models for trade policy modelling (Francois, V</w:t>
      </w:r>
      <w:r>
        <w:rPr>
          <w:rFonts w:ascii="Times New Roman" w:hAnsi="Times New Roman" w:cs="Times New Roman"/>
          <w:color w:val="000000"/>
          <w:sz w:val="24"/>
          <w:szCs w:val="24"/>
          <w:lang w:val="en-US"/>
        </w:rPr>
        <w:t>an Meijl &amp; Van Tongeren, 2005) -</w:t>
      </w:r>
      <w:r w:rsidRPr="00C36C75">
        <w:rPr>
          <w:rFonts w:ascii="Times New Roman" w:hAnsi="Times New Roman" w:cs="Times New Roman"/>
          <w:color w:val="000000"/>
          <w:sz w:val="24"/>
          <w:szCs w:val="24"/>
          <w:lang w:val="en-US"/>
        </w:rPr>
        <w:t xml:space="preserve"> a model that has been upgraded following the use in various earlier TSIA work; </w:t>
      </w:r>
    </w:p>
    <w:p w:rsidR="00AF62E6" w:rsidRPr="00C36C75" w:rsidRDefault="00AF62E6" w:rsidP="00AF62E6">
      <w:pPr>
        <w:autoSpaceDE w:val="0"/>
        <w:autoSpaceDN w:val="0"/>
        <w:adjustRightInd w:val="0"/>
        <w:spacing w:after="79" w:line="240" w:lineRule="auto"/>
        <w:jc w:val="both"/>
        <w:rPr>
          <w:rFonts w:ascii="Times New Roman" w:hAnsi="Times New Roman" w:cs="Times New Roman"/>
          <w:color w:val="000000"/>
          <w:sz w:val="24"/>
          <w:szCs w:val="24"/>
          <w:lang w:val="en-US"/>
        </w:rPr>
      </w:pPr>
      <w:r w:rsidRPr="00C36C75">
        <w:rPr>
          <w:rFonts w:ascii="Times New Roman" w:hAnsi="Times New Roman" w:cs="Times New Roman"/>
          <w:color w:val="000000"/>
          <w:sz w:val="24"/>
          <w:szCs w:val="24"/>
        </w:rPr>
        <w:t></w:t>
      </w:r>
      <w:r w:rsidRPr="00C36C75">
        <w:rPr>
          <w:rFonts w:ascii="Times New Roman" w:hAnsi="Times New Roman" w:cs="Times New Roman"/>
          <w:color w:val="000000"/>
          <w:sz w:val="24"/>
          <w:szCs w:val="24"/>
          <w:lang w:val="en-US"/>
        </w:rPr>
        <w:t xml:space="preserve"> The study uses the most comprehensive global dataset available with data for over 160 co</w:t>
      </w:r>
      <w:r>
        <w:rPr>
          <w:rFonts w:ascii="Times New Roman" w:hAnsi="Times New Roman" w:cs="Times New Roman"/>
          <w:color w:val="000000"/>
          <w:sz w:val="24"/>
          <w:szCs w:val="24"/>
          <w:lang w:val="en-US"/>
        </w:rPr>
        <w:t>untries and 58 sectors therein -</w:t>
      </w:r>
      <w:r w:rsidRPr="00C36C75">
        <w:rPr>
          <w:rFonts w:ascii="Times New Roman" w:hAnsi="Times New Roman" w:cs="Times New Roman"/>
          <w:color w:val="000000"/>
          <w:sz w:val="24"/>
          <w:szCs w:val="24"/>
          <w:lang w:val="en-US"/>
        </w:rPr>
        <w:t xml:space="preserve"> no other dataset has this reach or coverage, allowing us to really look at the global implications of TTIP as well as allow for intersectoral links within and between economies; </w:t>
      </w:r>
    </w:p>
    <w:p w:rsidR="00AF62E6" w:rsidRPr="00C36C75" w:rsidRDefault="00AF62E6" w:rsidP="00AF62E6">
      <w:pPr>
        <w:autoSpaceDE w:val="0"/>
        <w:autoSpaceDN w:val="0"/>
        <w:adjustRightInd w:val="0"/>
        <w:spacing w:after="79" w:line="240" w:lineRule="auto"/>
        <w:jc w:val="both"/>
        <w:rPr>
          <w:rFonts w:ascii="Times New Roman" w:hAnsi="Times New Roman" w:cs="Times New Roman"/>
          <w:color w:val="000000"/>
          <w:sz w:val="24"/>
          <w:szCs w:val="24"/>
          <w:lang w:val="en-US"/>
        </w:rPr>
      </w:pPr>
      <w:r w:rsidRPr="00C36C75">
        <w:rPr>
          <w:rFonts w:ascii="Times New Roman" w:hAnsi="Times New Roman" w:cs="Times New Roman"/>
          <w:color w:val="000000"/>
          <w:sz w:val="24"/>
          <w:szCs w:val="24"/>
        </w:rPr>
        <w:t></w:t>
      </w:r>
      <w:r w:rsidRPr="00C36C75">
        <w:rPr>
          <w:rFonts w:ascii="Times New Roman" w:hAnsi="Times New Roman" w:cs="Times New Roman"/>
          <w:color w:val="000000"/>
          <w:sz w:val="24"/>
          <w:szCs w:val="24"/>
          <w:lang w:val="en-US"/>
        </w:rPr>
        <w:t xml:space="preserve"> The study covers t</w:t>
      </w:r>
      <w:r>
        <w:rPr>
          <w:rFonts w:ascii="Times New Roman" w:hAnsi="Times New Roman" w:cs="Times New Roman"/>
          <w:color w:val="000000"/>
          <w:sz w:val="24"/>
          <w:szCs w:val="24"/>
          <w:lang w:val="en-US"/>
        </w:rPr>
        <w:t>hird countries in its approach -</w:t>
      </w:r>
      <w:r w:rsidRPr="00C36C75">
        <w:rPr>
          <w:rFonts w:ascii="Times New Roman" w:hAnsi="Times New Roman" w:cs="Times New Roman"/>
          <w:color w:val="000000"/>
          <w:sz w:val="24"/>
          <w:szCs w:val="24"/>
          <w:lang w:val="en-US"/>
        </w:rPr>
        <w:t xml:space="preserve"> which is important for this analysis – and also includes modelling the regulatory impact for third countries; </w:t>
      </w:r>
    </w:p>
    <w:p w:rsidR="00AF62E6" w:rsidRPr="00C36C75" w:rsidRDefault="00AF62E6" w:rsidP="00AF62E6">
      <w:pPr>
        <w:autoSpaceDE w:val="0"/>
        <w:autoSpaceDN w:val="0"/>
        <w:adjustRightInd w:val="0"/>
        <w:spacing w:after="79" w:line="240" w:lineRule="auto"/>
        <w:jc w:val="both"/>
        <w:rPr>
          <w:rFonts w:ascii="Times New Roman" w:hAnsi="Times New Roman" w:cs="Times New Roman"/>
          <w:color w:val="000000"/>
          <w:sz w:val="24"/>
          <w:szCs w:val="24"/>
          <w:lang w:val="en-US"/>
        </w:rPr>
      </w:pPr>
      <w:r w:rsidRPr="00C36C75">
        <w:rPr>
          <w:rFonts w:ascii="Times New Roman" w:hAnsi="Times New Roman" w:cs="Times New Roman"/>
          <w:color w:val="000000"/>
          <w:sz w:val="24"/>
          <w:szCs w:val="24"/>
        </w:rPr>
        <w:t></w:t>
      </w:r>
      <w:r w:rsidRPr="00C36C75">
        <w:rPr>
          <w:rFonts w:ascii="Times New Roman" w:hAnsi="Times New Roman" w:cs="Times New Roman"/>
          <w:color w:val="000000"/>
          <w:sz w:val="24"/>
          <w:szCs w:val="24"/>
          <w:lang w:val="en-US"/>
        </w:rPr>
        <w:t xml:space="preserve"> The study allows for intermediate goods sectors and interlinkages without invoking micro-level scale economies that could lead to overestimation of the potential results;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sectPr w:rsidR="00AF62E6">
          <w:pgSz w:w="11906" w:h="16838"/>
          <w:pgMar w:top="1417" w:right="1701" w:bottom="1417" w:left="1701" w:header="708" w:footer="708" w:gutter="0"/>
          <w:cols w:space="708"/>
          <w:docGrid w:linePitch="360"/>
        </w:sectPr>
      </w:pPr>
      <w:r w:rsidRPr="00C36C75">
        <w:rPr>
          <w:rFonts w:ascii="Times New Roman" w:hAnsi="Times New Roman" w:cs="Times New Roman"/>
          <w:color w:val="000000"/>
          <w:sz w:val="24"/>
          <w:szCs w:val="24"/>
        </w:rPr>
        <w:t></w:t>
      </w:r>
      <w:r w:rsidRPr="00C36C75">
        <w:rPr>
          <w:rFonts w:ascii="Times New Roman" w:hAnsi="Times New Roman" w:cs="Times New Roman"/>
          <w:color w:val="000000"/>
          <w:sz w:val="24"/>
          <w:szCs w:val="24"/>
          <w:lang w:val="en-US"/>
        </w:rPr>
        <w:t xml:space="preserve"> The study has included the element of regulatory compatibility in its scenarios.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8883650" cy="50927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83650" cy="50927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8883650" cy="50927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83650" cy="50927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sectPr w:rsidR="00AF62E6" w:rsidSect="00094425">
          <w:pgSz w:w="16838" w:h="11906" w:orient="landscape"/>
          <w:pgMar w:top="1701" w:right="1418" w:bottom="1701" w:left="1418" w:header="709" w:footer="709" w:gutter="0"/>
          <w:cols w:space="708"/>
          <w:docGrid w:linePitch="360"/>
        </w:sectPr>
      </w:pPr>
      <w:r>
        <w:rPr>
          <w:rFonts w:ascii="Times New Roman" w:hAnsi="Times New Roman" w:cs="Times New Roman"/>
          <w:noProof/>
          <w:color w:val="000000"/>
          <w:sz w:val="24"/>
          <w:szCs w:val="24"/>
          <w:lang w:val="en-GB" w:eastAsia="en-GB"/>
        </w:rPr>
        <w:drawing>
          <wp:inline distT="0" distB="0" distL="0" distR="0">
            <wp:extent cx="8883650" cy="50673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83650" cy="50673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sectPr w:rsidR="00AF62E6" w:rsidSect="00094425">
          <w:pgSz w:w="16838" w:h="11906" w:orient="landscape"/>
          <w:pgMar w:top="1701" w:right="1418" w:bottom="1701" w:left="1418" w:header="709" w:footer="709" w:gutter="0"/>
          <w:cols w:space="708"/>
          <w:docGrid w:linePitch="360"/>
        </w:sectPr>
      </w:pPr>
      <w:r>
        <w:rPr>
          <w:rFonts w:ascii="Times New Roman" w:hAnsi="Times New Roman" w:cs="Times New Roman"/>
          <w:color w:val="000000"/>
          <w:sz w:val="24"/>
          <w:szCs w:val="24"/>
          <w:lang w:val="en-US"/>
        </w:rPr>
        <w:lastRenderedPageBreak/>
        <w:t xml:space="preserve">    </w:t>
      </w:r>
      <w:r>
        <w:rPr>
          <w:rFonts w:ascii="Times New Roman" w:hAnsi="Times New Roman" w:cs="Times New Roman"/>
          <w:noProof/>
          <w:color w:val="000000"/>
          <w:sz w:val="24"/>
          <w:szCs w:val="24"/>
          <w:lang w:val="en-GB" w:eastAsia="en-GB"/>
        </w:rPr>
        <w:drawing>
          <wp:inline distT="0" distB="0" distL="0" distR="0">
            <wp:extent cx="8616950" cy="53911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16950" cy="53911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5397500" cy="437515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3751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drawing>
          <wp:inline distT="0" distB="0" distL="0" distR="0">
            <wp:extent cx="5397500" cy="442595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4259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5397500" cy="44132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44132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C36C75"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drawing>
          <wp:inline distT="0" distB="0" distL="0" distR="0">
            <wp:extent cx="5397500" cy="377825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778250"/>
                    </a:xfrm>
                    <a:prstGeom prst="rect">
                      <a:avLst/>
                    </a:prstGeom>
                    <a:noFill/>
                    <a:ln>
                      <a:noFill/>
                    </a:ln>
                  </pic:spPr>
                </pic:pic>
              </a:graphicData>
            </a:graphic>
          </wp:inline>
        </w:drawing>
      </w:r>
    </w:p>
    <w:p w:rsidR="00AF62E6" w:rsidRPr="00C36C75"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6159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6159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51155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5115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28003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8003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549900" cy="466090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9900" cy="4660900"/>
                    </a:xfrm>
                    <a:prstGeom prst="rect">
                      <a:avLst/>
                    </a:prstGeom>
                    <a:noFill/>
                    <a:ln>
                      <a:noFill/>
                    </a:ln>
                  </pic:spPr>
                </pic:pic>
              </a:graphicData>
            </a:graphic>
          </wp:inline>
        </w:drawing>
      </w:r>
      <w:r>
        <w:rPr>
          <w:rFonts w:ascii="Times New Roman" w:hAnsi="Times New Roman" w:cs="Times New Roman"/>
          <w:noProof/>
          <w:sz w:val="24"/>
          <w:szCs w:val="24"/>
          <w:lang w:val="en-GB" w:eastAsia="en-GB"/>
        </w:rPr>
        <w:drawing>
          <wp:inline distT="0" distB="0" distL="0" distR="0">
            <wp:extent cx="5473700" cy="2203450"/>
            <wp:effectExtent l="0" t="0" r="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3700" cy="22034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7500" cy="54102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54102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022600"/>
            <wp:effectExtent l="0" t="0" r="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0226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sectPr w:rsidR="00AF62E6" w:rsidSect="00094425">
          <w:pgSz w:w="11906" w:h="16838"/>
          <w:pgMar w:top="1418" w:right="1701" w:bottom="1418" w:left="1701" w:header="709" w:footer="709" w:gutter="0"/>
          <w:cols w:space="708"/>
          <w:docGrid w:linePitch="360"/>
        </w:sect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Pr>
          <w:rFonts w:ascii="Times New Roman" w:hAnsi="Times New Roman" w:cs="Times New Roman"/>
          <w:noProof/>
          <w:sz w:val="24"/>
          <w:szCs w:val="24"/>
          <w:lang w:val="en-GB" w:eastAsia="en-GB"/>
        </w:rPr>
        <w:drawing>
          <wp:inline distT="0" distB="0" distL="0" distR="0">
            <wp:extent cx="8407400" cy="539750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07400" cy="53975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sectPr w:rsidR="00AF62E6" w:rsidSect="00094425">
          <w:pgSz w:w="16838" w:h="11906" w:orient="landscape"/>
          <w:pgMar w:top="1701" w:right="1418" w:bottom="1701" w:left="1418" w:header="709" w:footer="709" w:gutter="0"/>
          <w:cols w:space="708"/>
          <w:docGrid w:linePitch="360"/>
        </w:sect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283845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28384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7592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7592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55600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5560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7500" cy="31813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18135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sectPr w:rsidR="00AF62E6" w:rsidSect="00094425">
          <w:pgSz w:w="11906" w:h="16838"/>
          <w:pgMar w:top="1418" w:right="1701" w:bottom="1418" w:left="1701" w:header="709" w:footer="709" w:gutter="0"/>
          <w:cols w:space="708"/>
          <w:docGrid w:linePitch="360"/>
        </w:sectPr>
      </w:pPr>
      <w:r>
        <w:rPr>
          <w:rFonts w:ascii="Times New Roman" w:hAnsi="Times New Roman" w:cs="Times New Roman"/>
          <w:noProof/>
          <w:sz w:val="24"/>
          <w:szCs w:val="24"/>
          <w:lang w:val="en-GB" w:eastAsia="en-GB"/>
        </w:rPr>
        <w:drawing>
          <wp:inline distT="0" distB="0" distL="0" distR="0">
            <wp:extent cx="5397500" cy="15494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15494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jc w:val="both"/>
        <w:rPr>
          <w:rFonts w:ascii="Times New Roman" w:hAnsi="Times New Roman" w:cs="Times New Roman"/>
          <w:sz w:val="24"/>
          <w:szCs w:val="24"/>
          <w:lang w:val="en-US"/>
        </w:rPr>
        <w:sectPr w:rsidR="00AF62E6" w:rsidSect="00094425">
          <w:pgSz w:w="16838" w:h="11906" w:orient="landscape"/>
          <w:pgMar w:top="1701" w:right="1418" w:bottom="1701" w:left="1418" w:header="709" w:footer="709" w:gutter="0"/>
          <w:cols w:space="708"/>
          <w:docGrid w:linePitch="360"/>
        </w:sectPr>
      </w:pPr>
      <w:r>
        <w:rPr>
          <w:rFonts w:ascii="Times New Roman" w:hAnsi="Times New Roman" w:cs="Times New Roman"/>
          <w:sz w:val="24"/>
          <w:szCs w:val="24"/>
          <w:lang w:val="en-US"/>
        </w:rPr>
        <w:lastRenderedPageBreak/>
        <w:t xml:space="preserve">   </w:t>
      </w:r>
      <w:r>
        <w:rPr>
          <w:rFonts w:ascii="Times New Roman" w:hAnsi="Times New Roman" w:cs="Times New Roman"/>
          <w:noProof/>
          <w:sz w:val="24"/>
          <w:szCs w:val="24"/>
          <w:lang w:val="en-GB" w:eastAsia="en-GB"/>
        </w:rPr>
        <w:drawing>
          <wp:inline distT="0" distB="0" distL="0" distR="0">
            <wp:extent cx="8362950" cy="53975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62950" cy="5397500"/>
                    </a:xfrm>
                    <a:prstGeom prst="rect">
                      <a:avLst/>
                    </a:prstGeom>
                    <a:noFill/>
                    <a:ln>
                      <a:noFill/>
                    </a:ln>
                  </pic:spPr>
                </pic:pic>
              </a:graphicData>
            </a:graphic>
          </wp:inline>
        </w:drawing>
      </w:r>
    </w:p>
    <w:p w:rsidR="00AF62E6" w:rsidRDefault="00AF62E6" w:rsidP="00AF62E6">
      <w:pPr>
        <w:autoSpaceDE w:val="0"/>
        <w:autoSpaceDN w:val="0"/>
        <w:adjustRightInd w:val="0"/>
        <w:spacing w:after="0" w:line="240" w:lineRule="auto"/>
        <w:rPr>
          <w:rFonts w:ascii="Times New Roman" w:hAnsi="Times New Roman" w:cs="Times New Roman"/>
          <w:b/>
          <w:bCs/>
          <w:color w:val="000000"/>
          <w:sz w:val="24"/>
          <w:szCs w:val="24"/>
          <w:lang w:val="en-US"/>
        </w:rPr>
      </w:pPr>
      <w:r w:rsidRPr="00DD1B2E">
        <w:rPr>
          <w:rFonts w:ascii="Times New Roman" w:hAnsi="Times New Roman" w:cs="Times New Roman"/>
          <w:b/>
          <w:bCs/>
          <w:color w:val="000000"/>
          <w:sz w:val="24"/>
          <w:szCs w:val="24"/>
          <w:lang w:val="en-US"/>
        </w:rPr>
        <w:lastRenderedPageBreak/>
        <w:t xml:space="preserve">Overview of global value chain relationships </w:t>
      </w:r>
    </w:p>
    <w:p w:rsidR="00AF62E6" w:rsidRPr="00DD1B2E" w:rsidRDefault="00AF62E6" w:rsidP="00AF62E6">
      <w:pPr>
        <w:autoSpaceDE w:val="0"/>
        <w:autoSpaceDN w:val="0"/>
        <w:adjustRightInd w:val="0"/>
        <w:spacing w:after="0" w:line="240" w:lineRule="auto"/>
        <w:rPr>
          <w:rFonts w:ascii="Times New Roman" w:hAnsi="Times New Roman" w:cs="Times New Roman"/>
          <w:color w:val="000000"/>
          <w:sz w:val="24"/>
          <w:szCs w:val="24"/>
          <w:lang w:val="en-US"/>
        </w:rPr>
      </w:pPr>
    </w:p>
    <w:p w:rsidR="00AF62E6" w:rsidRPr="00286E03" w:rsidRDefault="00AF62E6" w:rsidP="00AF62E6">
      <w:pPr>
        <w:autoSpaceDE w:val="0"/>
        <w:autoSpaceDN w:val="0"/>
        <w:adjustRightInd w:val="0"/>
        <w:spacing w:after="0" w:line="240" w:lineRule="auto"/>
        <w:jc w:val="both"/>
        <w:rPr>
          <w:rFonts w:ascii="Times New Roman" w:hAnsi="Times New Roman" w:cs="Times New Roman"/>
          <w:color w:val="FF0000"/>
          <w:sz w:val="24"/>
          <w:szCs w:val="24"/>
          <w:lang w:val="en-US"/>
        </w:rPr>
      </w:pPr>
      <w:r w:rsidRPr="00286E03">
        <w:rPr>
          <w:rFonts w:ascii="Times New Roman" w:hAnsi="Times New Roman" w:cs="Times New Roman"/>
          <w:color w:val="FF0000"/>
          <w:sz w:val="24"/>
          <w:szCs w:val="24"/>
          <w:lang w:val="en-US"/>
        </w:rPr>
        <w:t xml:space="preserve">In Figure 4.2, we present the overview of how we will map a specific sector under investigation in relation to the GVCs in which it is active. The percentages shown in the figure are illustrative of the kind of descriptive account that we will provide of the EU sector from a global value chain perspective. We have taken the example of the </w:t>
      </w:r>
      <w:r w:rsidRPr="00286E03">
        <w:rPr>
          <w:rFonts w:ascii="Times New Roman" w:hAnsi="Times New Roman" w:cs="Times New Roman"/>
          <w:b/>
          <w:bCs/>
          <w:color w:val="FF0000"/>
          <w:sz w:val="24"/>
          <w:szCs w:val="24"/>
          <w:lang w:val="en-US"/>
        </w:rPr>
        <w:t>automotive industry</w:t>
      </w:r>
      <w:r w:rsidRPr="00286E03">
        <w:rPr>
          <w:rFonts w:ascii="Times New Roman" w:hAnsi="Times New Roman" w:cs="Times New Roman"/>
          <w:color w:val="FF0000"/>
          <w:sz w:val="24"/>
          <w:szCs w:val="24"/>
          <w:lang w:val="en-US"/>
        </w:rPr>
        <w:t xml:space="preserve">, where the value chain of producing a car (a final good) serves as the reference point of analysis. It could also be that a selected sector is an intermediary goods sector in which your starting ‘perspective’ is different.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Using the data from the WIOD database, we will establish the relative importance of different intermediate goods and services in the production of a final good as well as the intermediate global linkages, as follows: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DD1B2E"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rPr>
        <w:t></w:t>
      </w:r>
      <w:r w:rsidRPr="00DD1B2E">
        <w:rPr>
          <w:rFonts w:ascii="Times New Roman" w:hAnsi="Times New Roman" w:cs="Times New Roman"/>
          <w:color w:val="000000"/>
          <w:sz w:val="24"/>
          <w:szCs w:val="24"/>
          <w:lang w:val="en-US"/>
        </w:rPr>
        <w:t xml:space="preserve"> We will select approximately 10 goods and services industries that are important (read provide inputs) in the value chain of a specific sector, based on their share of the total production costs of the final product (as a % of total output in the sector). </w:t>
      </w:r>
      <w:r w:rsidRPr="00DD1B2E">
        <w:rPr>
          <w:rFonts w:ascii="Times New Roman" w:hAnsi="Times New Roman" w:cs="Times New Roman"/>
          <w:i/>
          <w:iCs/>
          <w:color w:val="000000"/>
          <w:sz w:val="24"/>
          <w:szCs w:val="24"/>
          <w:lang w:val="en-US"/>
        </w:rPr>
        <w:t>Note that an exact match of the different value chain activities cannot be made with WIOD data and a proxy of types of goods and services is used</w:t>
      </w:r>
      <w:r>
        <w:rPr>
          <w:rFonts w:ascii="Times New Roman" w:hAnsi="Times New Roman" w:cs="Times New Roman"/>
          <w:i/>
          <w:iCs/>
          <w:color w:val="000000"/>
          <w:sz w:val="24"/>
          <w:szCs w:val="24"/>
          <w:lang w:val="en-US"/>
        </w:rPr>
        <w:t xml:space="preserve"> </w:t>
      </w:r>
      <w:r w:rsidRPr="00DD1B2E">
        <w:rPr>
          <w:rFonts w:ascii="Times New Roman" w:hAnsi="Times New Roman" w:cs="Times New Roman"/>
          <w:color w:val="000000"/>
          <w:sz w:val="24"/>
          <w:szCs w:val="24"/>
          <w:lang w:val="en-US"/>
        </w:rPr>
        <w:t>36F36F</w:t>
      </w:r>
      <w:r w:rsidRPr="00DD1B2E">
        <w:rPr>
          <w:rFonts w:ascii="Times New Roman" w:hAnsi="Times New Roman" w:cs="Times New Roman"/>
          <w:i/>
          <w:iCs/>
          <w:color w:val="000000"/>
          <w:sz w:val="24"/>
          <w:szCs w:val="24"/>
          <w:lang w:val="en-US"/>
        </w:rPr>
        <w:t xml:space="preserve">40. </w:t>
      </w:r>
      <w:r w:rsidRPr="00DD1B2E">
        <w:rPr>
          <w:rFonts w:ascii="Times New Roman" w:hAnsi="Times New Roman" w:cs="Times New Roman"/>
          <w:color w:val="000000"/>
          <w:sz w:val="24"/>
          <w:szCs w:val="24"/>
          <w:lang w:val="en-US"/>
        </w:rPr>
        <w:t xml:space="preserve">This is done both from the EU and the US perspective, which means that we will provide the overview of the relevant cost shares for intermediate inputs in both the EU and US, thus allowing us to identify possible divergences in costs of different goods and services for the production of a given final good; </w:t>
      </w:r>
    </w:p>
    <w:p w:rsidR="00AF62E6" w:rsidRPr="00DD1B2E" w:rsidRDefault="00AF62E6" w:rsidP="00AF62E6">
      <w:pPr>
        <w:autoSpaceDE w:val="0"/>
        <w:autoSpaceDN w:val="0"/>
        <w:adjustRightInd w:val="0"/>
        <w:spacing w:after="81"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rPr>
        <w:t></w:t>
      </w:r>
      <w:r w:rsidRPr="00DD1B2E">
        <w:rPr>
          <w:rFonts w:ascii="Times New Roman" w:hAnsi="Times New Roman" w:cs="Times New Roman"/>
          <w:color w:val="000000"/>
          <w:sz w:val="24"/>
          <w:szCs w:val="24"/>
          <w:lang w:val="en-US"/>
        </w:rPr>
        <w:t xml:space="preserve"> In turn, for each intermediate input, we will analyse the share of EU-28, US and rest of the world sourcing; in Figure 4.2 this is presented by the dark blue and red arrows (EU and US sourcing), by the purple rectangles (sourcing from within the EU-28 or from the US), and in the brown/yellow box arrows at the edges of the picture (intermediate inputs sourced from the rest of the world). Thus we will provide insight into the significance of the EU-US links in the value chain of the sector being assessed;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rPr>
        <w:t></w:t>
      </w:r>
      <w:r w:rsidRPr="00DD1B2E">
        <w:rPr>
          <w:rFonts w:ascii="Times New Roman" w:hAnsi="Times New Roman" w:cs="Times New Roman"/>
          <w:color w:val="000000"/>
          <w:sz w:val="24"/>
          <w:szCs w:val="24"/>
          <w:lang w:val="en-US"/>
        </w:rPr>
        <w:t xml:space="preserve"> In the next step we will consider the trade and trade-related provisions that could be subject of the TTIP negotiations. We will focus on those trade barriers (tariff and non-tariff barrier) that hamper trade in intermediate goods/services </w:t>
      </w:r>
      <w:r w:rsidRPr="00DD1B2E">
        <w:rPr>
          <w:rFonts w:ascii="Times New Roman" w:hAnsi="Times New Roman" w:cs="Times New Roman"/>
          <w:i/>
          <w:iCs/>
          <w:color w:val="000000"/>
          <w:sz w:val="24"/>
          <w:szCs w:val="24"/>
          <w:lang w:val="en-US"/>
        </w:rPr>
        <w:t xml:space="preserve">and </w:t>
      </w:r>
      <w:r w:rsidRPr="00DD1B2E">
        <w:rPr>
          <w:rFonts w:ascii="Times New Roman" w:hAnsi="Times New Roman" w:cs="Times New Roman"/>
          <w:color w:val="000000"/>
          <w:sz w:val="24"/>
          <w:szCs w:val="24"/>
          <w:lang w:val="en-US"/>
        </w:rPr>
        <w:t>in final prod</w:t>
      </w:r>
      <w:r>
        <w:rPr>
          <w:rFonts w:ascii="Times New Roman" w:hAnsi="Times New Roman" w:cs="Times New Roman"/>
          <w:color w:val="000000"/>
          <w:sz w:val="24"/>
          <w:szCs w:val="24"/>
          <w:lang w:val="en-US"/>
        </w:rPr>
        <w:t>ucts/services</w:t>
      </w:r>
      <w:r w:rsidRPr="00DD1B2E">
        <w:rPr>
          <w:rFonts w:ascii="Times New Roman" w:hAnsi="Times New Roman" w:cs="Times New Roman"/>
          <w:color w:val="000000"/>
          <w:sz w:val="24"/>
          <w:szCs w:val="24"/>
          <w:lang w:val="en-US"/>
        </w:rPr>
        <w:t xml:space="preserve">. We will take into account the fact that intermediate goods and services may cross the ocean multiple times before a final good is sold either in the EU or in the US. By focusing on trade barriers from a GVC perspective, a number of trade barriers could play a role in hampering trade in final goods: </w:t>
      </w:r>
    </w:p>
    <w:p w:rsidR="00AF62E6" w:rsidRPr="00DD1B2E" w:rsidRDefault="00AF62E6" w:rsidP="00AF62E6">
      <w:pPr>
        <w:autoSpaceDE w:val="0"/>
        <w:autoSpaceDN w:val="0"/>
        <w:adjustRightInd w:val="0"/>
        <w:spacing w:after="79"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 Trade barriers on trade in final goods and services in the sector (as identified in step 2);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 Trade barriers on trade in intermediate products from interrelated sectors (as identified in step 2 in case the interrelated sector is also chosen for in-depth analysis).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rPr>
        <w:t></w:t>
      </w:r>
      <w:r w:rsidRPr="00DD1B2E">
        <w:rPr>
          <w:rFonts w:ascii="Times New Roman" w:hAnsi="Times New Roman" w:cs="Times New Roman"/>
          <w:color w:val="000000"/>
          <w:sz w:val="24"/>
          <w:szCs w:val="24"/>
          <w:lang w:val="en-US"/>
        </w:rPr>
        <w:t xml:space="preserve"> Since we know the importance of the EU US links of intermediary and final products (as compared to domestic or RoW sourcing as explained above), we can also infer the importance of a specific trade barrier identified. Trade barriers on trade in less-frequently traded goods or services should have less of an impact than trade barriers identified in more-frequently traded products. This allows us to assess and estimate the effects of such barriers on the competitiveness of the sector from a value chain perspective (in step 4). It is unrealistic to take into account all trade barriers affecting the value chain in the EU. We will thus only select the most significant trade barriers to study in more detail in the impact assessment (step 4).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DD1B2E">
        <w:rPr>
          <w:rFonts w:ascii="Times New Roman" w:hAnsi="Times New Roman" w:cs="Times New Roman"/>
          <w:i/>
          <w:iCs/>
          <w:color w:val="000000"/>
          <w:sz w:val="24"/>
          <w:szCs w:val="24"/>
          <w:lang w:val="en-US"/>
        </w:rPr>
        <w:t>4.3.4 Step 4: Sustainability Impact Assessment</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i/>
          <w:iCs/>
          <w:color w:val="000000"/>
          <w:sz w:val="24"/>
          <w:szCs w:val="24"/>
          <w:lang w:val="en-US"/>
        </w:rPr>
        <w:t xml:space="preserve">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The preparatory work performed in steps 1 to 2 (or 337F37F41) will enable us to perform an impact assessment, using both quantitative and qualitative techniques. Having established the baseline of the sector on economic, social and environmental grounds (step 1) and having created the inventory of market access issues (step 2) allows us to assess the potential impact of removing certain trade barriers or adopting trade-related provisions in the TTIP. In the fourth step of the analysis, all results (economic, social and environmental) from the CEPR (2013) impact assessment at sector level, as well as other available data, will be thoroughly analysed and evaluated in order to establish the </w:t>
      </w:r>
      <w:r w:rsidRPr="00DD1B2E">
        <w:rPr>
          <w:rFonts w:ascii="Times New Roman" w:hAnsi="Times New Roman" w:cs="Times New Roman"/>
          <w:b/>
          <w:bCs/>
          <w:color w:val="000000"/>
          <w:sz w:val="24"/>
          <w:szCs w:val="24"/>
          <w:lang w:val="en-US"/>
        </w:rPr>
        <w:t>sustainability impact assessment</w:t>
      </w:r>
      <w:r w:rsidRPr="00DD1B2E">
        <w:rPr>
          <w:rFonts w:ascii="Times New Roman" w:hAnsi="Times New Roman" w:cs="Times New Roman"/>
          <w:color w:val="000000"/>
          <w:sz w:val="24"/>
          <w:szCs w:val="24"/>
          <w:lang w:val="en-US"/>
        </w:rPr>
        <w:t xml:space="preserve">. The analyses performed as part of steps 1-3 above will provide additional insights into the expected impacts of TTIP at sector level and will either provide further clarification about the CEPR (2013) sectoral results or explain expected deviations from the results based on our in-depth analysis. Secondly, the results from the </w:t>
      </w:r>
      <w:r w:rsidRPr="00DD1B2E">
        <w:rPr>
          <w:rFonts w:ascii="Times New Roman" w:hAnsi="Times New Roman" w:cs="Times New Roman"/>
          <w:b/>
          <w:bCs/>
          <w:color w:val="000000"/>
          <w:sz w:val="24"/>
          <w:szCs w:val="24"/>
          <w:lang w:val="en-US"/>
        </w:rPr>
        <w:t xml:space="preserve">sustainability impact assessment, </w:t>
      </w:r>
      <w:r w:rsidRPr="00DD1B2E">
        <w:rPr>
          <w:rFonts w:ascii="Times New Roman" w:hAnsi="Times New Roman" w:cs="Times New Roman"/>
          <w:color w:val="000000"/>
          <w:sz w:val="24"/>
          <w:szCs w:val="24"/>
          <w:lang w:val="en-US"/>
        </w:rPr>
        <w:t xml:space="preserve">together with the competitiveness baseline established in step 1 and the optional GVC analysis conducted in step 3, will be used to also produce a competitiveness impact assessment of TTIP on the sector under investigation.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DD1B2E">
        <w:rPr>
          <w:rFonts w:ascii="Times New Roman" w:hAnsi="Times New Roman" w:cs="Times New Roman"/>
          <w:b/>
          <w:bCs/>
          <w:color w:val="000000"/>
          <w:sz w:val="24"/>
          <w:szCs w:val="24"/>
          <w:lang w:val="en-US"/>
        </w:rPr>
        <w:t xml:space="preserve">Sustainability impact assessment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DD1B2E">
        <w:rPr>
          <w:rFonts w:ascii="Times New Roman" w:hAnsi="Times New Roman" w:cs="Times New Roman"/>
          <w:i/>
          <w:iCs/>
          <w:color w:val="000000"/>
          <w:sz w:val="24"/>
          <w:szCs w:val="24"/>
          <w:lang w:val="en-US"/>
        </w:rPr>
        <w:t xml:space="preserve">Economic impact assessment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The economic impact assessment will largely be based on the combination of two strands of analyses. Firstly, an analysis and critical review of the predicted economic effects by the CGE analysis provided in CEPR (2013) (as well as potentially other studies): the impact of the predicted change in trade flows, change in value added, change in employment and other indicators available in the CEPR (2013) assessment for the overall performance of the EU sector. Secondly, using Causal Chain Analysis on the most significant trade barriers identified in the sector in step 2, prioritised either by civil society input, sector expert input and/or the GVC analysis, the economic analysis also establishes the economic impacts beyond the quantitative indications given by the CEPR (2013) model. Depending on the type of trade barriers removed, the impact of the TTIP on </w:t>
      </w:r>
      <w:r w:rsidRPr="00DD1B2E">
        <w:rPr>
          <w:rFonts w:ascii="Times New Roman" w:hAnsi="Times New Roman" w:cs="Times New Roman"/>
          <w:b/>
          <w:bCs/>
          <w:color w:val="000000"/>
          <w:sz w:val="24"/>
          <w:szCs w:val="24"/>
          <w:lang w:val="en-US"/>
        </w:rPr>
        <w:t xml:space="preserve">(production) cost structures, innovative capacity, quality of products, competition, trade </w:t>
      </w:r>
      <w:r w:rsidRPr="00DD1B2E">
        <w:rPr>
          <w:rFonts w:ascii="Times New Roman" w:hAnsi="Times New Roman" w:cs="Times New Roman"/>
          <w:color w:val="000000"/>
          <w:sz w:val="24"/>
          <w:szCs w:val="24"/>
          <w:lang w:val="en-US"/>
        </w:rPr>
        <w:t xml:space="preserve">and related indicators will be established. The SME Survey will also be used to better understand the impact of the TTIP on SMEs in the EU. Also the potential effects on increased or reduced amount of investments through the incremental effect that TTIP could have on the investment decision will be assessed as part of this pillar of analysis (together with the concomitant indirect effects on social and environmental indicators, where relevant).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DD1B2E">
        <w:rPr>
          <w:rFonts w:ascii="Times New Roman" w:hAnsi="Times New Roman" w:cs="Times New Roman"/>
          <w:i/>
          <w:iCs/>
          <w:color w:val="000000"/>
          <w:sz w:val="24"/>
          <w:szCs w:val="24"/>
          <w:lang w:val="en-US"/>
        </w:rPr>
        <w:t xml:space="preserve">Social impact assessment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DD1B2E">
        <w:rPr>
          <w:rFonts w:ascii="Times New Roman" w:hAnsi="Times New Roman" w:cs="Times New Roman"/>
          <w:color w:val="000000"/>
          <w:sz w:val="24"/>
          <w:szCs w:val="24"/>
          <w:lang w:val="en-US"/>
        </w:rPr>
        <w:t xml:space="preserve">The impact assessment viewed from the social perspective focuses on the expected impacts from the identification of the potential removal of trade barriers (from step 2 and/or step 3) and the associated impacts on social indicators, including (but not limited to) </w:t>
      </w:r>
      <w:r w:rsidRPr="00DD1B2E">
        <w:rPr>
          <w:rFonts w:ascii="Times New Roman" w:hAnsi="Times New Roman" w:cs="Times New Roman"/>
          <w:b/>
          <w:bCs/>
          <w:color w:val="000000"/>
          <w:sz w:val="24"/>
          <w:szCs w:val="24"/>
          <w:lang w:val="en-US"/>
        </w:rPr>
        <w:t xml:space="preserve">employment, skills, labour mobility, labour conditions, human rights, consumer protection </w:t>
      </w:r>
      <w:r w:rsidRPr="00DD1B2E">
        <w:rPr>
          <w:rFonts w:ascii="Times New Roman" w:hAnsi="Times New Roman" w:cs="Times New Roman"/>
          <w:color w:val="000000"/>
          <w:sz w:val="24"/>
          <w:szCs w:val="24"/>
          <w:lang w:val="en-US"/>
        </w:rPr>
        <w:t xml:space="preserve">and </w:t>
      </w:r>
      <w:r w:rsidRPr="00DD1B2E">
        <w:rPr>
          <w:rFonts w:ascii="Times New Roman" w:hAnsi="Times New Roman" w:cs="Times New Roman"/>
          <w:b/>
          <w:bCs/>
          <w:color w:val="000000"/>
          <w:sz w:val="24"/>
          <w:szCs w:val="24"/>
          <w:lang w:val="en-US"/>
        </w:rPr>
        <w:t xml:space="preserve">health and safety standards.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pStyle w:val="Default"/>
        <w:jc w:val="both"/>
        <w:rPr>
          <w:rFonts w:ascii="Times New Roman" w:hAnsi="Times New Roman" w:cs="Times New Roman"/>
          <w:lang w:val="en-US"/>
        </w:rPr>
      </w:pPr>
      <w:r w:rsidRPr="00DD1B2E">
        <w:rPr>
          <w:rFonts w:ascii="Times New Roman" w:hAnsi="Times New Roman" w:cs="Times New Roman"/>
          <w:lang w:val="en-US"/>
        </w:rPr>
        <w:lastRenderedPageBreak/>
        <w:t xml:space="preserve">The expected social impacts at sector level are likely to be largely indirect in nature since the direct effect of TTIP will work through the removal of trade barriers at sector level. The social impact assessment will focus on the identification of social issues that are directly related to changes in the EU market place due to the removal of trade barriers in a certain sector. Particular attention will be paid to the more ‘intangible’ impacts on health and consumer welfare that relate to approximation of standards or regulation. While comprehensive quantification of these effects is unlikely to be possible, taken the issues into consideration in a more qualitative manner in the synopsis of the impact assessment is important to provide the full picture on the expected sustainability impacts at sector level. </w:t>
      </w:r>
    </w:p>
    <w:p w:rsidR="00AF62E6" w:rsidRPr="00DD1B2E" w:rsidRDefault="00AF62E6" w:rsidP="00AF62E6">
      <w:pPr>
        <w:pStyle w:val="Default"/>
        <w:jc w:val="both"/>
        <w:rPr>
          <w:rFonts w:ascii="Times New Roman" w:hAnsi="Times New Roman" w:cs="Times New Roman"/>
          <w:lang w:val="en-US"/>
        </w:rPr>
      </w:pPr>
    </w:p>
    <w:p w:rsidR="00AF62E6" w:rsidRDefault="00AF62E6" w:rsidP="00AF62E6">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DD1B2E">
        <w:rPr>
          <w:rFonts w:ascii="Times New Roman" w:hAnsi="Times New Roman" w:cs="Times New Roman"/>
          <w:i/>
          <w:iCs/>
          <w:color w:val="000000"/>
          <w:sz w:val="24"/>
          <w:szCs w:val="24"/>
          <w:lang w:val="en-US"/>
        </w:rPr>
        <w:t xml:space="preserve">Environmental impact assessment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The environmental impact assessment will benefit from the additional overall analysis performed using the E3ME model and by the additional overall qualitative analys</w:t>
      </w:r>
      <w:r>
        <w:rPr>
          <w:rFonts w:ascii="Times New Roman" w:hAnsi="Times New Roman" w:cs="Times New Roman"/>
          <w:color w:val="000000"/>
          <w:sz w:val="24"/>
          <w:szCs w:val="24"/>
          <w:lang w:val="en-US"/>
        </w:rPr>
        <w:t>is</w:t>
      </w:r>
      <w:r w:rsidRPr="00DD1B2E">
        <w:rPr>
          <w:rFonts w:ascii="Times New Roman" w:hAnsi="Times New Roman" w:cs="Times New Roman"/>
          <w:color w:val="000000"/>
          <w:sz w:val="24"/>
          <w:szCs w:val="24"/>
          <w:lang w:val="en-US"/>
        </w:rPr>
        <w:t xml:space="preserve">, as well as some of the environmental output indicators generated by the CEPR (2013) model and other CGE models (if relevant), such as CO2 emissions.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Similar to the social impact assessment at sector level, the environmental impacts from trade barrier reduction are indirect (unless a trade barrier is an environmental measure) and could potentially also have an opposite effect to the economic impact at sector level. In the environmental impact assessment, the sectoral outcomes from the E3ME modelling will be evaluated critically against the trade barrier assessment from steps 1-3 and additional environmental pressures from addressing trade barriers identified in step 2 or from stakeholder input will be taken into account in the environmental impact assessment. The environmental impact assessment will also identify where relevant pressures or impact on environmental indicators that can only be assessed qualitatively such as soil degradation, bio</w:t>
      </w:r>
      <w:r>
        <w:rPr>
          <w:rFonts w:ascii="Times New Roman" w:hAnsi="Times New Roman" w:cs="Times New Roman"/>
          <w:color w:val="000000"/>
          <w:sz w:val="24"/>
          <w:szCs w:val="24"/>
          <w:lang w:val="en-US"/>
        </w:rPr>
        <w:t>diversity, animal welfare and .</w:t>
      </w:r>
      <w:r w:rsidRPr="00DD1B2E">
        <w:rPr>
          <w:rFonts w:ascii="Times New Roman" w:hAnsi="Times New Roman" w:cs="Times New Roman"/>
          <w:color w:val="000000"/>
          <w:sz w:val="24"/>
          <w:szCs w:val="24"/>
          <w:lang w:val="en-US"/>
        </w:rPr>
        <w:t>i</w:t>
      </w:r>
      <w:r>
        <w:rPr>
          <w:rFonts w:ascii="Times New Roman" w:hAnsi="Times New Roman" w:cs="Times New Roman"/>
          <w:color w:val="000000"/>
          <w:sz w:val="24"/>
          <w:szCs w:val="24"/>
          <w:lang w:val="en-US"/>
        </w:rPr>
        <w:t>f not possible quantitatively-</w:t>
      </w:r>
      <w:r w:rsidRPr="00DD1B2E">
        <w:rPr>
          <w:rFonts w:ascii="Times New Roman" w:hAnsi="Times New Roman" w:cs="Times New Roman"/>
          <w:color w:val="000000"/>
          <w:sz w:val="24"/>
          <w:szCs w:val="24"/>
          <w:lang w:val="en-US"/>
        </w:rPr>
        <w:t xml:space="preserve">waste generation and water quality pressures.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A summary of indicators resulting from the overall impact assessments (economic, social and environmental) that can be studied is listed in the table below. We have explicitly included the input from civil society or stakeholders since there might be additional indicators that are relevant to include and can be brought up during consultations.</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893213" w:rsidRDefault="00AF62E6" w:rsidP="00AF62E6">
      <w:pPr>
        <w:autoSpaceDE w:val="0"/>
        <w:autoSpaceDN w:val="0"/>
        <w:adjustRightInd w:val="0"/>
        <w:spacing w:after="0" w:line="240" w:lineRule="auto"/>
        <w:rPr>
          <w:rFonts w:ascii="Times New Roman" w:hAnsi="Times New Roman" w:cs="Times New Roman"/>
          <w:b/>
          <w:bCs/>
          <w:color w:val="000000"/>
          <w:sz w:val="24"/>
          <w:szCs w:val="24"/>
          <w:lang w:val="en-US"/>
        </w:rPr>
      </w:pPr>
      <w:r w:rsidRPr="00893213">
        <w:rPr>
          <w:rFonts w:ascii="Times New Roman" w:hAnsi="Times New Roman" w:cs="Times New Roman"/>
          <w:b/>
          <w:bCs/>
          <w:color w:val="000000"/>
          <w:sz w:val="24"/>
          <w:szCs w:val="24"/>
          <w:lang w:val="en-US"/>
        </w:rPr>
        <w:t xml:space="preserve">Competitiveness impacts </w:t>
      </w:r>
    </w:p>
    <w:p w:rsidR="00AF62E6" w:rsidRPr="00893213" w:rsidRDefault="00AF62E6" w:rsidP="00AF62E6">
      <w:pPr>
        <w:autoSpaceDE w:val="0"/>
        <w:autoSpaceDN w:val="0"/>
        <w:adjustRightInd w:val="0"/>
        <w:spacing w:after="0" w:line="240" w:lineRule="auto"/>
        <w:rPr>
          <w:rFonts w:ascii="Times New Roman" w:hAnsi="Times New Roman" w:cs="Times New Roman"/>
          <w:color w:val="000000"/>
          <w:sz w:val="24"/>
          <w:szCs w:val="24"/>
          <w:lang w:val="en-US"/>
        </w:rPr>
      </w:pPr>
    </w:p>
    <w:p w:rsidR="00AF62E6" w:rsidRDefault="00AF62E6" w:rsidP="00AF62E6">
      <w:pPr>
        <w:pStyle w:val="Default"/>
        <w:jc w:val="both"/>
        <w:rPr>
          <w:rFonts w:ascii="Times New Roman" w:hAnsi="Times New Roman" w:cs="Times New Roman"/>
          <w:lang w:val="en-US"/>
        </w:rPr>
      </w:pPr>
      <w:r w:rsidRPr="00DD1B2E">
        <w:rPr>
          <w:rFonts w:ascii="Times New Roman" w:hAnsi="Times New Roman" w:cs="Times New Roman"/>
          <w:lang w:val="en-US"/>
        </w:rPr>
        <w:t xml:space="preserve">The final part of the impact assessment synthesizes the expected economic, environmental and social impacts from the sustainability impact assessment above with the competiveness baseline established in step 1 and, if relevant, the GVC analysis conducted in step 3. Even though the most likely factors that might drive a change in the competitive position of the EU sector from the TTIP are the removal of trade barriers, certain social or environmental provisions included might also change the competitive position of the EU industry. The outcomes of the impact assessment will be screened for their impact on the competitive impact of the sector (or in more detail of the GVC if step 3 is provided). </w:t>
      </w:r>
    </w:p>
    <w:p w:rsidR="00AF62E6" w:rsidRPr="00DD1B2E" w:rsidRDefault="00AF62E6" w:rsidP="00AF62E6">
      <w:pPr>
        <w:pStyle w:val="Default"/>
        <w:jc w:val="both"/>
        <w:rPr>
          <w:rFonts w:ascii="Times New Roman" w:hAnsi="Times New Roman" w:cs="Times New Roman"/>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Though indirectly the effect of the removal of certain trade barriers in the TTIP is already included in the CGE assessment of e.g. CEPR on sectoral level38F38F42, the </w:t>
      </w:r>
      <w:r w:rsidRPr="00DD1B2E">
        <w:rPr>
          <w:rFonts w:ascii="Times New Roman" w:hAnsi="Times New Roman" w:cs="Times New Roman"/>
          <w:color w:val="000000"/>
          <w:sz w:val="24"/>
          <w:szCs w:val="24"/>
          <w:lang w:val="en-US"/>
        </w:rPr>
        <w:lastRenderedPageBreak/>
        <w:t>in-depth analysis conducted in this Trade SIA might give more detailed information on a sectoral level which warrants a further competitiveness analysis. In order to do so, we developed a framework to study in more detail the effect of addressing non-tariff barriers on the competitive position of a sector.</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After the assessment of the relevant trade barriers (step 2), the products provided in the sector can be classified based on a competitiveness framework developed in the Ecorys study (2010) ‘</w:t>
      </w:r>
      <w:r w:rsidRPr="00DD1B2E">
        <w:rPr>
          <w:rFonts w:ascii="Times New Roman" w:hAnsi="Times New Roman" w:cs="Times New Roman"/>
          <w:i/>
          <w:iCs/>
          <w:color w:val="000000"/>
          <w:sz w:val="24"/>
          <w:szCs w:val="24"/>
          <w:lang w:val="en-US"/>
        </w:rPr>
        <w:t>Non-tariff measures in EU-US Trade investment: An economic analysis’</w:t>
      </w:r>
      <w:r w:rsidRPr="00DD1B2E">
        <w:rPr>
          <w:rFonts w:ascii="Times New Roman" w:hAnsi="Times New Roman" w:cs="Times New Roman"/>
          <w:color w:val="000000"/>
          <w:sz w:val="24"/>
          <w:szCs w:val="24"/>
          <w:lang w:val="en-US"/>
        </w:rPr>
        <w:t xml:space="preserve">. The overview and knowledge of the EU GVC provides additional insight since the different activities performed in the value chain could be classified using the framework as well. The framework provides a simplified structure for analysis based on the categorisation of sectors according to ‘relevant trade characteristics’ and ‘product(ion) characteristics’, as follows: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1. Trade characteristics:</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ab/>
      </w:r>
      <w:r w:rsidRPr="00DD1B2E">
        <w:rPr>
          <w:rFonts w:ascii="Times New Roman" w:hAnsi="Times New Roman" w:cs="Times New Roman"/>
          <w:color w:val="000000"/>
          <w:sz w:val="24"/>
          <w:szCs w:val="24"/>
          <w:lang w:val="en-US"/>
        </w:rPr>
        <w:t>a. Goods and services traded at distance: location of ‘production’ is unimportant. Development, production, and distribution of products i</w:t>
      </w:r>
      <w:r>
        <w:rPr>
          <w:rFonts w:ascii="Times New Roman" w:hAnsi="Times New Roman" w:cs="Times New Roman"/>
          <w:color w:val="000000"/>
          <w:sz w:val="24"/>
          <w:szCs w:val="24"/>
          <w:lang w:val="en-US"/>
        </w:rPr>
        <w:t xml:space="preserve">n close proximity to the market </w:t>
      </w:r>
      <w:r w:rsidRPr="00DD1B2E">
        <w:rPr>
          <w:rFonts w:ascii="Times New Roman" w:hAnsi="Times New Roman" w:cs="Times New Roman"/>
          <w:color w:val="000000"/>
          <w:sz w:val="24"/>
          <w:szCs w:val="24"/>
          <w:lang w:val="en-US"/>
        </w:rPr>
        <w:t xml:space="preserve">is not necessary (significant) commercial presence within the market is not a pre-requisite for trade39F39F43; </w:t>
      </w:r>
    </w:p>
    <w:p w:rsidR="00AF62E6" w:rsidRPr="00DD1B2E" w:rsidRDefault="00AF62E6" w:rsidP="00AF62E6">
      <w:pPr>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b. Goods and services traded at (geographical) proximity: location of ‘production’ is important. Development, production, and distribution can require being close to the market (e.g. transport costs, speed of delivery, and interaction with the client can be important). By implication, commercial presence within the market is required for trade to take place.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2. Product(ion) characteristics: </w:t>
      </w:r>
    </w:p>
    <w:p w:rsidR="00AF62E6" w:rsidRPr="00DD1B2E" w:rsidRDefault="00AF62E6" w:rsidP="00AF62E6">
      <w:pPr>
        <w:autoSpaceDE w:val="0"/>
        <w:autoSpaceDN w:val="0"/>
        <w:adjustRightInd w:val="0"/>
        <w:spacing w:after="81" w:line="240" w:lineRule="auto"/>
        <w:ind w:firstLine="708"/>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a. Standardised/scalable goods and services: products are standardised (i.e. demand / product characteristics are the same across markets) and/or production processes are characterised by high level of fixed/sunk costs (e.g. large capital or R&amp;D investment). Competition is focussed mainly on price (i.e. low costs / production efficiency are key drivers of competitiveness); </w:t>
      </w:r>
    </w:p>
    <w:p w:rsidR="00AF62E6" w:rsidRPr="00DD1B2E" w:rsidRDefault="00AF62E6" w:rsidP="00AF62E6">
      <w:pPr>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b. Customised/non scalable goods and services: products are non-standard or customised (i.e. demand / product characteristics are segmented) and/or production processes are characterised by high intensity of specific assets (e.g. knowledge, skills, technology). Competition is focussed mainly on product ‘quality’ (i.e. innovation / product effectiveness are key drivers of competitiveness).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From the above, a simple typology of sectors from a trade / investment and competition / competitiveness perspective can be derived. </w:t>
      </w:r>
      <w:r w:rsidRPr="00893213">
        <w:rPr>
          <w:rFonts w:ascii="Times New Roman" w:hAnsi="Times New Roman" w:cs="Times New Roman"/>
          <w:color w:val="000000"/>
          <w:sz w:val="24"/>
          <w:szCs w:val="24"/>
          <w:lang w:val="en-US"/>
        </w:rPr>
        <w:t>This typology is presented in Table 4.8 below.</w:t>
      </w:r>
    </w:p>
    <w:p w:rsidR="00AF62E6" w:rsidRPr="00893213"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This competitiveness categorisation will help us determine the impact on the change in competitiveness of the sector due to TTIP. For each of the ‘types’, we can establish basic working hypotheses of the (</w:t>
      </w:r>
      <w:r w:rsidRPr="00DD1B2E">
        <w:rPr>
          <w:rFonts w:ascii="Times New Roman" w:hAnsi="Times New Roman" w:cs="Times New Roman"/>
          <w:i/>
          <w:iCs/>
          <w:color w:val="000000"/>
          <w:sz w:val="24"/>
          <w:szCs w:val="24"/>
          <w:lang w:val="en-US"/>
        </w:rPr>
        <w:t>a priori</w:t>
      </w:r>
      <w:r w:rsidRPr="00DD1B2E">
        <w:rPr>
          <w:rFonts w:ascii="Times New Roman" w:hAnsi="Times New Roman" w:cs="Times New Roman"/>
          <w:color w:val="000000"/>
          <w:sz w:val="24"/>
          <w:szCs w:val="24"/>
          <w:lang w:val="en-US"/>
        </w:rPr>
        <w:t xml:space="preserve">) outcomes of reduction in ‘type-relevant’ trade barriers in terms of shifts in the location of production and between producers/firms, as follows: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77"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1. </w:t>
      </w:r>
      <w:r w:rsidRPr="00DD1B2E">
        <w:rPr>
          <w:rFonts w:ascii="Times New Roman" w:hAnsi="Times New Roman" w:cs="Times New Roman"/>
          <w:b/>
          <w:bCs/>
          <w:color w:val="000000"/>
          <w:sz w:val="24"/>
          <w:szCs w:val="24"/>
          <w:lang w:val="en-US"/>
        </w:rPr>
        <w:t xml:space="preserve">Type I: </w:t>
      </w:r>
      <w:r w:rsidRPr="00DD1B2E">
        <w:rPr>
          <w:rFonts w:ascii="Times New Roman" w:hAnsi="Times New Roman" w:cs="Times New Roman"/>
          <w:color w:val="000000"/>
          <w:sz w:val="24"/>
          <w:szCs w:val="24"/>
          <w:lang w:val="en-US"/>
        </w:rPr>
        <w:t xml:space="preserve">removal of trade barriers favours the relative competitive position of lower cost production locations (i.e. increased geographical concentration of international production) resulting in increased cross-border movements of products. Increased </w:t>
      </w:r>
      <w:r w:rsidRPr="00DD1B2E">
        <w:rPr>
          <w:rFonts w:ascii="Times New Roman" w:hAnsi="Times New Roman" w:cs="Times New Roman"/>
          <w:color w:val="000000"/>
          <w:sz w:val="24"/>
          <w:szCs w:val="24"/>
          <w:lang w:val="en-US"/>
        </w:rPr>
        <w:lastRenderedPageBreak/>
        <w:t xml:space="preserve">investment in low cost production locations aimed at exploiting location-specific production efficiency; </w:t>
      </w:r>
    </w:p>
    <w:p w:rsidR="00AF62E6" w:rsidRPr="00DD1B2E" w:rsidRDefault="00AF62E6" w:rsidP="00AF62E6">
      <w:pPr>
        <w:autoSpaceDE w:val="0"/>
        <w:autoSpaceDN w:val="0"/>
        <w:adjustRightInd w:val="0"/>
        <w:spacing w:after="77"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2. </w:t>
      </w:r>
      <w:r w:rsidRPr="00DD1B2E">
        <w:rPr>
          <w:rFonts w:ascii="Times New Roman" w:hAnsi="Times New Roman" w:cs="Times New Roman"/>
          <w:b/>
          <w:bCs/>
          <w:color w:val="000000"/>
          <w:sz w:val="24"/>
          <w:szCs w:val="24"/>
          <w:lang w:val="en-US"/>
        </w:rPr>
        <w:t xml:space="preserve">Type II: </w:t>
      </w:r>
      <w:r w:rsidRPr="00DD1B2E">
        <w:rPr>
          <w:rFonts w:ascii="Times New Roman" w:hAnsi="Times New Roman" w:cs="Times New Roman"/>
          <w:color w:val="000000"/>
          <w:sz w:val="24"/>
          <w:szCs w:val="24"/>
          <w:lang w:val="en-US"/>
        </w:rPr>
        <w:t xml:space="preserve">removal of trade barriers favours the relative competitive position of producers/firms with lower cost production process (i.e. increased firm concentration of production within international markets) and promotes the expansion of (foreign) commercial presence. Increased investment in international markets aimed at exploiting producer/firm-specific production efficiency; </w:t>
      </w:r>
    </w:p>
    <w:p w:rsidR="00AF62E6" w:rsidRPr="00DD1B2E" w:rsidRDefault="00AF62E6" w:rsidP="00AF62E6">
      <w:pPr>
        <w:autoSpaceDE w:val="0"/>
        <w:autoSpaceDN w:val="0"/>
        <w:adjustRightInd w:val="0"/>
        <w:spacing w:after="77"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3. </w:t>
      </w:r>
      <w:r w:rsidRPr="00DD1B2E">
        <w:rPr>
          <w:rFonts w:ascii="Times New Roman" w:hAnsi="Times New Roman" w:cs="Times New Roman"/>
          <w:b/>
          <w:bCs/>
          <w:color w:val="000000"/>
          <w:sz w:val="24"/>
          <w:szCs w:val="24"/>
          <w:lang w:val="en-US"/>
        </w:rPr>
        <w:t xml:space="preserve">Type III: </w:t>
      </w:r>
      <w:r w:rsidRPr="00DD1B2E">
        <w:rPr>
          <w:rFonts w:ascii="Times New Roman" w:hAnsi="Times New Roman" w:cs="Times New Roman"/>
          <w:color w:val="000000"/>
          <w:sz w:val="24"/>
          <w:szCs w:val="24"/>
          <w:lang w:val="en-US"/>
        </w:rPr>
        <w:t xml:space="preserve">removal of trade barriers favours locations with higher ‘quality’ production attributes (e.g. innovation, technology, design capacity). Tendency towards production location specialisation and fragmentation of international production resulting in increased cross-border movements of products. Increased investment in high ‘quality’ production locations aimed at exploiting location-specific production effectiveness; </w:t>
      </w:r>
    </w:p>
    <w:p w:rsidR="00AF62E6" w:rsidRPr="00DD1B2E"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DD1B2E">
        <w:rPr>
          <w:rFonts w:ascii="Times New Roman" w:hAnsi="Times New Roman" w:cs="Times New Roman"/>
          <w:color w:val="000000"/>
          <w:sz w:val="24"/>
          <w:szCs w:val="24"/>
          <w:lang w:val="en-US"/>
        </w:rPr>
        <w:t xml:space="preserve">4. </w:t>
      </w:r>
      <w:r w:rsidRPr="00DD1B2E">
        <w:rPr>
          <w:rFonts w:ascii="Times New Roman" w:hAnsi="Times New Roman" w:cs="Times New Roman"/>
          <w:b/>
          <w:bCs/>
          <w:color w:val="000000"/>
          <w:sz w:val="24"/>
          <w:szCs w:val="24"/>
          <w:lang w:val="en-US"/>
        </w:rPr>
        <w:t xml:space="preserve">Type IV: </w:t>
      </w:r>
      <w:r w:rsidRPr="00DD1B2E">
        <w:rPr>
          <w:rFonts w:ascii="Times New Roman" w:hAnsi="Times New Roman" w:cs="Times New Roman"/>
          <w:color w:val="000000"/>
          <w:sz w:val="24"/>
          <w:szCs w:val="24"/>
          <w:lang w:val="en-US"/>
        </w:rPr>
        <w:t xml:space="preserve">removal of trade barriers favours producers/firms with higher ‘quality’ production processes (e.g. innovation, technology, design capacity). Tendency towards firm specialisation and fragmentation of international production and expansion of (foreign) commercial presence. Increased investment in international markets aimed at exploiting production/firm-specific production effectiveness. </w:t>
      </w: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9136A">
        <w:rPr>
          <w:rFonts w:ascii="Times New Roman" w:hAnsi="Times New Roman" w:cs="Times New Roman"/>
          <w:color w:val="000000"/>
          <w:sz w:val="24"/>
          <w:szCs w:val="24"/>
          <w:lang w:val="en-US"/>
        </w:rPr>
        <w:t xml:space="preserve">Using the input from stakeholders, additional interviews with external sector experts and sector experts as part of the study team, we will apply causal chain analysis and the frameworks outlined above to arrive at the impacts on competitiveness of expected changes in trade and trade-related provisions. </w:t>
      </w:r>
    </w:p>
    <w:p w:rsidR="00AF62E6" w:rsidRPr="00B9136A"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9136A">
        <w:rPr>
          <w:rFonts w:ascii="Times New Roman" w:hAnsi="Times New Roman" w:cs="Times New Roman"/>
          <w:i/>
          <w:iCs/>
          <w:color w:val="000000"/>
          <w:sz w:val="24"/>
          <w:szCs w:val="24"/>
          <w:lang w:val="en-US"/>
        </w:rPr>
        <w:t xml:space="preserve">4.3.5 ESSA Step V: Synthesis and policy recommendations </w:t>
      </w:r>
    </w:p>
    <w:p w:rsidR="00AF62E6" w:rsidRPr="00B9136A"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9136A">
        <w:rPr>
          <w:rFonts w:ascii="Times New Roman" w:hAnsi="Times New Roman" w:cs="Times New Roman"/>
          <w:color w:val="000000"/>
          <w:sz w:val="24"/>
          <w:szCs w:val="24"/>
          <w:lang w:val="en-US"/>
        </w:rPr>
        <w:t>In conclusion, there are</w:t>
      </w:r>
      <w:r>
        <w:rPr>
          <w:rFonts w:ascii="Times New Roman" w:hAnsi="Times New Roman" w:cs="Times New Roman"/>
          <w:color w:val="000000"/>
          <w:sz w:val="24"/>
          <w:szCs w:val="24"/>
          <w:lang w:val="en-US"/>
        </w:rPr>
        <w:t xml:space="preserve"> multiple aspects of the TTIP -</w:t>
      </w:r>
      <w:r w:rsidRPr="00B9136A">
        <w:rPr>
          <w:rFonts w:ascii="Times New Roman" w:hAnsi="Times New Roman" w:cs="Times New Roman"/>
          <w:color w:val="000000"/>
          <w:sz w:val="24"/>
          <w:szCs w:val="24"/>
          <w:lang w:val="en-US"/>
        </w:rPr>
        <w:t>with various economic, so</w:t>
      </w:r>
      <w:r>
        <w:rPr>
          <w:rFonts w:ascii="Times New Roman" w:hAnsi="Times New Roman" w:cs="Times New Roman"/>
          <w:color w:val="000000"/>
          <w:sz w:val="24"/>
          <w:szCs w:val="24"/>
          <w:lang w:val="en-US"/>
        </w:rPr>
        <w:t>cial, environmental objectives-</w:t>
      </w:r>
      <w:r w:rsidRPr="00B9136A">
        <w:rPr>
          <w:rFonts w:ascii="Times New Roman" w:hAnsi="Times New Roman" w:cs="Times New Roman"/>
          <w:color w:val="000000"/>
          <w:sz w:val="24"/>
          <w:szCs w:val="24"/>
          <w:lang w:val="en-US"/>
        </w:rPr>
        <w:t xml:space="preserve"> that could impact on competitiveness of EU sectors. This impact could take the form of enhancing / diminishing relative competitive situation of EU vis-à-vis US (or vice versa). But it may well play out between respectively the EU and the US vis-à-vis third countries. </w:t>
      </w:r>
    </w:p>
    <w:p w:rsidR="00AF62E6" w:rsidRPr="00B9136A"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r w:rsidRPr="00B9136A">
        <w:rPr>
          <w:rFonts w:ascii="Times New Roman" w:hAnsi="Times New Roman" w:cs="Times New Roman"/>
          <w:color w:val="000000"/>
          <w:sz w:val="24"/>
          <w:szCs w:val="24"/>
          <w:lang w:val="en-US"/>
        </w:rPr>
        <w:t xml:space="preserve">The ESSA analysis performed in steps 1-4 above provides a solid basis for a broad and comprehensive understanding of the most important issues that could be impacted by TTIP. Since the economic impacts (e.g. on firms or in terms of consumer prices) do not always have to be in line with the social or environmental effects (which could be negative, while economic effects are positive), it is important to provide a synthesis and concluding section on the possible trade-offs involved in removing trade or trade-related barriers in sectors through the TTIP. In this way, policy makers are able to make evidence based decisions, based on identified impacts across all sustainability dimensions. </w:t>
      </w:r>
    </w:p>
    <w:p w:rsidR="00AF62E6" w:rsidRPr="00B9136A" w:rsidRDefault="00AF62E6" w:rsidP="00AF62E6">
      <w:pPr>
        <w:autoSpaceDE w:val="0"/>
        <w:autoSpaceDN w:val="0"/>
        <w:adjustRightInd w:val="0"/>
        <w:spacing w:after="0" w:line="240" w:lineRule="auto"/>
        <w:jc w:val="both"/>
        <w:rPr>
          <w:rFonts w:ascii="Times New Roman" w:hAnsi="Times New Roman" w:cs="Times New Roman"/>
          <w:color w:val="000000"/>
          <w:sz w:val="24"/>
          <w:szCs w:val="24"/>
          <w:lang w:val="en-US"/>
        </w:rPr>
      </w:pPr>
    </w:p>
    <w:p w:rsidR="00AF62E6" w:rsidRPr="00B9136A" w:rsidRDefault="00AF62E6" w:rsidP="00AF62E6">
      <w:pPr>
        <w:autoSpaceDE w:val="0"/>
        <w:autoSpaceDN w:val="0"/>
        <w:adjustRightInd w:val="0"/>
        <w:spacing w:after="0" w:line="240" w:lineRule="auto"/>
        <w:jc w:val="both"/>
        <w:rPr>
          <w:rFonts w:ascii="Times New Roman" w:hAnsi="Times New Roman" w:cs="Times New Roman"/>
          <w:sz w:val="24"/>
          <w:szCs w:val="24"/>
          <w:lang w:val="en-US"/>
        </w:rPr>
      </w:pPr>
      <w:r w:rsidRPr="00B9136A">
        <w:rPr>
          <w:rFonts w:ascii="Times New Roman" w:hAnsi="Times New Roman" w:cs="Times New Roman"/>
          <w:color w:val="000000"/>
          <w:sz w:val="24"/>
          <w:szCs w:val="24"/>
          <w:lang w:val="en-US"/>
        </w:rPr>
        <w:t>It is important to note that the sustainable competitiveness dimension could also be used as a very rough classification of standards potentially included in the TTIP. Policy objectives can also be classified in economic, social and environmental dimensions. From the sector-specific analysis in general and competitiveness analysis in particular, we will draw policy recommendations for the negotiations and if warranted for flanking measures.</w:t>
      </w:r>
    </w:p>
    <w:p w:rsidR="0049263A" w:rsidRPr="00AF62E6" w:rsidRDefault="0049263A" w:rsidP="00AF62E6">
      <w:pPr>
        <w:spacing w:line="240" w:lineRule="auto"/>
        <w:jc w:val="both"/>
        <w:rPr>
          <w:rFonts w:ascii="Times New Roman" w:hAnsi="Times New Roman" w:cs="Times New Roman"/>
          <w:sz w:val="24"/>
          <w:szCs w:val="24"/>
          <w:lang w:val="en-US"/>
        </w:rPr>
      </w:pPr>
    </w:p>
    <w:sectPr w:rsidR="0049263A" w:rsidRPr="00AF62E6" w:rsidSect="00094425">
      <w:pgSz w:w="11906" w:h="16838"/>
      <w:pgMar w:top="1418" w:right="1701" w:bottom="1418"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87045"/>
    <w:multiLevelType w:val="multilevel"/>
    <w:tmpl w:val="A7AAA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E55479"/>
    <w:multiLevelType w:val="multilevel"/>
    <w:tmpl w:val="EE6AF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F8218B"/>
    <w:multiLevelType w:val="multilevel"/>
    <w:tmpl w:val="06041058"/>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Times New Roman" w:eastAsia="Times New Roman"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D5459B9"/>
    <w:multiLevelType w:val="multilevel"/>
    <w:tmpl w:val="C3565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1915F59"/>
    <w:multiLevelType w:val="hybridMultilevel"/>
    <w:tmpl w:val="8496D922"/>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22FA02CC"/>
    <w:multiLevelType w:val="multilevel"/>
    <w:tmpl w:val="0804C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B9358B"/>
    <w:multiLevelType w:val="hybridMultilevel"/>
    <w:tmpl w:val="0DD4E2A0"/>
    <w:lvl w:ilvl="0" w:tplc="25BCEBE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EBE5E45"/>
    <w:multiLevelType w:val="multilevel"/>
    <w:tmpl w:val="AF9EF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4245A3"/>
    <w:multiLevelType w:val="multilevel"/>
    <w:tmpl w:val="831EA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F993098"/>
    <w:multiLevelType w:val="multilevel"/>
    <w:tmpl w:val="E1E25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2DD7E28"/>
    <w:multiLevelType w:val="multilevel"/>
    <w:tmpl w:val="335245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EF8028A"/>
    <w:multiLevelType w:val="multilevel"/>
    <w:tmpl w:val="16041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9BD2B9E"/>
    <w:multiLevelType w:val="multilevel"/>
    <w:tmpl w:val="FEC8F9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51772C6"/>
    <w:multiLevelType w:val="multilevel"/>
    <w:tmpl w:val="BA422D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6A75F1A"/>
    <w:multiLevelType w:val="multilevel"/>
    <w:tmpl w:val="67FCC33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698F6027"/>
    <w:multiLevelType w:val="multilevel"/>
    <w:tmpl w:val="E0408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AAD3A19"/>
    <w:multiLevelType w:val="hybridMultilevel"/>
    <w:tmpl w:val="5BDC8B02"/>
    <w:lvl w:ilvl="0" w:tplc="C45EC2C4">
      <w:start w:val="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6FAD0A03"/>
    <w:multiLevelType w:val="multilevel"/>
    <w:tmpl w:val="A62E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E6F3C3E"/>
    <w:multiLevelType w:val="multilevel"/>
    <w:tmpl w:val="D0F28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4"/>
  </w:num>
  <w:num w:numId="3">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17"/>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16"/>
  </w:num>
  <w:num w:numId="8">
    <w:abstractNumId w:val="10"/>
  </w:num>
  <w:num w:numId="9">
    <w:abstractNumId w:val="3"/>
  </w:num>
  <w:num w:numId="10">
    <w:abstractNumId w:val="2"/>
  </w:num>
  <w:num w:numId="11">
    <w:abstractNumId w:val="13"/>
  </w:num>
  <w:num w:numId="12">
    <w:abstractNumId w:val="18"/>
  </w:num>
  <w:num w:numId="13">
    <w:abstractNumId w:val="0"/>
  </w:num>
  <w:num w:numId="14">
    <w:abstractNumId w:val="12"/>
  </w:num>
  <w:num w:numId="15">
    <w:abstractNumId w:val="8"/>
  </w:num>
  <w:num w:numId="16">
    <w:abstractNumId w:val="5"/>
  </w:num>
  <w:num w:numId="17">
    <w:abstractNumId w:val="1"/>
  </w:num>
  <w:num w:numId="18">
    <w:abstractNumId w:val="11"/>
  </w:num>
  <w:num w:numId="19">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AF62E6"/>
    <w:rsid w:val="00014486"/>
    <w:rsid w:val="00073472"/>
    <w:rsid w:val="00094425"/>
    <w:rsid w:val="001761E3"/>
    <w:rsid w:val="002371A0"/>
    <w:rsid w:val="003E3DA2"/>
    <w:rsid w:val="0049263A"/>
    <w:rsid w:val="00520AA5"/>
    <w:rsid w:val="00567641"/>
    <w:rsid w:val="00AD5FB4"/>
    <w:rsid w:val="00AF62E6"/>
    <w:rsid w:val="00CF55E5"/>
    <w:rsid w:val="00D046BF"/>
    <w:rsid w:val="00D27243"/>
    <w:rsid w:val="00D9664D"/>
    <w:rsid w:val="00EE4D46"/>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62E6"/>
    <w:pPr>
      <w:spacing w:after="200" w:line="276" w:lineRule="auto"/>
    </w:pPr>
  </w:style>
  <w:style w:type="paragraph" w:styleId="Ttulo1">
    <w:name w:val="heading 1"/>
    <w:basedOn w:val="Normal"/>
    <w:next w:val="Normal"/>
    <w:link w:val="Ttulo1Car"/>
    <w:uiPriority w:val="9"/>
    <w:qFormat/>
    <w:rsid w:val="00AF62E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semiHidden/>
    <w:unhideWhenUsed/>
    <w:qFormat/>
    <w:rsid w:val="00AF62E6"/>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ar"/>
    <w:uiPriority w:val="9"/>
    <w:unhideWhenUsed/>
    <w:qFormat/>
    <w:rsid w:val="00AF62E6"/>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link w:val="Ttulo4Car"/>
    <w:uiPriority w:val="9"/>
    <w:qFormat/>
    <w:rsid w:val="00AF62E6"/>
    <w:pPr>
      <w:spacing w:before="100" w:beforeAutospacing="1" w:after="100" w:afterAutospacing="1" w:line="240" w:lineRule="auto"/>
      <w:outlineLvl w:val="3"/>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F62E6"/>
    <w:rPr>
      <w:rFonts w:asciiTheme="majorHAnsi" w:eastAsiaTheme="majorEastAsia" w:hAnsiTheme="majorHAnsi" w:cstheme="majorBidi"/>
      <w:b/>
      <w:bCs/>
      <w:color w:val="2E74B5" w:themeColor="accent1" w:themeShade="BF"/>
      <w:sz w:val="28"/>
      <w:szCs w:val="28"/>
    </w:rPr>
  </w:style>
  <w:style w:type="character" w:customStyle="1" w:styleId="Ttulo2Car">
    <w:name w:val="Título 2 Car"/>
    <w:basedOn w:val="Fuentedeprrafopredeter"/>
    <w:link w:val="Ttulo2"/>
    <w:uiPriority w:val="9"/>
    <w:semiHidden/>
    <w:rsid w:val="00AF62E6"/>
    <w:rPr>
      <w:rFonts w:asciiTheme="majorHAnsi" w:eastAsiaTheme="majorEastAsia" w:hAnsiTheme="majorHAnsi" w:cstheme="majorBidi"/>
      <w:b/>
      <w:bCs/>
      <w:color w:val="5B9BD5" w:themeColor="accent1"/>
      <w:sz w:val="26"/>
      <w:szCs w:val="26"/>
    </w:rPr>
  </w:style>
  <w:style w:type="character" w:customStyle="1" w:styleId="Ttulo3Car">
    <w:name w:val="Título 3 Car"/>
    <w:basedOn w:val="Fuentedeprrafopredeter"/>
    <w:link w:val="Ttulo3"/>
    <w:uiPriority w:val="9"/>
    <w:rsid w:val="00AF62E6"/>
    <w:rPr>
      <w:rFonts w:asciiTheme="majorHAnsi" w:eastAsiaTheme="majorEastAsia" w:hAnsiTheme="majorHAnsi" w:cstheme="majorBidi"/>
      <w:b/>
      <w:bCs/>
      <w:color w:val="5B9BD5" w:themeColor="accent1"/>
    </w:rPr>
  </w:style>
  <w:style w:type="character" w:customStyle="1" w:styleId="Ttulo4Car">
    <w:name w:val="Título 4 Car"/>
    <w:basedOn w:val="Fuentedeprrafopredeter"/>
    <w:link w:val="Ttulo4"/>
    <w:uiPriority w:val="9"/>
    <w:rsid w:val="00AF62E6"/>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AF62E6"/>
    <w:pPr>
      <w:ind w:left="720"/>
      <w:contextualSpacing/>
    </w:pPr>
  </w:style>
  <w:style w:type="character" w:styleId="Hipervnculo">
    <w:name w:val="Hyperlink"/>
    <w:basedOn w:val="Fuentedeprrafopredeter"/>
    <w:uiPriority w:val="99"/>
    <w:unhideWhenUsed/>
    <w:rsid w:val="00AF62E6"/>
    <w:rPr>
      <w:color w:val="0563C1" w:themeColor="hyperlink"/>
      <w:u w:val="single"/>
    </w:rPr>
  </w:style>
  <w:style w:type="paragraph" w:styleId="Textodeglobo">
    <w:name w:val="Balloon Text"/>
    <w:basedOn w:val="Normal"/>
    <w:link w:val="TextodegloboCar"/>
    <w:uiPriority w:val="99"/>
    <w:semiHidden/>
    <w:unhideWhenUsed/>
    <w:rsid w:val="00AF62E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F62E6"/>
    <w:rPr>
      <w:rFonts w:ascii="Tahoma" w:hAnsi="Tahoma" w:cs="Tahoma"/>
      <w:sz w:val="16"/>
      <w:szCs w:val="16"/>
    </w:rPr>
  </w:style>
  <w:style w:type="character" w:styleId="Textoennegrita">
    <w:name w:val="Strong"/>
    <w:basedOn w:val="Fuentedeprrafopredeter"/>
    <w:uiPriority w:val="22"/>
    <w:qFormat/>
    <w:rsid w:val="00AF62E6"/>
    <w:rPr>
      <w:b w:val="0"/>
      <w:bCs w:val="0"/>
      <w:i w:val="0"/>
      <w:iCs w:val="0"/>
    </w:rPr>
  </w:style>
  <w:style w:type="paragraph" w:customStyle="1" w:styleId="mce">
    <w:name w:val="mce"/>
    <w:basedOn w:val="Normal"/>
    <w:rsid w:val="00AF62E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AF62E6"/>
  </w:style>
  <w:style w:type="character" w:customStyle="1" w:styleId="autor11">
    <w:name w:val="autor11"/>
    <w:basedOn w:val="Fuentedeprrafopredeter"/>
    <w:rsid w:val="00AF62E6"/>
  </w:style>
  <w:style w:type="character" w:customStyle="1" w:styleId="data8">
    <w:name w:val="data8"/>
    <w:basedOn w:val="Fuentedeprrafopredeter"/>
    <w:rsid w:val="00AF62E6"/>
  </w:style>
  <w:style w:type="character" w:styleId="nfasis">
    <w:name w:val="Emphasis"/>
    <w:basedOn w:val="Fuentedeprrafopredeter"/>
    <w:uiPriority w:val="20"/>
    <w:qFormat/>
    <w:rsid w:val="00AF62E6"/>
    <w:rPr>
      <w:i/>
      <w:iCs/>
    </w:rPr>
  </w:style>
  <w:style w:type="paragraph" w:styleId="NormalWeb">
    <w:name w:val="Normal (Web)"/>
    <w:basedOn w:val="Normal"/>
    <w:uiPriority w:val="99"/>
    <w:unhideWhenUsed/>
    <w:rsid w:val="00AF62E6"/>
    <w:pPr>
      <w:spacing w:after="0" w:line="240" w:lineRule="auto"/>
    </w:pPr>
    <w:rPr>
      <w:rFonts w:ascii="Times New Roman" w:eastAsia="Times New Roman" w:hAnsi="Times New Roman" w:cs="Times New Roman"/>
      <w:sz w:val="24"/>
      <w:szCs w:val="24"/>
      <w:lang w:eastAsia="es-ES"/>
    </w:rPr>
  </w:style>
  <w:style w:type="paragraph" w:customStyle="1" w:styleId="autor">
    <w:name w:val="autor"/>
    <w:basedOn w:val="Normal"/>
    <w:rsid w:val="00AF62E6"/>
    <w:pPr>
      <w:spacing w:after="0" w:line="240" w:lineRule="auto"/>
    </w:pPr>
    <w:rPr>
      <w:rFonts w:ascii="Times New Roman" w:eastAsia="Times New Roman" w:hAnsi="Times New Roman" w:cs="Times New Roman"/>
      <w:sz w:val="24"/>
      <w:szCs w:val="24"/>
      <w:lang w:eastAsia="es-ES"/>
    </w:rPr>
  </w:style>
  <w:style w:type="paragraph" w:customStyle="1" w:styleId="textogrande2">
    <w:name w:val="texto_grande2"/>
    <w:basedOn w:val="Normal"/>
    <w:rsid w:val="00AF62E6"/>
    <w:pPr>
      <w:spacing w:after="0" w:line="420" w:lineRule="atLeast"/>
      <w:jc w:val="right"/>
    </w:pPr>
    <w:rPr>
      <w:rFonts w:ascii="Georgia" w:eastAsia="Times New Roman" w:hAnsi="Georgia" w:cs="Times New Roman"/>
      <w:spacing w:val="-15"/>
      <w:sz w:val="30"/>
      <w:szCs w:val="30"/>
      <w:lang w:eastAsia="es-ES"/>
    </w:rPr>
  </w:style>
  <w:style w:type="paragraph" w:customStyle="1" w:styleId="notapie">
    <w:name w:val="nota_pie"/>
    <w:basedOn w:val="Normal"/>
    <w:rsid w:val="00AF62E6"/>
    <w:pPr>
      <w:spacing w:after="0" w:line="240" w:lineRule="auto"/>
    </w:pPr>
    <w:rPr>
      <w:rFonts w:ascii="Times New Roman" w:eastAsia="Times New Roman" w:hAnsi="Times New Roman" w:cs="Times New Roman"/>
      <w:sz w:val="24"/>
      <w:szCs w:val="24"/>
      <w:lang w:eastAsia="es-ES"/>
    </w:rPr>
  </w:style>
  <w:style w:type="paragraph" w:customStyle="1" w:styleId="textogrande3">
    <w:name w:val="texto_grande3"/>
    <w:basedOn w:val="Normal"/>
    <w:rsid w:val="00AF62E6"/>
    <w:pPr>
      <w:pBdr>
        <w:top w:val="single" w:sz="6" w:space="8" w:color="DDDDDD"/>
        <w:bottom w:val="single" w:sz="6" w:space="8" w:color="DDDDDD"/>
      </w:pBdr>
      <w:spacing w:after="300" w:line="420" w:lineRule="atLeast"/>
    </w:pPr>
    <w:rPr>
      <w:rFonts w:ascii="Georgia" w:eastAsia="Times New Roman" w:hAnsi="Georgia" w:cs="Times New Roman"/>
      <w:spacing w:val="-15"/>
      <w:sz w:val="30"/>
      <w:szCs w:val="30"/>
      <w:lang w:eastAsia="es-ES"/>
    </w:rPr>
  </w:style>
  <w:style w:type="paragraph" w:customStyle="1" w:styleId="textogrande4">
    <w:name w:val="texto_grande4"/>
    <w:basedOn w:val="Normal"/>
    <w:rsid w:val="00AF62E6"/>
    <w:pPr>
      <w:spacing w:after="0" w:line="420" w:lineRule="atLeast"/>
    </w:pPr>
    <w:rPr>
      <w:rFonts w:ascii="Georgia" w:eastAsia="Times New Roman" w:hAnsi="Georgia" w:cs="Times New Roman"/>
      <w:spacing w:val="-15"/>
      <w:sz w:val="30"/>
      <w:szCs w:val="30"/>
      <w:lang w:eastAsia="es-ES"/>
    </w:rPr>
  </w:style>
  <w:style w:type="character" w:customStyle="1" w:styleId="sinenlace18">
    <w:name w:val="sin_enlace18"/>
    <w:basedOn w:val="Fuentedeprrafopredeter"/>
    <w:rsid w:val="00AF62E6"/>
  </w:style>
  <w:style w:type="character" w:customStyle="1" w:styleId="sinenlace17">
    <w:name w:val="sin_enlace17"/>
    <w:basedOn w:val="Fuentedeprrafopredeter"/>
    <w:rsid w:val="00AF62E6"/>
  </w:style>
  <w:style w:type="paragraph" w:customStyle="1" w:styleId="Default">
    <w:name w:val="Default"/>
    <w:rsid w:val="00AF62E6"/>
    <w:pPr>
      <w:autoSpaceDE w:val="0"/>
      <w:autoSpaceDN w:val="0"/>
      <w:adjustRightInd w:val="0"/>
      <w:spacing w:after="0" w:line="240" w:lineRule="auto"/>
    </w:pPr>
    <w:rPr>
      <w:rFonts w:ascii="Verdana" w:hAnsi="Verdana" w:cs="Verdana"/>
      <w:color w:val="000000"/>
      <w:sz w:val="24"/>
      <w:szCs w:val="24"/>
    </w:rPr>
  </w:style>
  <w:style w:type="paragraph" w:styleId="DireccinHTML">
    <w:name w:val="HTML Address"/>
    <w:basedOn w:val="Normal"/>
    <w:link w:val="DireccinHTMLCar"/>
    <w:uiPriority w:val="99"/>
    <w:unhideWhenUsed/>
    <w:rsid w:val="00AF62E6"/>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rsid w:val="00AF62E6"/>
    <w:rPr>
      <w:rFonts w:ascii="Times New Roman" w:eastAsia="Times New Roman" w:hAnsi="Times New Roman" w:cs="Times New Roman"/>
      <w:sz w:val="24"/>
      <w:szCs w:val="24"/>
      <w:lang w:eastAsia="es-ES"/>
    </w:rPr>
  </w:style>
  <w:style w:type="character" w:customStyle="1" w:styleId="fecha">
    <w:name w:val="fecha"/>
    <w:basedOn w:val="Fuentedeprrafopredeter"/>
    <w:rsid w:val="00AF62E6"/>
  </w:style>
  <w:style w:type="character" w:customStyle="1" w:styleId="hora2">
    <w:name w:val="hora2"/>
    <w:basedOn w:val="Fuentedeprrafopredeter"/>
    <w:rsid w:val="00AF62E6"/>
  </w:style>
  <w:style w:type="character" w:customStyle="1" w:styleId="in-widget">
    <w:name w:val="in-widget"/>
    <w:basedOn w:val="Fuentedeprrafopredeter"/>
    <w:rsid w:val="00AF62E6"/>
  </w:style>
  <w:style w:type="character" w:customStyle="1" w:styleId="img-author">
    <w:name w:val="img-author"/>
    <w:basedOn w:val="Fuentedeprrafopredeter"/>
    <w:rsid w:val="00AF62E6"/>
  </w:style>
  <w:style w:type="character" w:customStyle="1" w:styleId="drop-capinner">
    <w:name w:val="drop-cap__inner"/>
    <w:basedOn w:val="Fuentedeprrafopredeter"/>
    <w:rsid w:val="00AF62E6"/>
  </w:style>
  <w:style w:type="character" w:customStyle="1" w:styleId="bullet">
    <w:name w:val="bullet"/>
    <w:basedOn w:val="Fuentedeprrafopredeter"/>
    <w:rsid w:val="00AF62E6"/>
  </w:style>
  <w:style w:type="paragraph" w:customStyle="1" w:styleId="byauth">
    <w:name w:val="byauth"/>
    <w:basedOn w:val="Normal"/>
    <w:rsid w:val="00AF62E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estacado1">
    <w:name w:val="destacado1"/>
    <w:basedOn w:val="Fuentedeprrafopredeter"/>
    <w:rsid w:val="00AF62E6"/>
    <w:rPr>
      <w:rFonts w:ascii="Georgia" w:hAnsi="Georgia" w:hint="default"/>
      <w:color w:val="000000"/>
      <w:sz w:val="33"/>
      <w:szCs w:val="33"/>
      <w:bdr w:val="none" w:sz="0" w:space="0" w:color="auto" w:frame="1"/>
      <w:vertAlign w:val="baseline"/>
    </w:rPr>
  </w:style>
  <w:style w:type="character" w:customStyle="1" w:styleId="time1">
    <w:name w:val="time1"/>
    <w:basedOn w:val="Fuentedeprrafopredeter"/>
    <w:rsid w:val="00AF62E6"/>
    <w:rPr>
      <w:shd w:val="clear" w:color="auto" w:fill="FFFFFF"/>
    </w:rPr>
  </w:style>
  <w:style w:type="character" w:customStyle="1" w:styleId="folder1">
    <w:name w:val="folder1"/>
    <w:basedOn w:val="Fuentedeprrafopredeter"/>
    <w:rsid w:val="00AF62E6"/>
    <w:rPr>
      <w:shd w:val="clear" w:color="auto" w:fill="FFFFFF"/>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hyperlink" Target="http://www.rosalux.de" TargetMode="External"/><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7" Type="http://schemas.openxmlformats.org/officeDocument/2006/relationships/image" Target="media/image3.png"/><Relationship Id="rId71" Type="http://schemas.openxmlformats.org/officeDocument/2006/relationships/image" Target="media/image66.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56.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81</Pages>
  <Words>20185</Words>
  <Characters>115061</Characters>
  <Application>Microsoft Office Word</Application>
  <DocSecurity>0</DocSecurity>
  <Lines>958</Lines>
  <Paragraphs>269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Santiago</cp:lastModifiedBy>
  <cp:revision>3</cp:revision>
  <dcterms:created xsi:type="dcterms:W3CDTF">2015-03-19T10:43:00Z</dcterms:created>
  <dcterms:modified xsi:type="dcterms:W3CDTF">2015-04-09T13:16:00Z</dcterms:modified>
</cp:coreProperties>
</file>