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69F7" w:rsidRDefault="003969F7" w:rsidP="003969F7">
      <w:pPr>
        <w:jc w:val="both"/>
        <w:rPr>
          <w:rFonts w:ascii="Times New Roman" w:hAnsi="Times New Roman" w:cs="Times New Roman"/>
          <w:b/>
          <w:sz w:val="24"/>
          <w:szCs w:val="24"/>
        </w:rPr>
      </w:pPr>
      <w:bookmarkStart w:id="0" w:name="_GoBack"/>
      <w:bookmarkEnd w:id="0"/>
      <w:r w:rsidRPr="00685FE7">
        <w:rPr>
          <w:rFonts w:ascii="Times New Roman" w:hAnsi="Times New Roman" w:cs="Times New Roman"/>
          <w:b/>
          <w:sz w:val="24"/>
          <w:szCs w:val="24"/>
        </w:rPr>
        <w:t>Paper -</w:t>
      </w:r>
      <w:r>
        <w:rPr>
          <w:rFonts w:ascii="Times New Roman" w:hAnsi="Times New Roman" w:cs="Times New Roman"/>
          <w:sz w:val="24"/>
          <w:szCs w:val="24"/>
        </w:rPr>
        <w:t xml:space="preserve"> A</w:t>
      </w:r>
      <w:r w:rsidRPr="008F0564">
        <w:rPr>
          <w:rFonts w:ascii="Times New Roman" w:hAnsi="Times New Roman" w:cs="Times New Roman"/>
          <w:b/>
          <w:sz w:val="24"/>
          <w:szCs w:val="24"/>
        </w:rPr>
        <w:t>n</w:t>
      </w:r>
      <w:r>
        <w:rPr>
          <w:rFonts w:ascii="Times New Roman" w:hAnsi="Times New Roman" w:cs="Times New Roman"/>
          <w:b/>
          <w:sz w:val="24"/>
          <w:szCs w:val="24"/>
        </w:rPr>
        <w:t>álisis económico (y algo más) sobre</w:t>
      </w:r>
      <w:r w:rsidRPr="008F0564">
        <w:rPr>
          <w:rFonts w:ascii="Times New Roman" w:hAnsi="Times New Roman" w:cs="Times New Roman"/>
          <w:b/>
          <w:sz w:val="24"/>
          <w:szCs w:val="24"/>
        </w:rPr>
        <w:t xml:space="preserve"> la conveniencia de incorporar a Rusia y</w:t>
      </w:r>
      <w:r>
        <w:rPr>
          <w:rFonts w:ascii="Times New Roman" w:hAnsi="Times New Roman" w:cs="Times New Roman"/>
          <w:b/>
          <w:sz w:val="24"/>
          <w:szCs w:val="24"/>
        </w:rPr>
        <w:t xml:space="preserve"> Turquía a la Unión Europea (un </w:t>
      </w:r>
      <w:r w:rsidRPr="008F0564">
        <w:rPr>
          <w:rFonts w:ascii="Times New Roman" w:hAnsi="Times New Roman" w:cs="Times New Roman"/>
          <w:b/>
          <w:sz w:val="24"/>
          <w:szCs w:val="24"/>
        </w:rPr>
        <w:t>planteo políticamente incorrecto)</w:t>
      </w:r>
      <w:r>
        <w:rPr>
          <w:rFonts w:ascii="Times New Roman" w:hAnsi="Times New Roman" w:cs="Times New Roman"/>
          <w:b/>
          <w:sz w:val="24"/>
          <w:szCs w:val="24"/>
        </w:rPr>
        <w:t xml:space="preserve"> Parte II</w:t>
      </w:r>
    </w:p>
    <w:p w:rsidR="003969F7" w:rsidRDefault="003969F7" w:rsidP="003969F7">
      <w:pPr>
        <w:jc w:val="both"/>
        <w:rPr>
          <w:rFonts w:ascii="Times New Roman" w:hAnsi="Times New Roman" w:cs="Times New Roman"/>
          <w:b/>
          <w:sz w:val="24"/>
          <w:szCs w:val="24"/>
        </w:rPr>
      </w:pPr>
      <w:r>
        <w:rPr>
          <w:rFonts w:ascii="Arial" w:hAnsi="Arial" w:cs="Arial"/>
          <w:noProof/>
          <w:color w:val="000000"/>
          <w:sz w:val="15"/>
          <w:szCs w:val="15"/>
          <w:lang w:eastAsia="es-ES"/>
        </w:rPr>
        <w:drawing>
          <wp:inline distT="0" distB="0" distL="0" distR="0" wp14:anchorId="3F8E7CB0" wp14:editId="585242C7">
            <wp:extent cx="5397303" cy="3238500"/>
            <wp:effectExtent l="0" t="0" r="0" b="0"/>
            <wp:docPr id="39" name="Imagen 39" descr="http://s.libertaddigital.com/fotos/noticias/650/0/bce-congelado-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650/0/bce-congelado-0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3240142"/>
                    </a:xfrm>
                    <a:prstGeom prst="rect">
                      <a:avLst/>
                    </a:prstGeom>
                    <a:noFill/>
                    <a:ln>
                      <a:noFill/>
                    </a:ln>
                  </pic:spPr>
                </pic:pic>
              </a:graphicData>
            </a:graphic>
          </wp:inline>
        </w:drawing>
      </w:r>
    </w:p>
    <w:p w:rsidR="003969F7" w:rsidRDefault="003969F7" w:rsidP="003969F7">
      <w:pPr>
        <w:pStyle w:val="NormalWeb"/>
        <w:jc w:val="both"/>
        <w:rPr>
          <w:b/>
          <w:iCs/>
        </w:rPr>
      </w:pPr>
      <w:r>
        <w:rPr>
          <w:b/>
          <w:iCs/>
        </w:rPr>
        <w:t>Parte II - Turquía: lo bueno, lo malo y lo feo</w:t>
      </w:r>
    </w:p>
    <w:p w:rsidR="003969F7" w:rsidRDefault="003969F7" w:rsidP="003969F7">
      <w:pPr>
        <w:pStyle w:val="NormalWeb"/>
        <w:jc w:val="both"/>
        <w:rPr>
          <w:b/>
          <w:iCs/>
        </w:rPr>
      </w:pPr>
      <w:r w:rsidRPr="00AE1351">
        <w:rPr>
          <w:b/>
          <w:iCs/>
        </w:rPr>
        <w:t xml:space="preserve">- </w:t>
      </w:r>
      <w:r>
        <w:rPr>
          <w:b/>
          <w:iCs/>
        </w:rPr>
        <w:t>Turquía: l</w:t>
      </w:r>
      <w:r w:rsidRPr="00AE1351">
        <w:rPr>
          <w:b/>
          <w:iCs/>
        </w:rPr>
        <w:t>uces y sombras (un recorrido por la hemeroteca reciente</w:t>
      </w:r>
      <w:r>
        <w:rPr>
          <w:b/>
          <w:iCs/>
        </w:rPr>
        <w:t>, 2013-2014</w:t>
      </w:r>
      <w:r w:rsidRPr="00AE1351">
        <w:rPr>
          <w:b/>
          <w:iCs/>
        </w:rPr>
        <w:t>)</w:t>
      </w:r>
    </w:p>
    <w:p w:rsidR="003969F7" w:rsidRDefault="003969F7" w:rsidP="003969F7">
      <w:pPr>
        <w:spacing w:line="240" w:lineRule="auto"/>
        <w:jc w:val="both"/>
        <w:rPr>
          <w:rFonts w:ascii="Times New Roman" w:hAnsi="Times New Roman"/>
          <w:sz w:val="24"/>
          <w:szCs w:val="24"/>
        </w:rPr>
      </w:pPr>
      <w:r>
        <w:rPr>
          <w:rFonts w:ascii="Times New Roman" w:hAnsi="Times New Roman"/>
          <w:i/>
          <w:sz w:val="24"/>
          <w:szCs w:val="24"/>
        </w:rPr>
        <w:t>“</w:t>
      </w:r>
      <w:r w:rsidRPr="00C13E9D">
        <w:rPr>
          <w:rFonts w:ascii="Times New Roman" w:hAnsi="Times New Roman"/>
          <w:i/>
          <w:sz w:val="24"/>
          <w:szCs w:val="24"/>
        </w:rPr>
        <w:t>Las ocho economías de mercado de crecimiento -los BRIC más Corea del Sur, Indonesia, México y Turquía- generaron cerca de 3 billones de dólares en 2011, más que el Reino Unido en un año. El tamaño combinado de estas economías hoy es aproximadamente el de la economía de Estados Unidos, con una producción anual total que llega a los 15-16 billones de dólares, o alrededor del 25% del PBI global. A menos que sus tasas de crecimiento se desaceleren marcadamente, su aporte a la producción mundial aumentará drásticamente, y el crecimiento global será más sólido de lo que podrían apreciar los analistas occidentales preocupados. Si las “ocho economías de crecimiento” se expandieran un 10% en promedio en términos de dólares estadounidenses, sumarían 1,5 billones de dólares al PBI global el año próximo… Más allá de China, el resto de los países del bloque BRIC -Brasil, Rusia e India- enfrentan desafíos que los responsables de las políticas en cada uno de ellos deben abordar para fomentar un crecimiento más fuerte. Pero están sucediendo muchas cosas apasionantes en otras partes, como Indonesia, Filipinas, Bangladesh, Nigeria y México -que forman parte de lo que yo llamo los “Próximos 11”. Corea del Sur y Turquía, que siguen creciendo razonablemente bien, aunque no con la velocidad de los demás, son otros dos miembros importantes de este grupo</w:t>
      </w:r>
      <w:r>
        <w:rPr>
          <w:rFonts w:ascii="Times New Roman" w:hAnsi="Times New Roman"/>
          <w:i/>
          <w:sz w:val="24"/>
          <w:szCs w:val="24"/>
        </w:rPr>
        <w:t>”</w:t>
      </w:r>
      <w:r w:rsidRPr="00C13E9D">
        <w:rPr>
          <w:rFonts w:ascii="Times New Roman" w:hAnsi="Times New Roman"/>
          <w:i/>
          <w:sz w:val="24"/>
          <w:szCs w:val="24"/>
        </w:rPr>
        <w:t>…</w:t>
      </w:r>
      <w:r>
        <w:rPr>
          <w:rFonts w:ascii="Times New Roman" w:hAnsi="Times New Roman"/>
          <w:i/>
          <w:sz w:val="24"/>
          <w:szCs w:val="24"/>
        </w:rPr>
        <w:t xml:space="preserve"> </w:t>
      </w:r>
      <w:r w:rsidRPr="009102D4">
        <w:rPr>
          <w:rFonts w:ascii="Times New Roman" w:hAnsi="Times New Roman"/>
          <w:sz w:val="24"/>
          <w:szCs w:val="24"/>
          <w:u w:val="single"/>
        </w:rPr>
        <w:t>Mundo emergente en ascenso</w:t>
      </w:r>
      <w:r w:rsidRPr="009102D4">
        <w:rPr>
          <w:rFonts w:ascii="Times New Roman" w:hAnsi="Times New Roman"/>
          <w:sz w:val="24"/>
          <w:szCs w:val="24"/>
        </w:rPr>
        <w:t xml:space="preserve"> (</w:t>
      </w:r>
      <w:r w:rsidRPr="00CF59B3">
        <w:rPr>
          <w:rFonts w:ascii="Times New Roman" w:hAnsi="Times New Roman"/>
          <w:sz w:val="24"/>
          <w:szCs w:val="24"/>
        </w:rPr>
        <w:t>Jim O'Neill</w:t>
      </w:r>
      <w:r w:rsidRPr="009102D4">
        <w:rPr>
          <w:rFonts w:ascii="Times New Roman" w:hAnsi="Times New Roman"/>
          <w:sz w:val="24"/>
          <w:szCs w:val="24"/>
        </w:rPr>
        <w:t xml:space="preserve"> </w:t>
      </w:r>
      <w:r>
        <w:rPr>
          <w:rFonts w:ascii="Times New Roman" w:hAnsi="Times New Roman"/>
          <w:sz w:val="24"/>
          <w:szCs w:val="24"/>
        </w:rPr>
        <w:t xml:space="preserve"> -</w:t>
      </w:r>
      <w:r w:rsidRPr="009102D4">
        <w:rPr>
          <w:rFonts w:ascii="Times New Roman" w:hAnsi="Times New Roman"/>
          <w:sz w:val="24"/>
          <w:szCs w:val="24"/>
        </w:rPr>
        <w:t xml:space="preserve">Project Syndicate - </w:t>
      </w:r>
      <w:r w:rsidRPr="009102D4">
        <w:rPr>
          <w:rFonts w:ascii="Times New Roman" w:hAnsi="Times New Roman"/>
          <w:b/>
          <w:sz w:val="24"/>
          <w:szCs w:val="24"/>
        </w:rPr>
        <w:t>31/12/12</w:t>
      </w:r>
      <w:r w:rsidRPr="009102D4">
        <w:rPr>
          <w:rFonts w:ascii="Times New Roman" w:hAnsi="Times New Roman"/>
          <w:sz w:val="24"/>
          <w:szCs w:val="24"/>
        </w:rPr>
        <w:t>)</w:t>
      </w:r>
    </w:p>
    <w:p w:rsidR="003969F7" w:rsidRDefault="003969F7" w:rsidP="003969F7">
      <w:pPr>
        <w:spacing w:after="0" w:line="240" w:lineRule="auto"/>
        <w:jc w:val="both"/>
        <w:rPr>
          <w:rFonts w:ascii="Times New Roman" w:hAnsi="Times New Roman" w:cs="Times New Roman"/>
          <w:sz w:val="24"/>
          <w:szCs w:val="24"/>
        </w:rPr>
      </w:pPr>
      <w:r w:rsidRPr="00C13E9D">
        <w:rPr>
          <w:rFonts w:ascii="Times New Roman" w:eastAsia="Times New Roman" w:hAnsi="Times New Roman" w:cs="Times New Roman"/>
          <w:i/>
          <w:sz w:val="24"/>
          <w:szCs w:val="24"/>
          <w:lang w:eastAsia="es-ES"/>
        </w:rPr>
        <w:t>“El banco de inversiones JP Morgan recomendó el aumento de las inversiones en bolsa durante este año en Filipinas, Tailandia, India, Turquía y México por el potencial de sus economías, indicó hoy la prensa filipina”…</w:t>
      </w:r>
      <w:r>
        <w:rPr>
          <w:rFonts w:ascii="Times New Roman" w:eastAsia="Times New Roman" w:hAnsi="Times New Roman" w:cs="Times New Roman"/>
          <w:i/>
          <w:sz w:val="24"/>
          <w:szCs w:val="24"/>
          <w:lang w:eastAsia="es-ES"/>
        </w:rPr>
        <w:t xml:space="preserve"> </w:t>
      </w:r>
      <w:r w:rsidRPr="00321D8A">
        <w:rPr>
          <w:rFonts w:ascii="Times New Roman" w:hAnsi="Times New Roman" w:cs="Times New Roman"/>
          <w:sz w:val="24"/>
          <w:szCs w:val="24"/>
          <w:u w:val="single"/>
        </w:rPr>
        <w:t>JP Morgan recomienda las inversiones en Filipinas, Tailandia y México</w:t>
      </w:r>
      <w:r>
        <w:rPr>
          <w:rFonts w:ascii="Times New Roman" w:hAnsi="Times New Roman" w:cs="Times New Roman"/>
          <w:sz w:val="24"/>
          <w:szCs w:val="24"/>
        </w:rPr>
        <w:t xml:space="preserve"> (El Economista - </w:t>
      </w:r>
      <w:r w:rsidRPr="00321D8A">
        <w:rPr>
          <w:rFonts w:ascii="Times New Roman" w:hAnsi="Times New Roman" w:cs="Times New Roman"/>
          <w:b/>
          <w:sz w:val="24"/>
          <w:szCs w:val="24"/>
        </w:rPr>
        <w:t>2/2/13</w:t>
      </w:r>
      <w:r>
        <w:rPr>
          <w:rFonts w:ascii="Times New Roman" w:hAnsi="Times New Roman" w:cs="Times New Roman"/>
          <w:sz w:val="24"/>
          <w:szCs w:val="24"/>
        </w:rPr>
        <w:t>)</w:t>
      </w:r>
    </w:p>
    <w:p w:rsidR="003969F7" w:rsidRPr="00321D8A" w:rsidRDefault="003969F7" w:rsidP="003969F7">
      <w:pPr>
        <w:spacing w:after="0" w:line="240" w:lineRule="auto"/>
        <w:jc w:val="both"/>
        <w:rPr>
          <w:rFonts w:ascii="Times New Roman" w:eastAsia="Times New Roman" w:hAnsi="Times New Roman" w:cs="Times New Roman"/>
          <w:iCs/>
          <w:sz w:val="24"/>
          <w:szCs w:val="24"/>
          <w:lang w:eastAsia="es-ES"/>
        </w:rPr>
      </w:pPr>
    </w:p>
    <w:p w:rsidR="003969F7" w:rsidRDefault="003969F7" w:rsidP="003969F7">
      <w:pPr>
        <w:spacing w:line="240" w:lineRule="auto"/>
        <w:jc w:val="both"/>
        <w:rPr>
          <w:rFonts w:ascii="Times New Roman" w:hAnsi="Times New Roman"/>
          <w:sz w:val="24"/>
          <w:szCs w:val="24"/>
        </w:rPr>
      </w:pPr>
      <w:r>
        <w:rPr>
          <w:rFonts w:ascii="Times New Roman" w:hAnsi="Times New Roman"/>
          <w:i/>
          <w:sz w:val="24"/>
          <w:szCs w:val="24"/>
        </w:rPr>
        <w:lastRenderedPageBreak/>
        <w:t>“</w:t>
      </w:r>
      <w:r w:rsidRPr="00C13E9D">
        <w:rPr>
          <w:rFonts w:ascii="Times New Roman" w:hAnsi="Times New Roman"/>
          <w:i/>
          <w:sz w:val="24"/>
          <w:szCs w:val="24"/>
        </w:rPr>
        <w:t>En las últimas cuatro semanas, viajé a Sofía, Kuala Lumpur, Dubái, Londres, Milán, Fráncfort, Berlín, París, Pekín, Tokio, Estambul y por todo Estados Unidos. Así, nunca me sentí demasiado lejos de la infinidad de desafíos que enfrenta la economía mundial... Luego está el Oriente Medio, que se mantiene como un arco de inestabilidad desde Magreb hasta Pakistán. Turquía -con una población joven, gran potencial de crecimiento y un dinámico sector privado- busca convertirse en una importante potencia regional. Pero enfrenta muchos desafíos propios. La propuesta turca para unirse a la Unión Europea está actualmente estancada, al tiempo que la recesión en la zona del euro desalienta su crecimiento. Su déficit de cuenta corriente aún es grande y su política monetaria ha sido confusa, ya que el objetivo de impulsar la competitividad y el crecimiento entra en conflicto con la necesidad de controlar la inflación y evitar una excesiva expansión del crédito. Además, si bien han aumentado las probabilidades de un acercamiento con Israel, Turquía enfrenta graves tensiones con Siria e Irán, y el partido Islámico en el poder aún debe demostrar que puede coexistir con la tradición política secular del país</w:t>
      </w:r>
      <w:r>
        <w:rPr>
          <w:rFonts w:ascii="Times New Roman" w:hAnsi="Times New Roman"/>
          <w:i/>
          <w:sz w:val="24"/>
          <w:szCs w:val="24"/>
        </w:rPr>
        <w:t>”</w:t>
      </w:r>
      <w:r w:rsidRPr="00C13E9D">
        <w:rPr>
          <w:rFonts w:ascii="Times New Roman" w:hAnsi="Times New Roman"/>
          <w:i/>
          <w:sz w:val="24"/>
          <w:szCs w:val="24"/>
        </w:rPr>
        <w:t>…</w:t>
      </w:r>
      <w:r>
        <w:rPr>
          <w:rFonts w:ascii="Times New Roman" w:hAnsi="Times New Roman"/>
          <w:i/>
          <w:sz w:val="24"/>
          <w:szCs w:val="24"/>
        </w:rPr>
        <w:t xml:space="preserve"> </w:t>
      </w:r>
      <w:r w:rsidRPr="00426066">
        <w:rPr>
          <w:rFonts w:ascii="Times New Roman" w:hAnsi="Times New Roman"/>
          <w:sz w:val="24"/>
          <w:szCs w:val="24"/>
          <w:u w:val="single"/>
        </w:rPr>
        <w:t>La economía mundial al vuelo</w:t>
      </w:r>
      <w:r>
        <w:rPr>
          <w:rFonts w:ascii="Times New Roman" w:hAnsi="Times New Roman"/>
          <w:sz w:val="24"/>
          <w:szCs w:val="24"/>
        </w:rPr>
        <w:t xml:space="preserve"> (Project Syndicate - </w:t>
      </w:r>
      <w:r w:rsidRPr="00426066">
        <w:rPr>
          <w:rFonts w:ascii="Times New Roman" w:hAnsi="Times New Roman"/>
          <w:b/>
          <w:sz w:val="24"/>
          <w:szCs w:val="24"/>
        </w:rPr>
        <w:t>1/4/13</w:t>
      </w:r>
      <w:r>
        <w:rPr>
          <w:rFonts w:ascii="Times New Roman" w:hAnsi="Times New Roman"/>
          <w:sz w:val="24"/>
          <w:szCs w:val="24"/>
        </w:rPr>
        <w:t>)</w:t>
      </w:r>
      <w:r w:rsidRPr="00426066">
        <w:rPr>
          <w:rFonts w:ascii="Times New Roman" w:hAnsi="Times New Roman"/>
          <w:sz w:val="24"/>
          <w:szCs w:val="24"/>
        </w:rPr>
        <w:t xml:space="preserve"> </w:t>
      </w:r>
    </w:p>
    <w:p w:rsidR="003969F7" w:rsidRDefault="003969F7" w:rsidP="003969F7">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ED39B8">
        <w:rPr>
          <w:rFonts w:ascii="Times New Roman" w:hAnsi="Times New Roman" w:cs="Times New Roman"/>
          <w:i/>
          <w:sz w:val="24"/>
          <w:szCs w:val="24"/>
        </w:rPr>
        <w:t>Un alza en los retornos de los bonos en mercados desarrollados y un mejor pronóstico de la economía de Estados Unidos están haciendo ver menos atractivos los activos de los países emergentes, desde Turquía hasta Chile. El viernes, las monedas, bonos y acciones de estos mercados cayeron significativamente</w:t>
      </w:r>
      <w:r>
        <w:rPr>
          <w:rFonts w:ascii="Times New Roman" w:hAnsi="Times New Roman" w:cs="Times New Roman"/>
          <w:i/>
          <w:sz w:val="24"/>
          <w:szCs w:val="24"/>
        </w:rPr>
        <w:t>..</w:t>
      </w:r>
      <w:r w:rsidRPr="00ED39B8">
        <w:rPr>
          <w:rFonts w:ascii="Times New Roman" w:hAnsi="Times New Roman" w:cs="Times New Roman"/>
          <w:i/>
          <w:sz w:val="24"/>
          <w:szCs w:val="24"/>
        </w:rPr>
        <w:t>.</w:t>
      </w:r>
      <w:r>
        <w:rPr>
          <w:rFonts w:ascii="Times New Roman" w:hAnsi="Times New Roman" w:cs="Times New Roman"/>
          <w:sz w:val="24"/>
          <w:szCs w:val="24"/>
        </w:rPr>
        <w:t xml:space="preserve"> </w:t>
      </w:r>
      <w:r w:rsidRPr="00ED39B8">
        <w:rPr>
          <w:rFonts w:ascii="Times New Roman" w:hAnsi="Times New Roman" w:cs="Times New Roman"/>
          <w:i/>
          <w:sz w:val="24"/>
          <w:szCs w:val="24"/>
        </w:rPr>
        <w:t>Los bancos centrales en varios países contraatacaron el alza de la moneda estadounidense. Por ejemplo, el gobernador del Banco Central de Turquía, Erdem Basci, dijo el viernes que la entidad tomará medidas adicionales para defender la lira y contempla revisar su política monetaria. El Banco Central de Brasil dijo que subastaría contratos de canje, o swaps, en dólares, una forma de intervención para impulsar el real. Aun así, el real se transó a 2,1496 contra el dólar el viernes, un mínimo de cuatro años, según la firma de análisis de mercado CQG</w:t>
      </w:r>
      <w:r>
        <w:rPr>
          <w:rFonts w:ascii="Times New Roman" w:hAnsi="Times New Roman" w:cs="Times New Roman"/>
          <w:i/>
          <w:sz w:val="24"/>
          <w:szCs w:val="24"/>
        </w:rPr>
        <w:t>”..</w:t>
      </w:r>
      <w:r w:rsidRPr="00ED39B8">
        <w:rPr>
          <w:rFonts w:ascii="Times New Roman" w:hAnsi="Times New Roman" w:cs="Times New Roman"/>
          <w:i/>
          <w:sz w:val="24"/>
          <w:szCs w:val="24"/>
        </w:rPr>
        <w:t>.</w:t>
      </w:r>
      <w:r>
        <w:rPr>
          <w:rFonts w:ascii="Times New Roman" w:hAnsi="Times New Roman" w:cs="Times New Roman"/>
          <w:i/>
          <w:sz w:val="24"/>
          <w:szCs w:val="24"/>
        </w:rPr>
        <w:t xml:space="preserve"> </w:t>
      </w:r>
      <w:r w:rsidRPr="00AE4CC2">
        <w:rPr>
          <w:rFonts w:ascii="Times New Roman" w:hAnsi="Times New Roman" w:cs="Times New Roman"/>
          <w:sz w:val="24"/>
          <w:szCs w:val="24"/>
          <w:u w:val="single"/>
        </w:rPr>
        <w:t>Los inversionistas se retiran de los mercados emergentes</w:t>
      </w:r>
      <w:r>
        <w:rPr>
          <w:rFonts w:ascii="Times New Roman" w:hAnsi="Times New Roman" w:cs="Times New Roman"/>
          <w:sz w:val="24"/>
          <w:szCs w:val="24"/>
        </w:rPr>
        <w:t xml:space="preserve"> (The Wall Street Journal - </w:t>
      </w:r>
      <w:r w:rsidRPr="00AE4CC2">
        <w:rPr>
          <w:rFonts w:ascii="Times New Roman" w:hAnsi="Times New Roman" w:cs="Times New Roman"/>
          <w:b/>
          <w:sz w:val="24"/>
          <w:szCs w:val="24"/>
        </w:rPr>
        <w:t>2/6/13</w:t>
      </w:r>
      <w:r>
        <w:rPr>
          <w:rFonts w:ascii="Times New Roman" w:hAnsi="Times New Roman" w:cs="Times New Roman"/>
          <w:sz w:val="24"/>
          <w:szCs w:val="24"/>
        </w:rPr>
        <w:t>)</w:t>
      </w:r>
    </w:p>
    <w:p w:rsidR="003969F7" w:rsidRDefault="003969F7" w:rsidP="003969F7">
      <w:pPr>
        <w:spacing w:line="240" w:lineRule="auto"/>
        <w:jc w:val="both"/>
        <w:rPr>
          <w:rFonts w:ascii="Times New Roman" w:hAnsi="Times New Roman" w:cs="Times New Roman"/>
          <w:i/>
          <w:sz w:val="24"/>
          <w:szCs w:val="24"/>
        </w:rPr>
      </w:pPr>
      <w:r>
        <w:rPr>
          <w:rFonts w:ascii="Arial" w:hAnsi="Arial" w:cs="Arial"/>
          <w:noProof/>
          <w:color w:val="000000"/>
          <w:sz w:val="15"/>
          <w:szCs w:val="15"/>
          <w:lang w:eastAsia="es-ES"/>
        </w:rPr>
        <w:drawing>
          <wp:inline distT="0" distB="0" distL="0" distR="0" wp14:anchorId="66D8BA23" wp14:editId="2369B57F">
            <wp:extent cx="5396926" cy="3721100"/>
            <wp:effectExtent l="0" t="0" r="0" b="0"/>
            <wp:docPr id="27" name="Imagen 2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3723247"/>
                    </a:xfrm>
                    <a:prstGeom prst="rect">
                      <a:avLst/>
                    </a:prstGeom>
                    <a:noFill/>
                    <a:ln>
                      <a:noFill/>
                    </a:ln>
                  </pic:spPr>
                </pic:pic>
              </a:graphicData>
            </a:graphic>
          </wp:inline>
        </w:drawing>
      </w:r>
    </w:p>
    <w:p w:rsidR="003969F7" w:rsidRDefault="003969F7" w:rsidP="003969F7">
      <w:pPr>
        <w:spacing w:line="240" w:lineRule="auto"/>
        <w:jc w:val="both"/>
        <w:rPr>
          <w:rFonts w:ascii="Times New Roman" w:hAnsi="Times New Roman" w:cs="Times New Roman"/>
          <w:sz w:val="24"/>
          <w:szCs w:val="24"/>
        </w:rPr>
      </w:pPr>
      <w:r>
        <w:rPr>
          <w:rFonts w:ascii="Times New Roman" w:hAnsi="Times New Roman" w:cs="Times New Roman"/>
          <w:i/>
          <w:sz w:val="24"/>
          <w:szCs w:val="24"/>
        </w:rPr>
        <w:lastRenderedPageBreak/>
        <w:t>“</w:t>
      </w:r>
      <w:r w:rsidRPr="00ED39B8">
        <w:rPr>
          <w:rFonts w:ascii="Times New Roman" w:hAnsi="Times New Roman" w:cs="Times New Roman"/>
          <w:i/>
          <w:sz w:val="24"/>
          <w:szCs w:val="24"/>
        </w:rPr>
        <w:t xml:space="preserve">No se engañen por la aparente tranquilidad del euro y del dólar, cuyo tipo de cambio se encuentra cómodamente instalado alrededor del 1,30, porque el mundo, más allá de nuestras </w:t>
      </w:r>
      <w:r w:rsidRPr="00ED39B8">
        <w:rPr>
          <w:rFonts w:ascii="Times New Roman" w:hAnsi="Times New Roman" w:cs="Times New Roman"/>
          <w:i/>
          <w:iCs/>
          <w:sz w:val="24"/>
          <w:szCs w:val="24"/>
        </w:rPr>
        <w:t>fronteras occidentales</w:t>
      </w:r>
      <w:r w:rsidRPr="00ED39B8">
        <w:rPr>
          <w:rFonts w:ascii="Times New Roman" w:hAnsi="Times New Roman" w:cs="Times New Roman"/>
          <w:i/>
          <w:sz w:val="24"/>
          <w:szCs w:val="24"/>
        </w:rPr>
        <w:t xml:space="preserve">, se está volviendo loco. Observen, si no, lo ocurrido en el mes de mayo con algunos cruces de divisas. A continuación pueden ver varias gráficas donde se representan </w:t>
      </w:r>
      <w:r w:rsidRPr="00ED39B8">
        <w:rPr>
          <w:rFonts w:ascii="Times New Roman" w:hAnsi="Times New Roman" w:cs="Times New Roman"/>
          <w:bCs/>
          <w:i/>
          <w:sz w:val="24"/>
          <w:szCs w:val="24"/>
        </w:rPr>
        <w:t>el rand sudafricano, la rupia india, el dólar australiano, el real brasileño y la lira turca</w:t>
      </w:r>
      <w:r w:rsidRPr="00ED39B8">
        <w:rPr>
          <w:rFonts w:ascii="Times New Roman" w:hAnsi="Times New Roman" w:cs="Times New Roman"/>
          <w:i/>
          <w:sz w:val="24"/>
          <w:szCs w:val="24"/>
        </w:rPr>
        <w:t>. ¿La característica común? En mayo las ventas han sido generalizadas… Así que, ¿eso es todo? ¿</w:t>
      </w:r>
      <w:r w:rsidRPr="00ED39B8">
        <w:rPr>
          <w:rFonts w:ascii="Times New Roman" w:hAnsi="Times New Roman" w:cs="Times New Roman"/>
          <w:i/>
          <w:iCs/>
          <w:sz w:val="24"/>
          <w:szCs w:val="24"/>
        </w:rPr>
        <w:t>Blame the FED</w:t>
      </w:r>
      <w:r w:rsidRPr="00ED39B8">
        <w:rPr>
          <w:rFonts w:ascii="Times New Roman" w:hAnsi="Times New Roman" w:cs="Times New Roman"/>
          <w:i/>
          <w:sz w:val="24"/>
          <w:szCs w:val="24"/>
        </w:rPr>
        <w:t xml:space="preserve"> y ya está? Ojalá fuese así, pero la realidad parece indicar que también </w:t>
      </w:r>
      <w:r w:rsidRPr="00ED39B8">
        <w:rPr>
          <w:rFonts w:ascii="Times New Roman" w:hAnsi="Times New Roman" w:cs="Times New Roman"/>
          <w:bCs/>
          <w:i/>
          <w:sz w:val="24"/>
          <w:szCs w:val="24"/>
        </w:rPr>
        <w:t>hay motivos internos en dichos países de los que preocuparse</w:t>
      </w:r>
      <w:r w:rsidRPr="00ED39B8">
        <w:rPr>
          <w:rFonts w:ascii="Times New Roman" w:hAnsi="Times New Roman" w:cs="Times New Roman"/>
          <w:i/>
          <w:sz w:val="24"/>
          <w:szCs w:val="24"/>
        </w:rPr>
        <w:t xml:space="preserve">. Hemos visto una cara de la moneda, ahora toca su reverso. Una característica común en Brasil, Australia, Sudáfrica, Turquía e India, es que todos tienen una cuenta corriente negativa necesitando dinero externo para crecer, todos son deudores internacionales y todos presentan cierta incertidumbre sobre su futuro crecimiento.  Por ejemplo, Turquía presentó en 2012 un déficit en su cuenta corriente de 48.9 mil millones de dólares, lo que equivale a un 6% de su PIB. Mucho mejor que el 10% de 2011, pero igualmente desequilibrado, especialmente teniendo en cuenta que, según datos del FMI, </w:t>
      </w:r>
      <w:r w:rsidRPr="00ED39B8">
        <w:rPr>
          <w:rFonts w:ascii="Times New Roman" w:hAnsi="Times New Roman" w:cs="Times New Roman"/>
          <w:bCs/>
          <w:i/>
          <w:sz w:val="24"/>
          <w:szCs w:val="24"/>
        </w:rPr>
        <w:t>su NIIP (posición internacional neta) es del -50% del PIB a finales de 2012 y que, según datos de Bloomberg, tiene el tercer peor déficit de cuenta corriente de todo el mundo</w:t>
      </w:r>
      <w:r w:rsidRPr="00ED39B8">
        <w:rPr>
          <w:rFonts w:ascii="Times New Roman" w:hAnsi="Times New Roman" w:cs="Times New Roman"/>
          <w:i/>
          <w:sz w:val="24"/>
          <w:szCs w:val="24"/>
        </w:rPr>
        <w:t xml:space="preserve">. Y eso pasando por alto el levantamiento existente en el país contra una supuesta deriva autocrática del Primer Ministro Erdogan… Algo que parece bastante lógico es </w:t>
      </w:r>
      <w:r w:rsidRPr="00ED39B8">
        <w:rPr>
          <w:rFonts w:ascii="Times New Roman" w:hAnsi="Times New Roman" w:cs="Times New Roman"/>
          <w:bCs/>
          <w:i/>
          <w:sz w:val="24"/>
          <w:szCs w:val="24"/>
        </w:rPr>
        <w:t>que si un país depende del dinero que viene del exterior para crecer, cuenta corriente negativa, será de los más perjudicados si ese dinero desaparece</w:t>
      </w:r>
      <w:r w:rsidRPr="00ED39B8">
        <w:rPr>
          <w:rFonts w:ascii="Times New Roman" w:hAnsi="Times New Roman" w:cs="Times New Roman"/>
          <w:i/>
          <w:sz w:val="24"/>
          <w:szCs w:val="24"/>
        </w:rPr>
        <w:t>. Por ello no es extraño que Turquía y Sudáfrica sean de los más afectados si se produce una salida inversora de los emergentes</w:t>
      </w:r>
      <w:r>
        <w:rPr>
          <w:rFonts w:ascii="Times New Roman" w:hAnsi="Times New Roman" w:cs="Times New Roman"/>
          <w:i/>
          <w:sz w:val="24"/>
          <w:szCs w:val="24"/>
        </w:rPr>
        <w:t>”</w:t>
      </w:r>
      <w:r w:rsidRPr="00ED39B8">
        <w:rPr>
          <w:rFonts w:ascii="Times New Roman" w:hAnsi="Times New Roman" w:cs="Times New Roman"/>
          <w:i/>
          <w:sz w:val="24"/>
          <w:szCs w:val="24"/>
        </w:rPr>
        <w:t>…</w:t>
      </w:r>
      <w:r>
        <w:rPr>
          <w:rFonts w:ascii="Times New Roman" w:hAnsi="Times New Roman" w:cs="Times New Roman"/>
          <w:i/>
          <w:sz w:val="24"/>
          <w:szCs w:val="24"/>
        </w:rPr>
        <w:t xml:space="preserve"> </w:t>
      </w:r>
      <w:r w:rsidRPr="00516167">
        <w:rPr>
          <w:rFonts w:ascii="Times New Roman" w:hAnsi="Times New Roman" w:cs="Times New Roman"/>
          <w:sz w:val="24"/>
          <w:szCs w:val="24"/>
          <w:u w:val="single"/>
        </w:rPr>
        <w:t>Un mundo de divisas de frenopático</w:t>
      </w:r>
      <w:r>
        <w:rPr>
          <w:rFonts w:ascii="Times New Roman" w:hAnsi="Times New Roman" w:cs="Times New Roman"/>
          <w:sz w:val="24"/>
          <w:szCs w:val="24"/>
        </w:rPr>
        <w:t xml:space="preserve"> (El Confidencial - </w:t>
      </w:r>
      <w:r w:rsidRPr="00516167">
        <w:rPr>
          <w:rFonts w:ascii="Times New Roman" w:hAnsi="Times New Roman" w:cs="Times New Roman"/>
          <w:b/>
          <w:sz w:val="24"/>
          <w:szCs w:val="24"/>
        </w:rPr>
        <w:t>3/6/13</w:t>
      </w:r>
      <w:r>
        <w:rPr>
          <w:rFonts w:ascii="Times New Roman" w:hAnsi="Times New Roman" w:cs="Times New Roman"/>
          <w:sz w:val="24"/>
          <w:szCs w:val="24"/>
        </w:rPr>
        <w:t>)</w:t>
      </w:r>
    </w:p>
    <w:p w:rsidR="003969F7" w:rsidRDefault="003969F7" w:rsidP="003969F7">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ED39B8">
        <w:rPr>
          <w:rFonts w:ascii="Times New Roman" w:hAnsi="Times New Roman" w:cs="Times New Roman"/>
          <w:i/>
          <w:sz w:val="24"/>
          <w:szCs w:val="24"/>
        </w:rPr>
        <w:t xml:space="preserve">Los inversores están alejándose de Turquía. Después del fin de semana de protestas contra el Gobierno dirigido por el primer ministro Recep Tayyip Erdogan, las acciones turcas cayeron el lunes un 10%, mientras la lira alcanzó su nivel más bajo frente al dólar desde finales de 2011. Los disturbios han provocado malestar en los mercados, dado que Turquía ha sido referencia del éxito económico y la calma política en una región conocida por su inestabilidad. En los últimos seis meses, tanto Moody's como Fitch habían elevado los bonos del Gobierno a la categoría de grado de inversión. Hay que recordar que la mejora de la situación económica de Turquía ha estado fomentada por las entradas de capital extranjero, por lo que un giro de esta tendencia supondría un grave perjuicio para el país. Las caídas bursátiles del lunes deberían examinarse con perspectiva: las acciones turcas han ganado más de un 40% en los últimos doce meses. Además, la lira sólo cayó un 1% el lunes, mientras el coste de garantizar la deuda pública del país sólo se incrementó 0,08 puntos porcentuales. Turquía sigue siendo un mercado emergente vulnerable a los cambios de actitud de los mercados. Su tasa de ahorro interno, del 15,2% del PIB, es baja comparada con economías que gozan de una calificación crediticia parecida, según Moody's. Esto hace que los bancos dependan de los fondos extranjeros para que el crédito siga fluyendo a nivel nacional. La ratio préstamos/depósitos del sistema bancario ha subido a más de 100% este año. La deuda externa de los bancos ascendió al 14,3% del PIB a finales de 2012, lo que representa un 8% más que antes de la crisis financiera de 2008 y el nivel más alto de los últimos 20 años, según Capital Economics. Dos tercios de esa deuda tienen que refinanciarse en los próximos 12 meses. En ese sentido, el actual malestar no podría haber estallado en peor momento. Turquía ya se vio atrapada en la venta de valores de mercados emergentes la semana pasada después de que los inversores empezasen a contemplar la posibilidad de que la Reserva Federal de EEUU empiece a reducir sus compras de bonos. Si la liquidez global fluye con menos libertad, países como Turquía </w:t>
      </w:r>
      <w:r w:rsidRPr="00ED39B8">
        <w:rPr>
          <w:rFonts w:ascii="Times New Roman" w:hAnsi="Times New Roman" w:cs="Times New Roman"/>
          <w:i/>
          <w:sz w:val="24"/>
          <w:szCs w:val="24"/>
        </w:rPr>
        <w:lastRenderedPageBreak/>
        <w:t>podrían afrontar la competencia por un capital cada vez más escaso. No es el mejor momento de dar a los inversores una excusa para que miren a otra parte</w:t>
      </w:r>
      <w:r>
        <w:rPr>
          <w:rFonts w:ascii="Times New Roman" w:hAnsi="Times New Roman" w:cs="Times New Roman"/>
          <w:i/>
          <w:sz w:val="24"/>
          <w:szCs w:val="24"/>
        </w:rPr>
        <w:t>”..</w:t>
      </w:r>
      <w:r w:rsidRPr="00ED39B8">
        <w:rPr>
          <w:rFonts w:ascii="Times New Roman" w:hAnsi="Times New Roman" w:cs="Times New Roman"/>
          <w:i/>
          <w:sz w:val="24"/>
          <w:szCs w:val="24"/>
        </w:rPr>
        <w:t>.</w:t>
      </w:r>
      <w:r>
        <w:rPr>
          <w:rFonts w:ascii="Times New Roman" w:hAnsi="Times New Roman" w:cs="Times New Roman"/>
          <w:i/>
          <w:sz w:val="24"/>
          <w:szCs w:val="24"/>
        </w:rPr>
        <w:t xml:space="preserve"> </w:t>
      </w:r>
      <w:r w:rsidRPr="00396C03">
        <w:rPr>
          <w:rFonts w:ascii="Times New Roman" w:hAnsi="Times New Roman" w:cs="Times New Roman"/>
          <w:sz w:val="24"/>
          <w:szCs w:val="24"/>
          <w:u w:val="single"/>
        </w:rPr>
        <w:t>El viento no sopla a favor de Turquía</w:t>
      </w:r>
      <w:r>
        <w:rPr>
          <w:rFonts w:ascii="Times New Roman" w:hAnsi="Times New Roman" w:cs="Times New Roman"/>
          <w:sz w:val="24"/>
          <w:szCs w:val="24"/>
        </w:rPr>
        <w:t xml:space="preserve"> (Expansión - WSJ Europe - </w:t>
      </w:r>
      <w:r w:rsidRPr="00396C03">
        <w:rPr>
          <w:rFonts w:ascii="Times New Roman" w:hAnsi="Times New Roman" w:cs="Times New Roman"/>
          <w:b/>
          <w:sz w:val="24"/>
          <w:szCs w:val="24"/>
        </w:rPr>
        <w:t>5/6/13</w:t>
      </w:r>
      <w:r>
        <w:rPr>
          <w:rFonts w:ascii="Times New Roman" w:hAnsi="Times New Roman" w:cs="Times New Roman"/>
          <w:sz w:val="24"/>
          <w:szCs w:val="24"/>
        </w:rPr>
        <w:t>)</w:t>
      </w:r>
    </w:p>
    <w:p w:rsidR="003969F7" w:rsidRPr="00021010"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C13E9D">
        <w:rPr>
          <w:rFonts w:ascii="Times New Roman" w:eastAsia="Times New Roman" w:hAnsi="Times New Roman" w:cs="Times New Roman"/>
          <w:i/>
          <w:sz w:val="24"/>
          <w:szCs w:val="24"/>
        </w:rPr>
        <w:t>Las manifestaciones en las calles de Brasil y Turquía, la escasez de liquidez en el sistema financiero chino y las huelgas en Sudáfrica son todos indicadores de las crecientes tensiones en las economías en desarrollo. Si a ello se suman las señales de que la Reserva Federal de EEUU podría reducir pronto su programa de compra de bonos, la situación se vuelve más precaria para países que durante la última década han generado alrededor de 75% del crecimiento global. Tras una década en la cual los mercados emergentes fueron un motor de la economía global, este es un llamado de atención para los inversionistas. Los mercados emergentes varían en términos de desarrollo económico y político. Los manifestantes en diferentes lugares expresan lamentos distintos, desde los brasileños que protestan contra alzas de las tarifas de autobús a los turcos que temen la destrucción de un parque. Pero desde comienzos de siglo, los inversionistas han tratado a los mercados emergentes como una sola clase de activos, mantenidos en alto por tendencias favorables como el ascenso de China en el sistema de comercio global</w:t>
      </w:r>
      <w:r>
        <w:rPr>
          <w:rFonts w:ascii="Times New Roman" w:eastAsia="Times New Roman" w:hAnsi="Times New Roman" w:cs="Times New Roman"/>
          <w:i/>
          <w:sz w:val="24"/>
          <w:szCs w:val="24"/>
        </w:rPr>
        <w:t>..</w:t>
      </w:r>
      <w:r w:rsidRPr="00C13E9D">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ED39B8">
        <w:rPr>
          <w:rFonts w:ascii="Times New Roman" w:eastAsia="Times New Roman" w:hAnsi="Times New Roman" w:cs="Times New Roman"/>
          <w:i/>
          <w:sz w:val="24"/>
          <w:szCs w:val="24"/>
        </w:rPr>
        <w:t>La menor expansión económica es el telón de fondo del creciente descontento popular. El Producto Interno Bruto (PIB) de Turquía creció 2,5% el año pasado, tras un avance de 9,2% en 2010; la expansión de Brasil descendió a 0,9% desde 7,5% en el mismo período, según la agencia nacional de estadísticas. Rusia, donde se realizaron protestas masivas hace un año, experimentó una desaceleración del crecimiento desde 4,3% a 3,4% entre 2010 y 2011 y el Fondo Monetario Internacional acaba de recortar su pronóstico de crecimiento para este año de 3,4% a 2,5%. Las turbulencias en estos países sugieren que los gobiernos no hicieron lo suficiente para resolver los problemas estructurales durante las épocas de bonanza</w:t>
      </w:r>
      <w:r>
        <w:rPr>
          <w:rFonts w:ascii="Times New Roman" w:eastAsia="Times New Roman" w:hAnsi="Times New Roman" w:cs="Times New Roman"/>
          <w:i/>
          <w:sz w:val="24"/>
          <w:szCs w:val="24"/>
        </w:rPr>
        <w:t xml:space="preserve">”... </w:t>
      </w:r>
      <w:r w:rsidRPr="00735442">
        <w:rPr>
          <w:rFonts w:ascii="Times New Roman" w:eastAsia="Times New Roman" w:hAnsi="Times New Roman" w:cs="Times New Roman"/>
          <w:sz w:val="24"/>
          <w:szCs w:val="24"/>
          <w:u w:val="single"/>
        </w:rPr>
        <w:t>Los vientos en contra desnudan las debilidades de los emergentes</w:t>
      </w:r>
      <w:r>
        <w:rPr>
          <w:rFonts w:ascii="Times New Roman" w:eastAsia="Times New Roman" w:hAnsi="Times New Roman" w:cs="Times New Roman"/>
          <w:sz w:val="24"/>
          <w:szCs w:val="24"/>
        </w:rPr>
        <w:t xml:space="preserve"> (The Wall Street Journal - </w:t>
      </w:r>
      <w:r w:rsidRPr="00735442">
        <w:rPr>
          <w:rFonts w:ascii="Times New Roman" w:eastAsia="Times New Roman" w:hAnsi="Times New Roman" w:cs="Times New Roman"/>
          <w:b/>
          <w:sz w:val="24"/>
          <w:szCs w:val="24"/>
        </w:rPr>
        <w:t>23/6/13</w:t>
      </w:r>
      <w:r>
        <w:rPr>
          <w:rFonts w:ascii="Times New Roman" w:eastAsia="Times New Roman" w:hAnsi="Times New Roman" w:cs="Times New Roman"/>
          <w:sz w:val="24"/>
          <w:szCs w:val="24"/>
        </w:rPr>
        <w:t>)</w:t>
      </w:r>
    </w:p>
    <w:p w:rsidR="003969F7" w:rsidRDefault="003969F7" w:rsidP="003969F7">
      <w:pPr>
        <w:pStyle w:val="NormalWeb"/>
        <w:shd w:val="clear" w:color="auto" w:fill="FFFFFF"/>
        <w:jc w:val="both"/>
      </w:pPr>
      <w:r w:rsidRPr="00661E48">
        <w:rPr>
          <w:i/>
        </w:rPr>
        <w:t xml:space="preserve">“Apenas 10 días después de que la agencia de calificación Moody’s otorgara a Turquía el grado de inversión -Fitch adoptó la misma decisión el pasado mes de noviembre-, ese nuevo estatus puede verse amenazado. La propia agencia reconocía esta semana que las protestas concentradas en la plaza de Taksim de Estambul “se están convirtiendo en un factor negativo en términos de crédito, cuanto más se intensifiquen y persistan en el tiempo”. Las protestas han llegado a provocar una depreciación de la lira de más del 5%, aunque ha repuntado en los últimos días, y un encarecimiento del coste de financiación del país -232 puntos básicos en los bonos a dos años, hasta el 7,36%-, pero no es el único factor que explica el cambio de humor de los mercados hacia Turquía. Su estallido ha coincidido en el tiempo con la pérdida de cierto atractivo de los activos emergentes ante la rebaja de tipos de interés aplicada por sus bancos centrales, en un entorno casi general de descenso de la inflación. Justo entonces, el presidente de la Reserva Federal de Estados Unidos, Ben Bernanke, confirma su plan de retirada de estímulos y los inversores corren a equilibrar sus carteras. Pese a la confluencia de factores, el daño, por ahora, parece limitado. “El impacto de las protestas en la confianza de los inversores parece haber sido relativamente limitada. No ha causado la sequía de los flujos de capital en las dimensiones de 2011, cuando Turquía sufrió una pequeña crisis de balanza de pagos que forzó una subida de 400 puntos básicos en los tipos de interés. Sin embargo, estos sucesos han puesto en evidencia la dependencia que Turquía tiene del capital europeo”, aseguraba William Jackson, de Capital Economics, en una nota a clientes. No faltan motivos para la </w:t>
      </w:r>
      <w:r w:rsidRPr="00661E48">
        <w:rPr>
          <w:i/>
        </w:rPr>
        <w:lastRenderedPageBreak/>
        <w:t>inquietud. El país tiene que atraer cada mes 5.000 millones de dólares solo para financiar su déficit por cuenta corriente, recuerdan los analistas de Barclays Research. En 2012, el país había logrado reducir su desequilibrio exterior desde el 9,7% del PIB registrado en 2011 al 6,1% el año pasado. Pero las presiones vuelven a estar al alza”...</w:t>
      </w:r>
      <w:r>
        <w:rPr>
          <w:i/>
        </w:rPr>
        <w:t xml:space="preserve"> </w:t>
      </w:r>
      <w:r w:rsidRPr="00D45BD2">
        <w:rPr>
          <w:u w:val="single"/>
        </w:rPr>
        <w:t>Turquía aflora sus puntos débiles</w:t>
      </w:r>
      <w:r>
        <w:t xml:space="preserve"> (El País - </w:t>
      </w:r>
      <w:r w:rsidRPr="00D45BD2">
        <w:rPr>
          <w:b/>
        </w:rPr>
        <w:t>23/6/13</w:t>
      </w:r>
      <w:r>
        <w:t>)</w:t>
      </w:r>
    </w:p>
    <w:p w:rsidR="003969F7" w:rsidRPr="001360F6" w:rsidRDefault="003969F7" w:rsidP="003969F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661E48">
        <w:rPr>
          <w:rFonts w:ascii="Times New Roman" w:hAnsi="Times New Roman" w:cs="Times New Roman"/>
          <w:i/>
          <w:sz w:val="24"/>
          <w:szCs w:val="24"/>
        </w:rPr>
        <w:t>La erupción espontánea de ira por parte de miles de jóvenes manifestantes en Turquía y Brasil durante el último mes fue algo desconcertante para los observadores extranjeros.  Hasta hace muy poco, ambos países eran considerados ejemplos brillantes de progreso en los mercados emergentes, lugares de rápido crecimiento donde una creciente clase media podía aspirar a un futuro más promisorio. Entonces, ¿por qué tanta angustia? ¿Por qué los beneficiarios de esta clase media emergente de repente se sublevaron? ¿Y qué significa para la continuidad del crecimiento mundial?  No hay respuestas fáciles, pero un buen punto para empezar es la intersección entre cuatro vías: la desigualdad económica, los privilegios políticos, la inflación y la desaceleración del crecimiento mundial. Hasta ahora, la globalización ha hecho un trabajo aceptable de beneficiar a todos en los mercados emergentes. A nivel mundial, la pobreza ha caído y la mortalidad infantil, la alfabetización y el bienestar han mejorado. Pero los avances se han producido de manera muy desigual dentro y entre los países</w:t>
      </w:r>
      <w:r w:rsidRPr="00661E48">
        <w:rPr>
          <w:i/>
        </w:rPr>
        <w:t xml:space="preserve">… </w:t>
      </w:r>
      <w:r w:rsidRPr="00661E48">
        <w:rPr>
          <w:rFonts w:ascii="Times New Roman" w:hAnsi="Times New Roman" w:cs="Times New Roman"/>
          <w:i/>
          <w:sz w:val="24"/>
          <w:szCs w:val="24"/>
        </w:rPr>
        <w:t xml:space="preserve">Años atrás, la teoría económica solía obviar estos temas. La desigualdad social era considerada una preocupación moral pero sin consecuencias para el desempeño económico; mientras que la corrupción, aunque repudiable, frecuentemente era considerada un mal necesario que aceitaba las ruedas del comercio. Ahora, no obstante, hay toneladas de investigaciones que demuestran el efecto perjudicial de ambos en el potencial de crecimiento de un país. Los funcionarios deben resolverlo o corren el riesgo de un estancamiento económico… La verdadera solución es eliminar los subsidios y tratamientos tributarios más favorables que los gobiernos otorgan a las elites privilegiadas; es decir, a la clase que persigue la renta, como la denominan los economistas. En Brasil, eso significa sacarse de encima a las industrias favorecidas por décadas con financiamiento estatal subsidiado. En Turquía, los objetivos son los capitalistas amigos que prosperaron por décadas a expensas de un estado militarizado y los cuales, más recientemente, han aprovechado las relaciones islámicas con el gobierno de Recep Tayyip Erdogan”... </w:t>
      </w:r>
      <w:r w:rsidRPr="001360F6">
        <w:rPr>
          <w:rFonts w:ascii="Times New Roman" w:hAnsi="Times New Roman" w:cs="Times New Roman"/>
          <w:sz w:val="24"/>
          <w:szCs w:val="24"/>
          <w:u w:val="single"/>
        </w:rPr>
        <w:t>De São Paulo a Estambul, una lección de economía política</w:t>
      </w:r>
      <w:r>
        <w:rPr>
          <w:rFonts w:ascii="Times New Roman" w:hAnsi="Times New Roman" w:cs="Times New Roman"/>
          <w:sz w:val="24"/>
          <w:szCs w:val="24"/>
        </w:rPr>
        <w:t xml:space="preserve"> (The Wall Street Journal - </w:t>
      </w:r>
      <w:r w:rsidRPr="001360F6">
        <w:rPr>
          <w:rFonts w:ascii="Times New Roman" w:hAnsi="Times New Roman" w:cs="Times New Roman"/>
          <w:b/>
          <w:sz w:val="24"/>
          <w:szCs w:val="24"/>
        </w:rPr>
        <w:t>27/6/13</w:t>
      </w:r>
      <w:r>
        <w:rPr>
          <w:rFonts w:ascii="Times New Roman" w:hAnsi="Times New Roman" w:cs="Times New Roman"/>
          <w:sz w:val="24"/>
          <w:szCs w:val="24"/>
        </w:rPr>
        <w:t>)</w:t>
      </w:r>
    </w:p>
    <w:p w:rsidR="003969F7" w:rsidRDefault="003969F7" w:rsidP="003969F7">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3E7F69">
        <w:rPr>
          <w:rFonts w:ascii="Times New Roman" w:hAnsi="Times New Roman" w:cs="Times New Roman"/>
          <w:i/>
          <w:sz w:val="24"/>
          <w:szCs w:val="24"/>
        </w:rPr>
        <w:t xml:space="preserve">El filósofo Hans-Herman Hoppe afirma que los indignados son “meros izquierdistas que no tienen ni idea de economía”. Siempre polémico y provocador, el filósofo </w:t>
      </w:r>
      <w:hyperlink r:id="rId8" w:history="1">
        <w:r w:rsidRPr="00C51709">
          <w:rPr>
            <w:rStyle w:val="Hipervnculo"/>
            <w:rFonts w:ascii="Times New Roman" w:hAnsi="Times New Roman" w:cs="Times New Roman"/>
            <w:i/>
            <w:color w:val="auto"/>
          </w:rPr>
          <w:t>Hans-Herman Hoppe</w:t>
        </w:r>
      </w:hyperlink>
      <w:r w:rsidRPr="00C51709">
        <w:rPr>
          <w:rFonts w:ascii="Times New Roman" w:hAnsi="Times New Roman" w:cs="Times New Roman"/>
          <w:i/>
          <w:sz w:val="24"/>
          <w:szCs w:val="24"/>
        </w:rPr>
        <w:t xml:space="preserve"> ha visitado España para promocionar el libro “</w:t>
      </w:r>
      <w:r w:rsidRPr="00C51709">
        <w:rPr>
          <w:rStyle w:val="nfasis"/>
          <w:rFonts w:ascii="Times New Roman" w:hAnsi="Times New Roman" w:cs="Times New Roman"/>
          <w:b w:val="0"/>
          <w:i/>
          <w:sz w:val="24"/>
          <w:szCs w:val="24"/>
        </w:rPr>
        <w:t>Economía y Ética de la Propiedad Privada”</w:t>
      </w:r>
      <w:r w:rsidRPr="00C51709">
        <w:rPr>
          <w:rFonts w:ascii="Times New Roman" w:hAnsi="Times New Roman" w:cs="Times New Roman"/>
          <w:i/>
          <w:sz w:val="24"/>
          <w:szCs w:val="24"/>
        </w:rPr>
        <w:t xml:space="preserve">, disponible en versión </w:t>
      </w:r>
      <w:hyperlink r:id="rId9" w:history="1">
        <w:r w:rsidRPr="00C51709">
          <w:rPr>
            <w:rStyle w:val="Hipervnculo"/>
            <w:rFonts w:ascii="Times New Roman" w:hAnsi="Times New Roman" w:cs="Times New Roman"/>
            <w:i/>
            <w:color w:val="auto"/>
          </w:rPr>
          <w:t>física</w:t>
        </w:r>
      </w:hyperlink>
      <w:r w:rsidRPr="00C51709">
        <w:rPr>
          <w:rFonts w:ascii="Times New Roman" w:hAnsi="Times New Roman" w:cs="Times New Roman"/>
          <w:i/>
          <w:sz w:val="24"/>
          <w:szCs w:val="24"/>
        </w:rPr>
        <w:t xml:space="preserve"> y </w:t>
      </w:r>
      <w:hyperlink r:id="rId10" w:history="1">
        <w:r w:rsidRPr="00C51709">
          <w:rPr>
            <w:rStyle w:val="Hipervnculo"/>
            <w:rFonts w:ascii="Times New Roman" w:hAnsi="Times New Roman" w:cs="Times New Roman"/>
            <w:i/>
            <w:color w:val="auto"/>
          </w:rPr>
          <w:t>electrónica</w:t>
        </w:r>
      </w:hyperlink>
      <w:r w:rsidRPr="00C51709">
        <w:rPr>
          <w:rFonts w:ascii="Times New Roman" w:hAnsi="Times New Roman" w:cs="Times New Roman"/>
          <w:i/>
          <w:sz w:val="24"/>
          <w:szCs w:val="24"/>
        </w:rPr>
        <w:t xml:space="preserve"> y publicado por la </w:t>
      </w:r>
      <w:hyperlink r:id="rId11" w:history="1">
        <w:r w:rsidRPr="00C51709">
          <w:rPr>
            <w:rStyle w:val="Hipervnculo"/>
            <w:rFonts w:ascii="Times New Roman" w:hAnsi="Times New Roman" w:cs="Times New Roman"/>
            <w:i/>
            <w:color w:val="auto"/>
          </w:rPr>
          <w:t>Editorial Innisfree</w:t>
        </w:r>
      </w:hyperlink>
      <w:r w:rsidRPr="00C51709">
        <w:rPr>
          <w:rFonts w:ascii="Times New Roman" w:hAnsi="Times New Roman" w:cs="Times New Roman"/>
          <w:i/>
          <w:sz w:val="24"/>
          <w:szCs w:val="24"/>
        </w:rPr>
        <w:t xml:space="preserve">. Hoppe visitó la </w:t>
      </w:r>
      <w:hyperlink r:id="rId12" w:history="1">
        <w:r w:rsidRPr="00C51709">
          <w:rPr>
            <w:rStyle w:val="Hipervnculo"/>
            <w:rFonts w:ascii="Times New Roman" w:hAnsi="Times New Roman" w:cs="Times New Roman"/>
            <w:i/>
            <w:color w:val="auto"/>
          </w:rPr>
          <w:t>Fundación Rafael del Pino</w:t>
        </w:r>
      </w:hyperlink>
      <w:r w:rsidRPr="00C51709">
        <w:rPr>
          <w:rFonts w:ascii="Times New Roman" w:hAnsi="Times New Roman" w:cs="Times New Roman"/>
          <w:i/>
          <w:sz w:val="24"/>
          <w:szCs w:val="24"/>
        </w:rPr>
        <w:t xml:space="preserve"> para impartir una </w:t>
      </w:r>
      <w:r w:rsidRPr="003E7F69">
        <w:rPr>
          <w:rFonts w:ascii="Times New Roman" w:hAnsi="Times New Roman" w:cs="Times New Roman"/>
          <w:i/>
          <w:sz w:val="24"/>
          <w:szCs w:val="24"/>
        </w:rPr>
        <w:t xml:space="preserve">conferencia y hablar en exclusiva con Libre Mercado sobre diversos asuntos… </w:t>
      </w:r>
      <w:r w:rsidRPr="003E7F69">
        <w:rPr>
          <w:rStyle w:val="Textoennegrita"/>
          <w:rFonts w:ascii="Times New Roman" w:hAnsi="Times New Roman" w:cs="Times New Roman"/>
          <w:b w:val="0"/>
          <w:i/>
          <w:sz w:val="24"/>
          <w:szCs w:val="24"/>
        </w:rPr>
        <w:t>¿Mantiene su teoría en el caso de Medio Oriente?</w:t>
      </w:r>
      <w:r w:rsidRPr="003E7F69">
        <w:rPr>
          <w:rStyle w:val="Textoennegrita"/>
          <w:rFonts w:ascii="Times New Roman" w:hAnsi="Times New Roman" w:cs="Times New Roman"/>
          <w:i/>
          <w:sz w:val="24"/>
          <w:szCs w:val="24"/>
        </w:rPr>
        <w:t xml:space="preserve"> </w:t>
      </w:r>
      <w:r w:rsidRPr="003E7F69">
        <w:rPr>
          <w:rFonts w:ascii="Times New Roman" w:hAnsi="Times New Roman" w:cs="Times New Roman"/>
          <w:i/>
          <w:sz w:val="24"/>
          <w:szCs w:val="24"/>
        </w:rPr>
        <w:t xml:space="preserve">Si comparamos países de Medio Oriente entre sí, vemos que Jordania o Marruecos son más civilizados que Egipto, Libia, Siria y esos lugares en los que se cambió la vieja monarquía por formas diferentes de autoritarismo. </w:t>
      </w:r>
      <w:r w:rsidRPr="003E7F69">
        <w:rPr>
          <w:rStyle w:val="Textoennegrita"/>
          <w:rFonts w:ascii="Times New Roman" w:hAnsi="Times New Roman" w:cs="Times New Roman"/>
          <w:b w:val="0"/>
          <w:i/>
          <w:sz w:val="24"/>
          <w:szCs w:val="24"/>
        </w:rPr>
        <w:t xml:space="preserve">Lleva algunos años viviendo en Turquía. ¿Qué opina de lo ocurrido en los últimos tiempos? </w:t>
      </w:r>
      <w:r w:rsidRPr="003E7F69">
        <w:rPr>
          <w:rFonts w:ascii="Times New Roman" w:hAnsi="Times New Roman" w:cs="Times New Roman"/>
          <w:i/>
          <w:sz w:val="24"/>
          <w:szCs w:val="24"/>
        </w:rPr>
        <w:t xml:space="preserve">La principal razón por la que vivo allí es que es el país de mi esposa. Dicho esto, he visto con mis propios ojos que el país ha tenido un crecimiento económico notable, muy por encima de Europa. No obstante, desde las últimas elecciones, el presidente Erdogan se ha empezado a comportar de forma cada vez más intolerante y polémica. La mecha se prendió con la pretensión de construir un </w:t>
      </w:r>
      <w:r w:rsidRPr="003E7F69">
        <w:rPr>
          <w:rFonts w:ascii="Times New Roman" w:hAnsi="Times New Roman" w:cs="Times New Roman"/>
          <w:i/>
          <w:sz w:val="24"/>
          <w:szCs w:val="24"/>
        </w:rPr>
        <w:lastRenderedPageBreak/>
        <w:t>centro comercial en un parque, pero también hay descontento por leyes como las que limitan la venta de alcohol, por el intento de prohibir el pintalabios entre las azafatas de aerolíneas, etc. Todo se ha acumulado y ha terminado llevando a mucha gente a la calle. Las protestas no nacieron de la oposición política, de hecho, la oposición es aún peor que el partido de Erdogan… Por si no fuese suficiente, el Gobierno se excedió reprimiendo las protestas, lo que generó más descontento. La actuación de Erdogan ha sido estúpida, porque todo se podría haber evitado actuando con un poco más de moderación y tacto</w:t>
      </w:r>
      <w:r>
        <w:rPr>
          <w:rFonts w:ascii="Times New Roman" w:hAnsi="Times New Roman" w:cs="Times New Roman"/>
          <w:i/>
          <w:sz w:val="24"/>
          <w:szCs w:val="24"/>
        </w:rPr>
        <w:t>”</w:t>
      </w:r>
      <w:r w:rsidRPr="003E7F69">
        <w:rPr>
          <w:rFonts w:ascii="Times New Roman" w:hAnsi="Times New Roman" w:cs="Times New Roman"/>
          <w:i/>
          <w:sz w:val="24"/>
          <w:szCs w:val="24"/>
        </w:rPr>
        <w:t>…</w:t>
      </w:r>
      <w:r>
        <w:rPr>
          <w:rFonts w:ascii="Times New Roman" w:hAnsi="Times New Roman" w:cs="Times New Roman"/>
          <w:i/>
          <w:sz w:val="24"/>
          <w:szCs w:val="24"/>
        </w:rPr>
        <w:t xml:space="preserve"> </w:t>
      </w:r>
      <w:r>
        <w:rPr>
          <w:rFonts w:ascii="Times New Roman" w:hAnsi="Times New Roman" w:cs="Times New Roman"/>
          <w:sz w:val="24"/>
          <w:szCs w:val="24"/>
          <w:u w:val="single"/>
        </w:rPr>
        <w:t>Hans-Herman Hoppe: “</w:t>
      </w:r>
      <w:r w:rsidRPr="00094FEE">
        <w:rPr>
          <w:rFonts w:ascii="Times New Roman" w:hAnsi="Times New Roman" w:cs="Times New Roman"/>
          <w:sz w:val="24"/>
          <w:szCs w:val="24"/>
          <w:u w:val="single"/>
        </w:rPr>
        <w:t>Veremos el colapso del Estado del Bienes</w:t>
      </w:r>
      <w:r>
        <w:rPr>
          <w:rFonts w:ascii="Times New Roman" w:hAnsi="Times New Roman" w:cs="Times New Roman"/>
          <w:sz w:val="24"/>
          <w:szCs w:val="24"/>
          <w:u w:val="single"/>
        </w:rPr>
        <w:t>tar como vimos el del comunismo”</w:t>
      </w:r>
      <w:r>
        <w:rPr>
          <w:rFonts w:ascii="Times New Roman" w:hAnsi="Times New Roman" w:cs="Times New Roman"/>
          <w:sz w:val="24"/>
          <w:szCs w:val="24"/>
        </w:rPr>
        <w:t xml:space="preserve"> (Libertad Digital - </w:t>
      </w:r>
      <w:r w:rsidRPr="00094FEE">
        <w:rPr>
          <w:rFonts w:ascii="Times New Roman" w:hAnsi="Times New Roman" w:cs="Times New Roman"/>
          <w:b/>
          <w:sz w:val="24"/>
          <w:szCs w:val="24"/>
        </w:rPr>
        <w:t>29/6/13</w:t>
      </w:r>
      <w:r>
        <w:rPr>
          <w:rFonts w:ascii="Times New Roman" w:hAnsi="Times New Roman" w:cs="Times New Roman"/>
          <w:sz w:val="24"/>
          <w:szCs w:val="24"/>
        </w:rPr>
        <w:t>)</w:t>
      </w:r>
    </w:p>
    <w:p w:rsidR="003969F7" w:rsidRPr="00632869" w:rsidRDefault="003969F7" w:rsidP="003969F7">
      <w:pPr>
        <w:pStyle w:val="NormalWeb"/>
        <w:jc w:val="both"/>
      </w:pPr>
      <w:r>
        <w:rPr>
          <w:i/>
        </w:rPr>
        <w:t>“</w:t>
      </w:r>
      <w:r w:rsidRPr="00F95084">
        <w:rPr>
          <w:i/>
        </w:rPr>
        <w:t>Mientras las monedas de India, Turquía, Filipinas y Malasia registraron mínimos históricos frente al dólar, otras economías en desarrollo se han salvado de la ola de ventas, demostrando que los inversionistas no están metiendo a todos los países en el mismo saco. México y Corea del Sur, que fueron ejes de colapsos económicos y financieros en los años 90, han salido relativamente ilesos en esta ocasión, mientras que varias economías de Europa del Este también han capeado bien la tormenta. En cambio, los inversionistas han castigado a los países con grandes desequilibrios comerciales y un alto endeudamiento externo. “Lo que estamos viendo últimamente es un poco más de discriminación”, apunta Luis Oganes, director de investigación de América Latina en J.P. Morgan. “Los inversionistas están observando los fundamentos de cada país y eligiendo a ganadores y perdedores”… Las economías que dependen más del capital extranjero a corto plazo para financiar sus déficits comerciales, como Turquía e India, o que tienen grandes deudas externas, han sido las más afectadas. El banco central de Turquía, que la semana pasada elevó la tasa de interés interbancaria para préstamos a un día a 7,75%, informó el martes que no contempla nuevos aumentos de tasas, un reconocimiento implícito de que sus esfuerzos por restringir la liquidez han fracasado. Sin embargo, los países que aprovecharon la era del crédito barato para reformar sus economías están cosechando los beneficios. México realizó cambios orientados a apuntalar el crecimiento y atraer capital a largo plazo, como la inversión en fábricas. Corea del Sur, por su parte, redujo drásticamente su exposición a la deuda externa de corto plazo</w:t>
      </w:r>
      <w:r>
        <w:rPr>
          <w:i/>
        </w:rPr>
        <w:t>”..</w:t>
      </w:r>
      <w:r w:rsidRPr="00F95084">
        <w:rPr>
          <w:i/>
        </w:rPr>
        <w:t xml:space="preserve">. </w:t>
      </w:r>
      <w:r w:rsidRPr="00632869">
        <w:rPr>
          <w:u w:val="single"/>
        </w:rPr>
        <w:t>Los mercados castigan a los países emergentes que no hicieron reformas</w:t>
      </w:r>
      <w:r>
        <w:t xml:space="preserve"> (The Wall Street Journal - </w:t>
      </w:r>
      <w:r w:rsidRPr="00632869">
        <w:rPr>
          <w:b/>
        </w:rPr>
        <w:t>28/8/13</w:t>
      </w:r>
      <w:r>
        <w:t>)</w:t>
      </w:r>
    </w:p>
    <w:p w:rsidR="003969F7" w:rsidRDefault="003969F7" w:rsidP="003969F7">
      <w:pPr>
        <w:pStyle w:val="NormalWeb"/>
        <w:jc w:val="both"/>
        <w:rPr>
          <w:i/>
        </w:rPr>
      </w:pPr>
      <w:r>
        <w:rPr>
          <w:rFonts w:ascii="Arial" w:hAnsi="Arial" w:cs="Arial"/>
          <w:noProof/>
          <w:color w:val="000000"/>
          <w:sz w:val="15"/>
          <w:szCs w:val="15"/>
        </w:rPr>
        <w:drawing>
          <wp:inline distT="0" distB="0" distL="0" distR="0" wp14:anchorId="29648861" wp14:editId="10D0B068">
            <wp:extent cx="5398770" cy="2926080"/>
            <wp:effectExtent l="0" t="0" r="0" b="7620"/>
            <wp:docPr id="51" name="Imagen 5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770" cy="2926080"/>
                    </a:xfrm>
                    <a:prstGeom prst="rect">
                      <a:avLst/>
                    </a:prstGeom>
                    <a:noFill/>
                    <a:ln>
                      <a:noFill/>
                    </a:ln>
                  </pic:spPr>
                </pic:pic>
              </a:graphicData>
            </a:graphic>
          </wp:inline>
        </w:drawing>
      </w:r>
    </w:p>
    <w:p w:rsidR="003969F7" w:rsidRDefault="003969F7" w:rsidP="003969F7">
      <w:pPr>
        <w:pStyle w:val="NormalWeb"/>
        <w:jc w:val="both"/>
      </w:pPr>
      <w:r w:rsidRPr="00F95084">
        <w:rPr>
          <w:i/>
        </w:rPr>
        <w:lastRenderedPageBreak/>
        <w:t>“Noches alegres, mañanas tristes... Tras años bebiendo en la fiesta de liquidez por cortesía de la Reserva Federal de Estados Unidos, ha llegado el alba para los mercados emergentes. Desde que el pasado mes de mayo el presidente de la institución monetaria, Ben Bernanke, dio a conocer sus intenciones de comenzar a retirar los estímulos, los inversores han puesto pies en polvorosa y países como Brasil, India, Indonesia, Malasia, Sudáfrica y Turquía asisten impotentes a</w:t>
      </w:r>
      <w:r w:rsidRPr="00F95084">
        <w:rPr>
          <w:rStyle w:val="Textoennegrita"/>
          <w:i/>
        </w:rPr>
        <w:t xml:space="preserve"> </w:t>
      </w:r>
      <w:r w:rsidRPr="00F95084">
        <w:rPr>
          <w:rStyle w:val="Textoennegrita"/>
          <w:b w:val="0"/>
          <w:i/>
        </w:rPr>
        <w:t>salidas masivas de capitales y desplomes en sus divisas. </w:t>
      </w:r>
      <w:r w:rsidRPr="00F95084">
        <w:rPr>
          <w:b/>
          <w:i/>
        </w:rPr>
        <w:t xml:space="preserve"> “</w:t>
      </w:r>
      <w:r w:rsidRPr="00F95084">
        <w:rPr>
          <w:rStyle w:val="Textoennegrita"/>
          <w:b w:val="0"/>
          <w:i/>
        </w:rPr>
        <w:t>Se ha comenzado a ver la realidad de estos países</w:t>
      </w:r>
      <w:r w:rsidRPr="00F95084">
        <w:rPr>
          <w:rStyle w:val="Textoennegrita"/>
          <w:i/>
        </w:rPr>
        <w:t>,</w:t>
      </w:r>
      <w:r w:rsidRPr="00F95084">
        <w:rPr>
          <w:i/>
        </w:rPr>
        <w:t xml:space="preserve"> que han crecido muy rápido y, en muchos casos, de manera desordenada”, explica a Cotizalia Daniel Álvarez, analista de XTB. “Esto ha hecho que hayan sido los más castigados por el </w:t>
      </w:r>
      <w:r w:rsidRPr="00F95084">
        <w:rPr>
          <w:rStyle w:val="nfasis"/>
          <w:b w:val="0"/>
          <w:i/>
        </w:rPr>
        <w:t>tapering</w:t>
      </w:r>
      <w:r w:rsidRPr="00F95084">
        <w:rPr>
          <w:i/>
        </w:rPr>
        <w:t xml:space="preserve">”, concluye… El caso de Turquía no es tan esperanzador como el de Brasil. Hay cierta decepción porque </w:t>
      </w:r>
      <w:r w:rsidRPr="00F95084">
        <w:rPr>
          <w:rStyle w:val="Textoennegrita"/>
          <w:b w:val="0"/>
          <w:i/>
        </w:rPr>
        <w:t>se esperaban medidas más fuertes por parte de su banco central</w:t>
      </w:r>
      <w:r w:rsidRPr="00F95084">
        <w:rPr>
          <w:rStyle w:val="Textoennegrita"/>
          <w:i/>
        </w:rPr>
        <w:t>,</w:t>
      </w:r>
      <w:r w:rsidRPr="00F95084">
        <w:rPr>
          <w:i/>
        </w:rPr>
        <w:t xml:space="preserve"> explican fuentes del mercado a Cotizalia.</w:t>
      </w:r>
      <w:r w:rsidRPr="00F95084">
        <w:rPr>
          <w:rStyle w:val="Textoennegrita"/>
          <w:i/>
        </w:rPr>
        <w:t xml:space="preserve"> </w:t>
      </w:r>
      <w:r w:rsidRPr="00F95084">
        <w:rPr>
          <w:rStyle w:val="Textoennegrita"/>
          <w:b w:val="0"/>
          <w:i/>
        </w:rPr>
        <w:t>La lira acumula una caída del 15%</w:t>
      </w:r>
      <w:r w:rsidRPr="00F95084">
        <w:rPr>
          <w:i/>
        </w:rPr>
        <w:t xml:space="preserve"> desde septiembre del año pasado, aunque el grueso del castigo se viene produciendo desde la comparecencia de Bernanke ante el Congreso de EEUU el pasado 22 de mayo, cuando mostró abiertamente sus intenciones de empezar a reducir la</w:t>
      </w:r>
      <w:r w:rsidRPr="00F95084">
        <w:rPr>
          <w:rStyle w:val="nfasis"/>
          <w:i/>
        </w:rPr>
        <w:t xml:space="preserve"> </w:t>
      </w:r>
      <w:r w:rsidRPr="00F95084">
        <w:rPr>
          <w:rStyle w:val="nfasis"/>
          <w:b w:val="0"/>
          <w:i/>
        </w:rPr>
        <w:t>barra libre</w:t>
      </w:r>
      <w:r w:rsidRPr="00F95084">
        <w:rPr>
          <w:i/>
        </w:rPr>
        <w:t xml:space="preserve"> de liquidez. “Se ha depreciado alrededor de un 10% en los últimos 4 meses, pero las medidas de política monetaria, quizá porque no hay consenso, son menos agresivas cuando el mercado esperaba fuertes subidas de tipos de interés”, explican desde XTB. “El gobernador del banco central, Erdem Basci, es consciente de que hay un problema, pero, de momento, ha descartado más subidas de tipos -desde el 4,5% actual-, por lo que todavía esperamos debilidad de la lira en el último trimestre”, asegura. No obstante, el consenso del mercado apunta a una cierta recuperación durante los próximos 3 meses, hasta las 1,98 liras por dólar frente al 2,06 actual y 2,70 en el caso del cruce con el euro”…</w:t>
      </w:r>
      <w:r>
        <w:t xml:space="preserve"> </w:t>
      </w:r>
      <w:r w:rsidRPr="000936AA">
        <w:rPr>
          <w:u w:val="single"/>
        </w:rPr>
        <w:t>La retirada de la Fed saca a la luz las vergüenzas de los emergentes</w:t>
      </w:r>
      <w:r>
        <w:t xml:space="preserve"> (El Confidencial - </w:t>
      </w:r>
      <w:r w:rsidRPr="000936AA">
        <w:rPr>
          <w:b/>
        </w:rPr>
        <w:t>7/9/13</w:t>
      </w:r>
      <w:r>
        <w:t>)</w:t>
      </w:r>
    </w:p>
    <w:p w:rsidR="003969F7" w:rsidRDefault="003969F7" w:rsidP="003969F7">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B62BB0">
        <w:rPr>
          <w:rFonts w:ascii="Times New Roman" w:eastAsia="Times New Roman" w:hAnsi="Times New Roman" w:cs="Times New Roman"/>
          <w:i/>
          <w:sz w:val="24"/>
          <w:szCs w:val="24"/>
        </w:rPr>
        <w:t xml:space="preserve">La Unión Europea reabre las negociaciones con Ankara en un clima de desconfianza mutua. Las reformas para la adhesión del país islámico necesitan mayor impulso. En la tarde de ayer los ministros de Exteriores de la Unión Europea anunciaban su decisión de desbloquear las negociaciones para la integración de Turquía. Después de tres años de estancamiento, el país otomano vuelve a ver abierta la puerta de la UE, si bien permanecen las reticencias de Alemania y Francia. El anuncio lo hizo público Stefan Fule, comisario para la Ampliación: el 5 de noviembre, en el marco de la próxima Conferencia de Acceso, se abrirá el capítulo número 22 del proceso, el que versa sobre las políticas regionales. Las negociaciones debían de haberse acelerado la pasada primavera, pero la ebullición social en Estambul, las denuncias de falta de libertades y la represión ejecutada por el gobierno turco contra las protestas ciudadanas paralizaron el proceso. Se abrió entonces un debate subterráneo en torno a la cuestión turca: voces muy influyentes en Bruselas, inspiradas especialmente por Francia y Alemania, aconsejaban suspender sine die las conversaciones ante la evidente falta de libertades en el país, mientras que Ankara, por su parte, hacía saber que precisamente una mayor integración en Europa permitiría democratizar más su sistema. Parece que finalmente el argumento del Gobierno turco se ha impuesto. Hace pocos días la Comisión Europea instaba a los ejecutivos europeos a desbloquear los contactos con Ankara y se abonaba a la tesis de que tales contactos serán el mejor instrumento de presión de la Unión para convencer al Gobierno turco de que introduzca reformas políticas. Stefan Fule lo explicaba literalmente así: “Los desarrollos recientes en Turquía subrayan la importancia del compromiso de la Unión Europea, que sigue siendo punto de referencia para las reformas en Turquía. Con este fin, las negociaciones para el acceso necesitan recobrar impulso”… La economía turca es la </w:t>
      </w:r>
      <w:r w:rsidRPr="00B62BB0">
        <w:rPr>
          <w:rFonts w:ascii="Times New Roman" w:eastAsia="Times New Roman" w:hAnsi="Times New Roman" w:cs="Times New Roman"/>
          <w:i/>
          <w:sz w:val="24"/>
          <w:szCs w:val="24"/>
        </w:rPr>
        <w:lastRenderedPageBreak/>
        <w:t>decimoséptima del mundo. Turquía puede exhibir un portentoso crecimiento durante los últimos años: después de un periodo de fuerte depresión entre 1999 y 2001, el país ha venido creciendo a un ritmo medio del 7% anual. En 2010 el crecimiento del PIB turco fue de un 9,2%, y al año siguiente se mantenía en un 8,5%. Son cifras que sólo pueden exhibir países como India y China. Este milagro turco tiene dos fuentes. Una es la llegada al poder del partido islamista moderado Justicia y Desarrollo, de Erdogan, dispuesto a liberalizar la economía a cambio de ayuda exterior. La otra fuente es el FMI, que aceptó la invitación e inyectó grandes cantidades de dinero. Hoy la economía turca es la segunda mayor receptora de inversiones extranjeras en toda Asia occidental. El dinero ha encontrado en Turquía una excelente plataforma para prosperar. Inconveniente: el déficit exterior del país llegó a superar en 2011 el 10% del PIB, con la consiguiente depreciación de la lira turca en un 22% respecto al dólar y un preocupante repunte de la inflación. Erdogan salió del paso reactivando la demanda interior –con un éxito muy limitado– y privatizando a mansalva empresas públicas, especialmente en materia de energía y telecomunicaciones. En este momento, no obstante, el déficit exterior turco sigue siendo importante: 50,6 millardos de dólares en el primer trimestre de 2013. En esta situación, la entrada en la UE representaría para Turquía un alivio considerable porque su economía quedaría menos expuesta a los vaivenes del mercado mundial. Un ejemplo: hace pocos meses, cuando la reserva federal americana anunció la reducción de emisiones de dólar en el mercado, la economía turca reaccionó inmediatamente con un aumento de los tipos de interés y un encarecimiento de las importaciones, con la consiguiente inflación. Esta hipersensibilidad, derivada de su fuerte compromiso con la inversión extranjera, es sin duda el talón de Aquiles del milagro turco. Alemania y Francia saben que la economía turca se mueve en la cuerda floja. Ambos países son el primer y el segundo receptor de las exportaciones turcas, y se cuentan también entre los cinco principales exportadores a Turquía. Aunque los acuerdos comerciales con Rusia, China y los Estados Unidos funcionan con intensidad creciente, la Unión Europea sigue siendo el primer mercado para el comercio exterior turco, con el Reino Unido e Italia flanqueando a franceses y alemanes en la lista. No está claro que una integración turca en la UE, más allá de los acuerdos comerciales, fuera a producir beneficios para los países europeos. Con todo, la integración aún parece lejos. El proceso de negociación con la UE consta de 35 capítulos. De ellos, sólo se han abierto 14 y no hay más que uno cerrado. Los capítulos considerados políticamente decisivos, el 23 y el 24, relativos a las libertades públicas y la justicia, seguirán sin abordarse, al menos a medio plazo. Turquía tendrá que seguir esperando</w:t>
      </w:r>
      <w:r>
        <w:rPr>
          <w:rFonts w:ascii="Times New Roman" w:eastAsia="Times New Roman" w:hAnsi="Times New Roman" w:cs="Times New Roman"/>
          <w:i/>
          <w:sz w:val="24"/>
          <w:szCs w:val="24"/>
        </w:rPr>
        <w:t>”..</w:t>
      </w:r>
      <w:r w:rsidRPr="00B62BB0">
        <w:rPr>
          <w:rFonts w:ascii="Times New Roman" w:eastAsia="Times New Roman" w:hAnsi="Times New Roman" w:cs="Times New Roman"/>
          <w:i/>
          <w:sz w:val="24"/>
          <w:szCs w:val="24"/>
        </w:rPr>
        <w:t xml:space="preserve">. </w:t>
      </w:r>
      <w:r w:rsidRPr="00455458">
        <w:rPr>
          <w:rFonts w:ascii="Times New Roman" w:eastAsia="Times New Roman" w:hAnsi="Times New Roman" w:cs="Times New Roman"/>
          <w:sz w:val="24"/>
          <w:szCs w:val="24"/>
          <w:u w:val="single"/>
        </w:rPr>
        <w:t>Turquía, marcada por una economía en la cuerda floja</w:t>
      </w:r>
      <w:r>
        <w:rPr>
          <w:rFonts w:ascii="Times New Roman" w:eastAsia="Times New Roman" w:hAnsi="Times New Roman" w:cs="Times New Roman"/>
          <w:sz w:val="24"/>
          <w:szCs w:val="24"/>
        </w:rPr>
        <w:t xml:space="preserve"> (Gaceta.es - </w:t>
      </w:r>
      <w:r w:rsidRPr="00455458">
        <w:rPr>
          <w:rFonts w:ascii="Times New Roman" w:eastAsia="Times New Roman" w:hAnsi="Times New Roman" w:cs="Times New Roman"/>
          <w:b/>
          <w:sz w:val="24"/>
          <w:szCs w:val="24"/>
        </w:rPr>
        <w:t>24/10/13</w:t>
      </w:r>
      <w:r>
        <w:rPr>
          <w:rFonts w:ascii="Times New Roman" w:eastAsia="Times New Roman" w:hAnsi="Times New Roman" w:cs="Times New Roman"/>
          <w:sz w:val="24"/>
          <w:szCs w:val="24"/>
        </w:rPr>
        <w:t>)</w:t>
      </w:r>
      <w:r w:rsidRPr="006B7A8C">
        <w:rPr>
          <w:rFonts w:ascii="Times New Roman" w:eastAsia="Times New Roman" w:hAnsi="Times New Roman" w:cs="Times New Roman"/>
          <w:sz w:val="24"/>
          <w:szCs w:val="24"/>
        </w:rPr>
        <w:t xml:space="preserve"> </w:t>
      </w:r>
    </w:p>
    <w:p w:rsidR="003969F7" w:rsidRPr="00C51709" w:rsidRDefault="003969F7" w:rsidP="003969F7">
      <w:pPr>
        <w:pStyle w:val="NormalWeb"/>
        <w:jc w:val="both"/>
      </w:pPr>
      <w:r w:rsidRPr="00C51709">
        <w:rPr>
          <w:i/>
        </w:rPr>
        <w:t xml:space="preserve">“¿Está la Unión Europea perdiendo relevancia en sus fronteras orientales? De la </w:t>
      </w:r>
      <w:hyperlink r:id="rId14" w:history="1">
        <w:r w:rsidRPr="00C51709">
          <w:rPr>
            <w:rStyle w:val="Hipervnculo"/>
            <w:i/>
            <w:color w:val="auto"/>
          </w:rPr>
          <w:t>crisis de Ucrania</w:t>
        </w:r>
      </w:hyperlink>
      <w:r w:rsidRPr="00C51709">
        <w:rPr>
          <w:i/>
        </w:rPr>
        <w:t xml:space="preserve"> a la inestabilidad política en el Cá</w:t>
      </w:r>
      <w:r w:rsidR="00C51709">
        <w:rPr>
          <w:i/>
        </w:rPr>
        <w:t>ucaso, pasando por el languidec</w:t>
      </w:r>
      <w:r w:rsidRPr="00C51709">
        <w:rPr>
          <w:i/>
        </w:rPr>
        <w:t xml:space="preserve">ente </w:t>
      </w:r>
      <w:hyperlink r:id="rId15" w:history="1">
        <w:r w:rsidRPr="00C51709">
          <w:rPr>
            <w:rStyle w:val="Hipervnculo"/>
            <w:i/>
            <w:color w:val="auto"/>
          </w:rPr>
          <w:t>proceso de adhesión de Turquía</w:t>
        </w:r>
      </w:hyperlink>
      <w:r w:rsidRPr="00C51709">
        <w:rPr>
          <w:i/>
        </w:rPr>
        <w:t xml:space="preserve">, la UE experimenta toda una serie de dificultades que cuestionan la potencia del </w:t>
      </w:r>
      <w:r w:rsidRPr="00C51709">
        <w:rPr>
          <w:rStyle w:val="nfasis"/>
          <w:rFonts w:eastAsiaTheme="majorEastAsia"/>
          <w:b w:val="0"/>
          <w:i/>
        </w:rPr>
        <w:t>soft power</w:t>
      </w:r>
      <w:r w:rsidRPr="00C51709">
        <w:rPr>
          <w:i/>
        </w:rPr>
        <w:t xml:space="preserve"> europeo en su flanco derecho. </w:t>
      </w:r>
      <w:r w:rsidRPr="00C51709">
        <w:rPr>
          <w:b/>
          <w:i/>
        </w:rPr>
        <w:t>“</w:t>
      </w:r>
      <w:r w:rsidRPr="00C51709">
        <w:rPr>
          <w:rStyle w:val="Textoennegrita"/>
          <w:b w:val="0"/>
          <w:i/>
        </w:rPr>
        <w:t>Se debe sobre todo a la crisis económica</w:t>
      </w:r>
      <w:r w:rsidRPr="00C51709">
        <w:rPr>
          <w:i/>
        </w:rPr>
        <w:t xml:space="preserve">. Cuando se pierde potencia económica, también se pierde capacidad de influencia”, explica a </w:t>
      </w:r>
      <w:r w:rsidRPr="00C51709">
        <w:rPr>
          <w:rStyle w:val="nfasis"/>
          <w:rFonts w:eastAsiaTheme="majorEastAsia"/>
          <w:b w:val="0"/>
          <w:i/>
        </w:rPr>
        <w:t>El Confidencial</w:t>
      </w:r>
      <w:r w:rsidRPr="00C51709">
        <w:rPr>
          <w:i/>
        </w:rPr>
        <w:t xml:space="preserve"> el profesor Yalim Eralp, antiguo embajador turco en Bruselas, Washington y otros países, y en la actualidad analista del Centro de Tendencias Políticas Globales de Estambul (GPOT)… ¿Y Turquía? El cacareado proceso de adhesión, prácticamente moribundo en los últimos años, parece haberse visto revitalizado en los últimos meses con la apertura de un nuevo capítulo de la negociación, y con un cambio de tono por parte de los líderes europeos, especialmente los de Francia. Ayer, el Ministro de Exteriores turco, Ahmet Davutoglu, </w:t>
      </w:r>
      <w:r w:rsidRPr="00C51709">
        <w:rPr>
          <w:i/>
        </w:rPr>
        <w:lastRenderedPageBreak/>
        <w:t xml:space="preserve">anunció que </w:t>
      </w:r>
      <w:r w:rsidRPr="00C51709">
        <w:rPr>
          <w:rStyle w:val="Textoennegrita"/>
          <w:b w:val="0"/>
          <w:i/>
        </w:rPr>
        <w:t>la UE eliminará los visados para los ciudadanos turcos en un plazo de tres años y medio</w:t>
      </w:r>
      <w:r w:rsidRPr="00C51709">
        <w:rPr>
          <w:i/>
        </w:rPr>
        <w:t xml:space="preserve">. La negociación ha durado más de dos años, y se ha logrado sólo después de que Turquía aceptase a cambio firmar un acuerdo de readmisión de inmigrantes que penetren en suelo europeo a través de territorio turco. Sin embargo, </w:t>
      </w:r>
      <w:r w:rsidRPr="00C51709">
        <w:rPr>
          <w:rStyle w:val="Textoennegrita"/>
          <w:b w:val="0"/>
          <w:i/>
        </w:rPr>
        <w:t>el interés turco por la UE es cada vez menor</w:t>
      </w:r>
      <w:r w:rsidRPr="00C51709">
        <w:rPr>
          <w:b/>
          <w:i/>
        </w:rPr>
        <w:t>:</w:t>
      </w:r>
      <w:r w:rsidRPr="00C51709">
        <w:rPr>
          <w:i/>
        </w:rPr>
        <w:t xml:space="preserve"> apenas un 44% de los ciudadanos considera la entrada en la Unión Europea como algo positivo, frente a un 48% el año pasado, y un sorprendente 73% en 2004, de acuerdo con una encuesta financiada por el German Marshall Fund y publicada en septiembre. Un 38% considera que Turquía debería actuar de forma totalmente independiente, mientras que un 21% opina que debe cooperar con la UE en temas internacionales, y sólo un 39% considera esencial a la OTAN. “En gran medida, Turquía sigue considerando a la Unión Europea como una opción, aunque la gente está enfadada porque nos ha hecho la vida más difícil. Pero la UE sigue siendo un centro de atracción para los turcos”, explica el exembajador Eralp. “A través de nuestra historia, la construcción de nuestra democracia se ha basado en el modelo europeo. </w:t>
      </w:r>
      <w:r w:rsidRPr="00C51709">
        <w:rPr>
          <w:rStyle w:val="Textoennegrita"/>
          <w:b w:val="0"/>
          <w:i/>
        </w:rPr>
        <w:t>Uno no ve mucha esperanza democrática en nuestros vecinos del Este</w:t>
      </w:r>
      <w:r w:rsidRPr="00C51709">
        <w:rPr>
          <w:i/>
        </w:rPr>
        <w:t xml:space="preserve">”, señala. La eliminación de visados para los turcos “es tal vez una posibilidad real, porque Turquía se ha vuelto más rica. Ahora hay europeos que vienen a trabajar aquí, especialmente desde Grecia. </w:t>
      </w:r>
      <w:r w:rsidRPr="00C51709">
        <w:rPr>
          <w:rStyle w:val="Textoennegrita"/>
          <w:b w:val="0"/>
          <w:i/>
        </w:rPr>
        <w:t>Una vez que esto se establezca, ya no habrá turcos entrando en Europa ilegalmente</w:t>
      </w:r>
      <w:r w:rsidRPr="00C51709">
        <w:rPr>
          <w:i/>
        </w:rPr>
        <w:t xml:space="preserve">”, asegura Eralp”... </w:t>
      </w:r>
      <w:r w:rsidRPr="00C51709">
        <w:rPr>
          <w:u w:val="single"/>
        </w:rPr>
        <w:t>Las batallas perdidas de la UE en el Este</w:t>
      </w:r>
      <w:r w:rsidRPr="00C51709">
        <w:t xml:space="preserve"> (El Confidencial - </w:t>
      </w:r>
      <w:r w:rsidRPr="00C51709">
        <w:rPr>
          <w:b/>
        </w:rPr>
        <w:t>5/12/13</w:t>
      </w:r>
      <w:r w:rsidRPr="00C51709">
        <w:t>)</w:t>
      </w:r>
    </w:p>
    <w:p w:rsidR="003969F7" w:rsidRDefault="003969F7" w:rsidP="003969F7">
      <w:pPr>
        <w:pStyle w:val="NormalWeb"/>
        <w:jc w:val="both"/>
      </w:pPr>
      <w:r>
        <w:rPr>
          <w:i/>
        </w:rPr>
        <w:t>“</w:t>
      </w:r>
      <w:r w:rsidRPr="00677808">
        <w:rPr>
          <w:i/>
        </w:rPr>
        <w:t>El creador del término BRIC afirma que no siempre ha sido optimista, pero ahora su entusiasmo por la economía global está por las nubes. “Durante los años 90, fui pesimista sobre el mundo porque estaba muy preocupado por la (balanza de) cuenta corriente de Estados Unidos”, indicó Jim O'Neill en una entrevista telefónica. Eso cambió en la década de 2000, cuando acuñó el término BRIC, esta década también luce bien, dice. “En algunos aspectos se trata de EEUU y China intercambiando lugares, y está sucediendo”, afirmó O'Neill… El ex economista jefe de Goldman Sachs quien renunció al banco este año- ahora está dando un vistazo más allá de los BRIC, hacia otro grupo de países que tienen posibilidades de brillar. En un programa de la BBC Radio, habló sobre cuatro economías emergentes que podrían ascender al grupo de las 10 mayores del mundo para 2050. Las elegidas son México, Indonesia, Nigeria y Turquía, o MINT: sus características unificadoras son una demografía favorable y perspectivas económicas atractivas. Sin embargo, nunca estarán a la altura de los BRIC, que siempre seguirán siendo mucho mayores, sostiene. En dos años, China por sí solo crea más riqueza que el Producto Interno Bruto combinado de los MINT. Las mayores economías de este nuevo grupo son México y Turquía, y no se prevé que ninguna de las dos alcance tasas de crecimiento similares a las de China, por lo que el promedio está sesgado. Nigeria, el país más pequeño del grupo, es el que tiene más potencial</w:t>
      </w:r>
      <w:r>
        <w:rPr>
          <w:i/>
        </w:rPr>
        <w:t>”..</w:t>
      </w:r>
      <w:r w:rsidRPr="00677808">
        <w:rPr>
          <w:i/>
        </w:rPr>
        <w:t>.</w:t>
      </w:r>
      <w:r>
        <w:t xml:space="preserve"> </w:t>
      </w:r>
      <w:r w:rsidRPr="00FA39C1">
        <w:rPr>
          <w:u w:val="single"/>
        </w:rPr>
        <w:t>El economista que acuñó el término BRIC ahora mira hacia los MINT</w:t>
      </w:r>
      <w:r>
        <w:t xml:space="preserve"> (The Wall Street Journal - </w:t>
      </w:r>
      <w:r w:rsidRPr="00FA39C1">
        <w:rPr>
          <w:b/>
        </w:rPr>
        <w:t>10/12/13</w:t>
      </w:r>
      <w:r>
        <w:t>)</w:t>
      </w:r>
    </w:p>
    <w:p w:rsidR="003969F7" w:rsidRDefault="003969F7" w:rsidP="003969F7">
      <w:pPr>
        <w:pStyle w:val="NormalWeb"/>
        <w:jc w:val="both"/>
      </w:pPr>
      <w:r>
        <w:rPr>
          <w:i/>
        </w:rPr>
        <w:t>“</w:t>
      </w:r>
      <w:r w:rsidRPr="00677808">
        <w:rPr>
          <w:i/>
        </w:rPr>
        <w:t xml:space="preserve">La economía global tuvo otro año difícil en 2013. El crecimiento por debajo de la tendencia de las economías avanzadas continuó, y la producción subió a una tasa promedio anual de aproximadamente 1%, mientras que muchos mercados emergentes experimentaron una desaceleración hacia un crecimiento por debajo de la tendencia del 4,8%. Después de un año de crecimiento global inferior a lo normal del 2,9%, ¿qué tiene preparado el 2014 para la economía mundial?... Aun así, algunos mercados emergentes -por ejemplo India, Indonesia, Brasil, Turquía, Sudáfrica, Hungría, Ucrania, Argentina y Venezuela- seguirán en una situación frágil en 2014, debido a </w:t>
      </w:r>
      <w:r w:rsidRPr="00677808">
        <w:rPr>
          <w:i/>
        </w:rPr>
        <w:lastRenderedPageBreak/>
        <w:t>grandes déficits externos y fiscales, una desaceleración del crecimiento, una inflación por debajo del objetivo y tensiones políticas relacionadas con las elecciones. Algunos de estos países -por ejemplo, Indonesia- acaban de implementar un mayor ajuste de las políticas y estarán expuestos a menores riesgos, aunque su crecimiento y sus mercados de activos siguen siendo vulnerables a las incertidumbres en materia de políticas y a las potenciales sacudidas externas</w:t>
      </w:r>
      <w:r>
        <w:rPr>
          <w:i/>
        </w:rPr>
        <w:t>”..</w:t>
      </w:r>
      <w:r w:rsidRPr="00677808">
        <w:rPr>
          <w:i/>
        </w:rPr>
        <w:t xml:space="preserve">. </w:t>
      </w:r>
      <w:r w:rsidRPr="006E086D">
        <w:rPr>
          <w:u w:val="single"/>
        </w:rPr>
        <w:t>Crecimiento lento con pocos riesgos de cola</w:t>
      </w:r>
      <w:r>
        <w:t xml:space="preserve"> (Nouriel Roubini - Project Syndicate - </w:t>
      </w:r>
      <w:r w:rsidRPr="006E086D">
        <w:rPr>
          <w:b/>
        </w:rPr>
        <w:t>31/12/13</w:t>
      </w:r>
      <w:r>
        <w:t>)</w:t>
      </w:r>
    </w:p>
    <w:p w:rsidR="003969F7" w:rsidRPr="00A150B7" w:rsidRDefault="003969F7" w:rsidP="003969F7">
      <w:pPr>
        <w:spacing w:line="240" w:lineRule="auto"/>
        <w:jc w:val="both"/>
        <w:rPr>
          <w:rFonts w:ascii="Times New Roman" w:hAnsi="Times New Roman"/>
          <w:sz w:val="24"/>
          <w:szCs w:val="24"/>
        </w:rPr>
      </w:pPr>
      <w:r>
        <w:rPr>
          <w:rFonts w:ascii="Times New Roman" w:hAnsi="Times New Roman"/>
          <w:i/>
          <w:sz w:val="24"/>
          <w:szCs w:val="24"/>
        </w:rPr>
        <w:t>“</w:t>
      </w:r>
      <w:r w:rsidRPr="00677808">
        <w:rPr>
          <w:rFonts w:ascii="Times New Roman" w:hAnsi="Times New Roman"/>
          <w:i/>
          <w:sz w:val="24"/>
          <w:szCs w:val="24"/>
        </w:rPr>
        <w:t>Para los inversionistas en mercados emergentes, 2013 fue un año de retorcijones causados por los discursos de los principales bancos centrales del mundo.  Para 2014, se puede agregar otro elemento de incertidumbre: las elecciones.  Cinco grandes economías emergentes -Brasil, India, Indonesia, Turquía y Sudáfrica- acudirán a las urnas en 2014.  Sus nuevos líderes enfrentan un mundo transformado. La Reserva Federal está reduciendo su estímulo monetario, que ha inyectado volúmenes históricos de efectivo a la economía global y beneficiado a unos pocos en vez de a los grandes mercados emergentes que necesitan desesperadamente moneda extranjera.  Sin ese apoyo, dicen los inversionistas, los países que no realicen reformas económicas sufrirán… Las elecciones se presentan en un momento precario para los países en desarrollo. El frenético crecimiento económico en los últimos años que llevó a los extranjeros a colocar miles de millones de dólares en los mercados regionales de bonos y acciones se ha estancado. El aumento de la inflación ha perjudicado los ahorros y el descontento popular con el gobierno se ha manifestado en las calles en países como Brasil y Turquía</w:t>
      </w:r>
      <w:r>
        <w:rPr>
          <w:rFonts w:ascii="Times New Roman" w:hAnsi="Times New Roman"/>
          <w:i/>
          <w:sz w:val="24"/>
          <w:szCs w:val="24"/>
        </w:rPr>
        <w:t>”..</w:t>
      </w:r>
      <w:r w:rsidRPr="00677808">
        <w:rPr>
          <w:rFonts w:ascii="Times New Roman" w:hAnsi="Times New Roman"/>
          <w:i/>
          <w:sz w:val="24"/>
          <w:szCs w:val="24"/>
        </w:rPr>
        <w:t xml:space="preserve">. </w:t>
      </w:r>
      <w:r w:rsidRPr="00A150B7">
        <w:rPr>
          <w:rFonts w:ascii="Times New Roman" w:hAnsi="Times New Roman"/>
          <w:sz w:val="24"/>
          <w:szCs w:val="24"/>
          <w:u w:val="single"/>
        </w:rPr>
        <w:t>Cinco economías emergentes se juegan su futuro en las urnas</w:t>
      </w:r>
      <w:r>
        <w:rPr>
          <w:rFonts w:ascii="Times New Roman" w:hAnsi="Times New Roman"/>
          <w:sz w:val="24"/>
          <w:szCs w:val="24"/>
        </w:rPr>
        <w:t xml:space="preserve"> (The Wall Street Journal - </w:t>
      </w:r>
      <w:r w:rsidRPr="00A150B7">
        <w:rPr>
          <w:rFonts w:ascii="Times New Roman" w:hAnsi="Times New Roman"/>
          <w:b/>
          <w:sz w:val="24"/>
          <w:szCs w:val="24"/>
        </w:rPr>
        <w:t>2/1/14</w:t>
      </w:r>
      <w:r>
        <w:rPr>
          <w:rFonts w:ascii="Times New Roman" w:hAnsi="Times New Roman"/>
          <w:sz w:val="24"/>
          <w:szCs w:val="24"/>
        </w:rPr>
        <w:t>)</w:t>
      </w:r>
      <w:r w:rsidRPr="00A150B7">
        <w:rPr>
          <w:rFonts w:ascii="Times New Roman" w:hAnsi="Times New Roman"/>
          <w:sz w:val="24"/>
          <w:szCs w:val="24"/>
        </w:rPr>
        <w:t xml:space="preserve"> </w:t>
      </w:r>
    </w:p>
    <w:p w:rsidR="003969F7" w:rsidRDefault="003969F7" w:rsidP="003969F7">
      <w:pPr>
        <w:spacing w:line="240" w:lineRule="auto"/>
        <w:jc w:val="both"/>
        <w:rPr>
          <w:rFonts w:ascii="Times New Roman" w:hAnsi="Times New Roman"/>
          <w:i/>
          <w:sz w:val="24"/>
          <w:szCs w:val="24"/>
        </w:rPr>
      </w:pPr>
      <w:r>
        <w:rPr>
          <w:rFonts w:ascii="Arial" w:hAnsi="Arial" w:cs="Arial"/>
          <w:noProof/>
          <w:color w:val="000000"/>
          <w:sz w:val="15"/>
          <w:szCs w:val="15"/>
          <w:lang w:eastAsia="es-ES"/>
        </w:rPr>
        <w:drawing>
          <wp:inline distT="0" distB="0" distL="0" distR="0" wp14:anchorId="310C3DFB" wp14:editId="3DB28280">
            <wp:extent cx="5400040" cy="3667760"/>
            <wp:effectExtent l="0" t="0" r="0" b="8890"/>
            <wp:docPr id="10" name="Imagen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40" cy="3667760"/>
                    </a:xfrm>
                    <a:prstGeom prst="rect">
                      <a:avLst/>
                    </a:prstGeom>
                    <a:noFill/>
                    <a:ln>
                      <a:noFill/>
                    </a:ln>
                  </pic:spPr>
                </pic:pic>
              </a:graphicData>
            </a:graphic>
          </wp:inline>
        </w:drawing>
      </w:r>
    </w:p>
    <w:p w:rsidR="003969F7" w:rsidRDefault="003969F7" w:rsidP="003969F7">
      <w:pPr>
        <w:pStyle w:val="NormalWeb"/>
        <w:jc w:val="both"/>
      </w:pPr>
      <w:r>
        <w:rPr>
          <w:i/>
        </w:rPr>
        <w:t>“</w:t>
      </w:r>
      <w:r w:rsidRPr="00421BA1">
        <w:rPr>
          <w:i/>
        </w:rPr>
        <w:t xml:space="preserve">Acosados por la inestabilidad política, una caída de la confianza y una de las monedas de más rápida devaluación del mundo, Turquía y su banco central convocaron una reunión de emergencia el martes, una medida que podría someter a prueba la capacidad de los otrora pujantes mercados emergentes para evitar una crisis </w:t>
      </w:r>
      <w:r w:rsidRPr="00421BA1">
        <w:rPr>
          <w:i/>
        </w:rPr>
        <w:lastRenderedPageBreak/>
        <w:t>desestabilizadora. Los bancos centrales de muchos países de mercados emergentes están bajo una intensa presión política para mantener las tasas de interés bajas y así sostener el crecimiento económico, a pesar de los efectos inflacionarios. La economía mundial comenzó 2014 en su mejor forma desde antes de la crisis financiera global de 2008, gracias a la recuperación en Estados Unidos y el Reino Unido, la capacidad de repunte económico de China y señales de estabilidad en la zona euro. Sin embargo, recientes tensiones en Turquía y otros países como Sudáfrica y Argentina han dado lugar a fuertes caídas en los mercados mundiales de renta variable, reviviendo temores de un contagio financiero que podría descarrilar la expansión. “Para nosotros, la salud de los mercados emergentes es más importante ahora que en el pasado”, dice Simon Johnson, ex economista jefe del Fondo Monetario Internacional. “Importa cómo las personas están valorando el riesgo [de los mercados financieros], que es cada vez más un problema global”, señala. Después de esquivar la semana pasada la presión de los mercados financieros para aumentar las tasas de interés, el presidente del banco central de Turquía, Erdem Basci, está entre la espada y la pared. Los analistas dicen que va a tener que aumentar agresivamente las tasas de interés en la reunión extraordinaria para detener la caída de la lira. “Tenemos que ver un aumento en las tasas y necesita ser significativo”, dijo Tim Ash, economista jefe de mercados emergentes de Standard Bank. “En el pasado, el banco ha sido poco entusiasta y temporal. Las apuestas son más altas ahora y el mercado quiere ver una política creíble y más coherente”… La economía de Turquía no es lo suficientemente grande como para perturbar por sí sola la economía global. Su Producto Interno Bruto es de US$ 822.000 millones, de acuerdo con cifras del Fondo Monetario Internacional, casi 5% el tamaño de EEUU. Sin embargo, Turquía podría ser un referente para otros mercados emergentes que tratan de combatir la fuga de capitales y el aumento de la inflación sin paralizar sus economías a través de excesivas alzas de tasas de interés. Sudáfrica, por ejemplo, se enfrenta a una mezcla similar de crecimiento débil e inflación alta, lo que presiona a su banco central a elevar las tasas de interés… Durante más de un mes, una investigación de corrupción que se ha expandido a decenas de aliados del primer ministro Recep Tayyip Erdogan ha contribuido a los problemas de los mercados financieros de Turquía”…</w:t>
      </w:r>
      <w:r>
        <w:rPr>
          <w:i/>
        </w:rPr>
        <w:t xml:space="preserve"> </w:t>
      </w:r>
      <w:r w:rsidRPr="00FA765E">
        <w:rPr>
          <w:u w:val="single"/>
        </w:rPr>
        <w:t>La crisis de Turquía, un mal augurio para los mercados emergentes</w:t>
      </w:r>
      <w:r>
        <w:t xml:space="preserve"> (The Wall Street Journal - </w:t>
      </w:r>
      <w:r w:rsidRPr="00FA765E">
        <w:rPr>
          <w:b/>
        </w:rPr>
        <w:t>28/1/14</w:t>
      </w:r>
      <w:r>
        <w:t>)</w:t>
      </w:r>
    </w:p>
    <w:p w:rsidR="003969F7" w:rsidRDefault="003969F7" w:rsidP="003969F7">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t>“</w:t>
      </w:r>
      <w:r w:rsidRPr="009F51BC">
        <w:rPr>
          <w:rFonts w:ascii="Times New Roman" w:hAnsi="Times New Roman"/>
          <w:i/>
          <w:sz w:val="24"/>
          <w:szCs w:val="24"/>
        </w:rPr>
        <w:t xml:space="preserve">Los Bancos centrales de la India y Turquía han dado un paso al frente para detener el contagio que ha activado Argentina con su crisis cambiaria y que ha dado la voz de alarma entre los países emergentes ante el peligro de una brusca retirada de capitales. El fin del programa de estímulos de la Fed, conocido desde el pasado mayo y no activado hasta diciembre, fue el punto de inflexión evidente en la relación entre las economías emergentes y los inversores internacionales… Si bien el Banco Central indio se limitó a aplicar un alza en los tipos de interés de 25 puntos básicos, el turco fue mucho más agresivo. En un gesto anticipado ya durante todo el día, la autoridad lanzó un salvavidas a la lira, la moneda nacional, al subir los tipos de interés en 425 puntos, del 7,75% al 12 %... Los mercados emergentes recibieron inversiones masivas durante la crisis en los mercados desarrollados gracias al dinero barato proporcionado por la Fed o el BCE: </w:t>
      </w:r>
      <w:r w:rsidRPr="00C51709">
        <w:rPr>
          <w:rFonts w:ascii="Times New Roman" w:hAnsi="Times New Roman"/>
          <w:i/>
          <w:sz w:val="24"/>
          <w:szCs w:val="24"/>
        </w:rPr>
        <w:t>el 40% de la deuda soberana de Brasil está en manos de inversores extranjeros, un porcentaje que se eleva al 50% en el caso de Turquía y al 86% en el de Sudáfrica.</w:t>
      </w:r>
      <w:r w:rsidRPr="009F51BC">
        <w:rPr>
          <w:rFonts w:ascii="Times New Roman" w:hAnsi="Times New Roman"/>
          <w:i/>
          <w:sz w:val="24"/>
          <w:szCs w:val="24"/>
        </w:rPr>
        <w:t xml:space="preserve"> El derrumbe del peso argentino la semana pasada y la presión vendedora que ha inyectado sobre el conjunto de las divisas emergentes amenaza con revertir esta tendencia, sobre todo ahora que la Reserva Federal está retirando los estímulos. “Las economías emergentes permanecen expuestas al riesgo de un brusco parón. El precio </w:t>
      </w:r>
      <w:r w:rsidRPr="009F51BC">
        <w:rPr>
          <w:rFonts w:ascii="Times New Roman" w:hAnsi="Times New Roman"/>
          <w:i/>
          <w:sz w:val="24"/>
          <w:szCs w:val="24"/>
        </w:rPr>
        <w:lastRenderedPageBreak/>
        <w:t>de los activos no solo refleja las expectativas y opiniones de los inversores, sino también un compromiso con los cambios cuando es necesario. Si las autoridades no se comprometen al cambio y las reformas que son necesarias para generar un nuevo modelo de crecimiento, el precio de los activos se ajustará todo lo que sea necesario para generar ese cambio. Pueden si no preguntárselo a España”, advierte Morgan Stanley en un informe fechado la semana pasada. El mensaje que lanzan los inversores queda claro para unas economías que con crecimientos ahora más débiles que hace un lustro y que empiezan a acusar debilidades en su balanza fiscal o sobre los que surgen ahora las advertencias por sus niveles de endeudamiento y aumento del crédito, que en países como Turquía crece a ritmos del 20%</w:t>
      </w:r>
      <w:r>
        <w:rPr>
          <w:rFonts w:ascii="Times New Roman" w:hAnsi="Times New Roman"/>
          <w:i/>
          <w:sz w:val="24"/>
          <w:szCs w:val="24"/>
        </w:rPr>
        <w:t>”..</w:t>
      </w:r>
      <w:r w:rsidRPr="009F51BC">
        <w:rPr>
          <w:rFonts w:ascii="Times New Roman" w:hAnsi="Times New Roman"/>
          <w:i/>
          <w:sz w:val="24"/>
          <w:szCs w:val="24"/>
        </w:rPr>
        <w:t>.</w:t>
      </w:r>
      <w:r>
        <w:rPr>
          <w:rFonts w:ascii="Times New Roman" w:hAnsi="Times New Roman"/>
          <w:color w:val="000000"/>
          <w:sz w:val="24"/>
          <w:szCs w:val="24"/>
        </w:rPr>
        <w:t xml:space="preserve"> </w:t>
      </w:r>
      <w:r w:rsidRPr="00AF4A02">
        <w:rPr>
          <w:rFonts w:ascii="Times New Roman" w:hAnsi="Times New Roman"/>
          <w:color w:val="000000"/>
          <w:sz w:val="24"/>
          <w:szCs w:val="24"/>
          <w:u w:val="single"/>
        </w:rPr>
        <w:t>Los emergentes suben tipos para contener la fuga de divisas</w:t>
      </w:r>
      <w:r>
        <w:rPr>
          <w:rFonts w:ascii="Times New Roman" w:hAnsi="Times New Roman"/>
          <w:color w:val="000000"/>
          <w:sz w:val="24"/>
          <w:szCs w:val="24"/>
        </w:rPr>
        <w:t xml:space="preserve"> (Cinco Días - </w:t>
      </w:r>
      <w:r w:rsidRPr="00AF4A02">
        <w:rPr>
          <w:rFonts w:ascii="Times New Roman" w:hAnsi="Times New Roman"/>
          <w:b/>
          <w:color w:val="000000"/>
          <w:sz w:val="24"/>
          <w:szCs w:val="24"/>
        </w:rPr>
        <w:t>29/1/14</w:t>
      </w:r>
      <w:r>
        <w:rPr>
          <w:rFonts w:ascii="Times New Roman" w:hAnsi="Times New Roman"/>
          <w:color w:val="000000"/>
          <w:sz w:val="24"/>
          <w:szCs w:val="24"/>
        </w:rPr>
        <w:t>)</w:t>
      </w:r>
    </w:p>
    <w:p w:rsidR="003969F7" w:rsidRPr="009F51BC" w:rsidRDefault="003969F7" w:rsidP="003969F7">
      <w:pPr>
        <w:spacing w:before="100" w:beforeAutospacing="1" w:after="100" w:afterAutospacing="1" w:line="240" w:lineRule="auto"/>
        <w:jc w:val="both"/>
        <w:rPr>
          <w:rFonts w:ascii="Times New Roman" w:hAnsi="Times New Roman"/>
          <w:i/>
          <w:sz w:val="24"/>
          <w:szCs w:val="24"/>
        </w:rPr>
      </w:pPr>
      <w:r>
        <w:rPr>
          <w:rFonts w:ascii="Arial" w:hAnsi="Arial" w:cs="Arial"/>
          <w:noProof/>
          <w:color w:val="333333"/>
          <w:sz w:val="15"/>
          <w:szCs w:val="15"/>
          <w:lang w:eastAsia="es-ES"/>
        </w:rPr>
        <w:drawing>
          <wp:inline distT="0" distB="0" distL="0" distR="0" wp14:anchorId="04454ACF" wp14:editId="7153A6A9">
            <wp:extent cx="5397499" cy="3416300"/>
            <wp:effectExtent l="0" t="0" r="0" b="0"/>
            <wp:docPr id="108" name="Imagen 108" descr="http://s.wsj.net/public/resources/images/OA-BB597_wsjamd_NS_20140129193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sj.net/public/resources/images/OA-BB597_wsjamd_NS_2014012919341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40" cy="3417908"/>
                    </a:xfrm>
                    <a:prstGeom prst="rect">
                      <a:avLst/>
                    </a:prstGeom>
                    <a:noFill/>
                    <a:ln>
                      <a:noFill/>
                    </a:ln>
                  </pic:spPr>
                </pic:pic>
              </a:graphicData>
            </a:graphic>
          </wp:inline>
        </w:drawing>
      </w:r>
    </w:p>
    <w:p w:rsidR="003969F7" w:rsidRDefault="003969F7" w:rsidP="003969F7">
      <w:pPr>
        <w:shd w:val="clear" w:color="auto" w:fill="FFFFFF"/>
        <w:spacing w:after="360" w:line="240" w:lineRule="auto"/>
        <w:jc w:val="both"/>
        <w:rPr>
          <w:rFonts w:ascii="Times New Roman" w:hAnsi="Times New Roman"/>
          <w:color w:val="000000"/>
          <w:sz w:val="24"/>
          <w:szCs w:val="24"/>
        </w:rPr>
      </w:pPr>
      <w:r w:rsidRPr="00C96C92">
        <w:rPr>
          <w:rFonts w:ascii="Times New Roman" w:hAnsi="Times New Roman"/>
          <w:color w:val="000000"/>
          <w:sz w:val="24"/>
          <w:szCs w:val="24"/>
        </w:rPr>
        <w:t>Fuente: Los bancos centrales no logran contener la ola de ventas en los países emergentes</w:t>
      </w:r>
      <w:r>
        <w:rPr>
          <w:rFonts w:ascii="Times New Roman" w:hAnsi="Times New Roman"/>
          <w:color w:val="000000"/>
          <w:sz w:val="24"/>
          <w:szCs w:val="24"/>
        </w:rPr>
        <w:t xml:space="preserve"> (The Wall Street Journal - </w:t>
      </w:r>
      <w:r w:rsidRPr="002E6C3D">
        <w:rPr>
          <w:rFonts w:ascii="Times New Roman" w:hAnsi="Times New Roman"/>
          <w:b/>
          <w:color w:val="000000"/>
          <w:sz w:val="24"/>
          <w:szCs w:val="24"/>
        </w:rPr>
        <w:t>30/1/14</w:t>
      </w:r>
      <w:r>
        <w:rPr>
          <w:rFonts w:ascii="Times New Roman" w:hAnsi="Times New Roman"/>
          <w:color w:val="000000"/>
          <w:sz w:val="24"/>
          <w:szCs w:val="24"/>
        </w:rPr>
        <w:t>)</w:t>
      </w:r>
    </w:p>
    <w:p w:rsidR="003969F7" w:rsidRDefault="003969F7" w:rsidP="003969F7">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t>“</w:t>
      </w:r>
      <w:r w:rsidRPr="00777F4F">
        <w:rPr>
          <w:rFonts w:ascii="Times New Roman" w:hAnsi="Times New Roman"/>
          <w:i/>
          <w:sz w:val="24"/>
          <w:szCs w:val="24"/>
        </w:rPr>
        <w:t>La agitación financiera que en la primavera pasada afectó a las economías con mercados en ascenso ha vuelto con fuerza, a raíz de la “rabieta” de la Reserva Federal de los Estados Unidos sobre su política de relajación cuantitativa. Esta vez, el desencadenante ha sido una confluencia de varios acontecimientos: una crisis monetaria en la Argentina, cuyas autoridades dejaron de intervenir los mercados de cambio para prevenir la pérdida de reservas de divisas, unos datos económicos más flojos en China y la persistencia de la incertidumbre política y los disturbios en Turquía, Ucrania y Tailandia. Ese mini</w:t>
      </w:r>
      <w:r w:rsidR="00C51709">
        <w:rPr>
          <w:rFonts w:ascii="Times New Roman" w:hAnsi="Times New Roman"/>
          <w:i/>
          <w:sz w:val="24"/>
          <w:szCs w:val="24"/>
        </w:rPr>
        <w:t xml:space="preserve"> </w:t>
      </w:r>
      <w:r w:rsidRPr="00777F4F">
        <w:rPr>
          <w:rFonts w:ascii="Times New Roman" w:hAnsi="Times New Roman"/>
          <w:i/>
          <w:sz w:val="24"/>
          <w:szCs w:val="24"/>
        </w:rPr>
        <w:t xml:space="preserve">huracán en los mercados en ascenso no tardó en transmitirse, por la aversión al riesgo de los inversores internacionales, a los mercados de valores de las economías avanzadas, pero no se debe confundir el desencadenante inmediato de esas presiones con sus causas profundas: muchos mercados en ascenso tienen problemas reales. En la lista figuran la India, Indonesia, el Brasil, Turquía y Sudáfrica, apodados los “cinco frágiles”, porque todos ellos tienen déficits tanto fiscales como de cuenta corriente, tasas de crecimiento que están </w:t>
      </w:r>
      <w:r w:rsidRPr="00777F4F">
        <w:rPr>
          <w:rFonts w:ascii="Times New Roman" w:hAnsi="Times New Roman"/>
          <w:i/>
          <w:sz w:val="24"/>
          <w:szCs w:val="24"/>
        </w:rPr>
        <w:lastRenderedPageBreak/>
        <w:t>disminuyendo, una inflación superior al objetivo que se le había fijado e incertidumbre política sobre las próximas elecciones legislativas o presidenciales -o ambas a la vez- que se celebrarán este año, pero otros cinco países importantes -la Argentina, Venezuela, Ucrania, Hungría y Tailandia- son también vulnerables. En todos ellos se ven riesgos electorales o políticos o ambos a la vez, una política fiscal poco rigurosa en muchos de ellos y un aumento de los desequilibrios externos y del riesgo soberano en algunos de ellos</w:t>
      </w:r>
      <w:r>
        <w:rPr>
          <w:rFonts w:ascii="Times New Roman" w:hAnsi="Times New Roman"/>
          <w:i/>
          <w:sz w:val="24"/>
          <w:szCs w:val="24"/>
        </w:rPr>
        <w:t>”..</w:t>
      </w:r>
      <w:r w:rsidRPr="00777F4F">
        <w:rPr>
          <w:rFonts w:ascii="Times New Roman" w:hAnsi="Times New Roman"/>
          <w:i/>
          <w:sz w:val="24"/>
          <w:szCs w:val="24"/>
        </w:rPr>
        <w:t>.</w:t>
      </w:r>
      <w:r>
        <w:rPr>
          <w:rFonts w:ascii="Times New Roman" w:hAnsi="Times New Roman"/>
          <w:i/>
          <w:sz w:val="24"/>
          <w:szCs w:val="24"/>
        </w:rPr>
        <w:t xml:space="preserve"> </w:t>
      </w:r>
      <w:r w:rsidRPr="009D0580">
        <w:rPr>
          <w:rFonts w:ascii="Times New Roman" w:hAnsi="Times New Roman"/>
          <w:color w:val="000000"/>
          <w:sz w:val="24"/>
          <w:szCs w:val="24"/>
          <w:u w:val="single"/>
        </w:rPr>
        <w:t>El problema de los mercados en ascenso</w:t>
      </w:r>
      <w:r>
        <w:rPr>
          <w:rFonts w:ascii="Times New Roman" w:hAnsi="Times New Roman"/>
          <w:color w:val="000000"/>
          <w:sz w:val="24"/>
          <w:szCs w:val="24"/>
        </w:rPr>
        <w:t xml:space="preserve"> (Nouriel Roubini - Project Syndicate - </w:t>
      </w:r>
      <w:r w:rsidRPr="009D0580">
        <w:rPr>
          <w:rFonts w:ascii="Times New Roman" w:hAnsi="Times New Roman"/>
          <w:b/>
          <w:color w:val="000000"/>
          <w:sz w:val="24"/>
          <w:szCs w:val="24"/>
        </w:rPr>
        <w:t>31/1/14</w:t>
      </w:r>
      <w:r>
        <w:rPr>
          <w:rFonts w:ascii="Times New Roman" w:hAnsi="Times New Roman"/>
          <w:color w:val="000000"/>
          <w:sz w:val="24"/>
          <w:szCs w:val="24"/>
        </w:rPr>
        <w:t>)</w:t>
      </w:r>
    </w:p>
    <w:p w:rsidR="003969F7" w:rsidRPr="00C7083E" w:rsidRDefault="003969F7" w:rsidP="003969F7">
      <w:pPr>
        <w:spacing w:line="240" w:lineRule="auto"/>
        <w:jc w:val="both"/>
        <w:rPr>
          <w:rFonts w:ascii="Times New Roman" w:hAnsi="Times New Roman"/>
          <w:sz w:val="24"/>
          <w:szCs w:val="24"/>
        </w:rPr>
      </w:pPr>
      <w:r>
        <w:rPr>
          <w:rFonts w:ascii="Times New Roman" w:hAnsi="Times New Roman"/>
          <w:i/>
          <w:sz w:val="24"/>
          <w:szCs w:val="24"/>
        </w:rPr>
        <w:t>“</w:t>
      </w:r>
      <w:r w:rsidRPr="009F51BC">
        <w:rPr>
          <w:rFonts w:ascii="Times New Roman" w:hAnsi="Times New Roman"/>
          <w:i/>
          <w:sz w:val="24"/>
          <w:szCs w:val="24"/>
        </w:rPr>
        <w:t>L</w:t>
      </w:r>
      <w:r w:rsidRPr="009F51BC">
        <w:rPr>
          <w:rFonts w:ascii="Times New Roman" w:hAnsi="Times New Roman"/>
          <w:bCs/>
          <w:i/>
          <w:sz w:val="24"/>
          <w:szCs w:val="24"/>
        </w:rPr>
        <w:t>a Fed prendió la mecha, pero había munición de fondo para que la sacudida estallara</w:t>
      </w:r>
      <w:r w:rsidRPr="009F51BC">
        <w:rPr>
          <w:rFonts w:ascii="Times New Roman" w:hAnsi="Times New Roman"/>
          <w:i/>
          <w:sz w:val="24"/>
          <w:szCs w:val="24"/>
        </w:rPr>
        <w:t>. “En países como Turquía, India, Nueva Zelanda, Sudáfrica, Rusia y Brasil la tensión recurrente que se observa desde mayo del año pasado sí ha tenido su</w:t>
      </w:r>
      <w:r w:rsidRPr="009F51BC">
        <w:rPr>
          <w:rFonts w:ascii="Times New Roman" w:hAnsi="Times New Roman"/>
          <w:bCs/>
          <w:i/>
          <w:sz w:val="24"/>
          <w:szCs w:val="24"/>
        </w:rPr>
        <w:t xml:space="preserve"> detonante en el cambio de sesgo de la Fed</w:t>
      </w:r>
      <w:r w:rsidRPr="009F51BC">
        <w:rPr>
          <w:rFonts w:ascii="Times New Roman" w:hAnsi="Times New Roman"/>
          <w:i/>
          <w:sz w:val="24"/>
          <w:szCs w:val="24"/>
        </w:rPr>
        <w:t>. Pero, sólo el detonante”, apunta José Luis Martínez Campuzano, estratega de Citi en España. Y añade: "Podemos hablar de mercados sobredimensionados con respecto al tamaño de sus economías, activos sobreponderados (aún) en las carteras de inversores internacionales y problemas estructurales en sus economías". Dominic Rossi, CIO Global de Renta Variable en Fidelity Worldwide Investment, tiene claro lo que les queda por delante a estos países: “</w:t>
      </w:r>
      <w:r w:rsidRPr="009F51BC">
        <w:rPr>
          <w:rFonts w:ascii="Times New Roman" w:hAnsi="Times New Roman"/>
          <w:bCs/>
          <w:i/>
          <w:sz w:val="24"/>
          <w:szCs w:val="24"/>
        </w:rPr>
        <w:t>El mundo de los mercados emergentes necesita desempolvar la agenda de reformas estructurales que apartó hace 15 años y estimular sus economías.</w:t>
      </w:r>
      <w:r w:rsidRPr="009F51BC">
        <w:rPr>
          <w:rFonts w:ascii="Times New Roman" w:hAnsi="Times New Roman"/>
          <w:i/>
          <w:sz w:val="24"/>
          <w:szCs w:val="24"/>
        </w:rPr>
        <w:t xml:space="preserve"> Los que lo hagan evitarán el extenso periodo de bajo crecimiento, y los que no, mirarán atrás y verán los últimos 10 años como una era dorada”... </w:t>
      </w:r>
      <w:r w:rsidRPr="009F51BC">
        <w:rPr>
          <w:rFonts w:ascii="Times New Roman" w:hAnsi="Times New Roman"/>
          <w:bCs/>
          <w:i/>
          <w:sz w:val="24"/>
          <w:szCs w:val="24"/>
        </w:rPr>
        <w:t>Turquía h</w:t>
      </w:r>
      <w:r w:rsidRPr="009F51BC">
        <w:rPr>
          <w:rFonts w:ascii="Times New Roman" w:hAnsi="Times New Roman"/>
          <w:i/>
          <w:sz w:val="24"/>
          <w:szCs w:val="24"/>
        </w:rPr>
        <w:t>a desempeñado un papel protagonista en la tormenta desatada en las dos últimas semanas. Primero, porque el 21 de enero su banco central se negó a subir los tipos de interés y porque, dos días después, la entidad intervino en el mercado de divisas de forma infructuosa. La sensación de impotencia que generó este fracaso fue el epicentro del temblor que sufrieron el 23 de enero las principales monedas emergentes. Con la lira en caída libre -a primera hora del martes marcó un mínimo histórico en las 3,27 liras por euro-, el martes por la noche el Banco Central de la República de Turquía</w:t>
      </w:r>
      <w:r w:rsidRPr="009F51BC">
        <w:rPr>
          <w:rFonts w:ascii="Times New Roman" w:hAnsi="Times New Roman"/>
          <w:bCs/>
          <w:i/>
          <w:sz w:val="24"/>
          <w:szCs w:val="24"/>
        </w:rPr>
        <w:t xml:space="preserve"> se vio obligado a hacer por las malas lo que una semana antes no quiso hacer por las buenas</w:t>
      </w:r>
      <w:r w:rsidRPr="009F51BC">
        <w:rPr>
          <w:rFonts w:ascii="Times New Roman" w:hAnsi="Times New Roman"/>
          <w:i/>
          <w:sz w:val="24"/>
          <w:szCs w:val="24"/>
        </w:rPr>
        <w:t xml:space="preserve">. Elevó los tipos de interés a un día del 7,75 al 12% y a una semana, del 4,5 al 10%.  Con la </w:t>
      </w:r>
      <w:r w:rsidRPr="009F51BC">
        <w:rPr>
          <w:rFonts w:ascii="Times New Roman" w:hAnsi="Times New Roman"/>
          <w:bCs/>
          <w:i/>
          <w:sz w:val="24"/>
          <w:szCs w:val="24"/>
        </w:rPr>
        <w:t xml:space="preserve">inflación </w:t>
      </w:r>
      <w:r w:rsidRPr="009F51BC">
        <w:rPr>
          <w:rFonts w:ascii="Times New Roman" w:hAnsi="Times New Roman"/>
          <w:i/>
          <w:sz w:val="24"/>
          <w:szCs w:val="24"/>
        </w:rPr>
        <w:t>por encima del 7% y el</w:t>
      </w:r>
      <w:r w:rsidRPr="009F51BC">
        <w:rPr>
          <w:rFonts w:ascii="Times New Roman" w:hAnsi="Times New Roman"/>
          <w:bCs/>
          <w:i/>
          <w:sz w:val="24"/>
          <w:szCs w:val="24"/>
        </w:rPr>
        <w:t xml:space="preserve"> déficit por cuenta corriente</w:t>
      </w:r>
      <w:r w:rsidRPr="009F51BC">
        <w:rPr>
          <w:rFonts w:ascii="Times New Roman" w:hAnsi="Times New Roman"/>
          <w:i/>
          <w:sz w:val="24"/>
          <w:szCs w:val="24"/>
        </w:rPr>
        <w:t xml:space="preserve"> moviéndose en torno al 7% del Producto Interior Bruto (PIB) turco, la depreciación de la divisa amenaza con disparar la inestabilidad financiera del país, de ahí</w:t>
      </w:r>
      <w:hyperlink r:id="rId18" w:history="1">
        <w:r w:rsidRPr="009F51BC">
          <w:rPr>
            <w:rFonts w:ascii="Times New Roman" w:hAnsi="Times New Roman"/>
            <w:i/>
            <w:sz w:val="24"/>
            <w:szCs w:val="24"/>
          </w:rPr>
          <w:t xml:space="preserve"> la contundente actuación del banco central</w:t>
        </w:r>
      </w:hyperlink>
      <w:r w:rsidRPr="009F51BC">
        <w:rPr>
          <w:rFonts w:ascii="Times New Roman" w:hAnsi="Times New Roman"/>
          <w:i/>
          <w:sz w:val="24"/>
          <w:szCs w:val="24"/>
        </w:rPr>
        <w:t xml:space="preserve">. La duda reside en si la </w:t>
      </w:r>
      <w:r w:rsidRPr="009F51BC">
        <w:rPr>
          <w:rFonts w:ascii="Times New Roman" w:hAnsi="Times New Roman"/>
          <w:bCs/>
          <w:i/>
          <w:sz w:val="24"/>
          <w:szCs w:val="24"/>
        </w:rPr>
        <w:t xml:space="preserve">economía </w:t>
      </w:r>
      <w:r w:rsidRPr="009F51BC">
        <w:rPr>
          <w:rFonts w:ascii="Times New Roman" w:hAnsi="Times New Roman"/>
          <w:i/>
          <w:sz w:val="24"/>
          <w:szCs w:val="24"/>
        </w:rPr>
        <w:t xml:space="preserve">turca soportará unos tipos tan altos, una sospecha que, en caso de asentarse en el mercado, provocará que ese repunte de los tipos no sirva para nada o, en todo caso, apenas baste para retrasar el descenso de la lira, que ya viene de perder en 2013 un 25% de su valor contra el euro y un 20% contra el dólar. Todo ello, con unas </w:t>
      </w:r>
      <w:r w:rsidRPr="009F51BC">
        <w:rPr>
          <w:rFonts w:ascii="Times New Roman" w:hAnsi="Times New Roman"/>
          <w:bCs/>
          <w:i/>
          <w:sz w:val="24"/>
          <w:szCs w:val="24"/>
        </w:rPr>
        <w:t xml:space="preserve">elecciones presidenciales </w:t>
      </w:r>
      <w:r w:rsidRPr="009F51BC">
        <w:rPr>
          <w:rFonts w:ascii="Times New Roman" w:hAnsi="Times New Roman"/>
          <w:i/>
          <w:sz w:val="24"/>
          <w:szCs w:val="24"/>
        </w:rPr>
        <w:t xml:space="preserve">que llegarán en agosto con un clima de crispación social, otro factor de inestabilidad adicional. </w:t>
      </w:r>
      <w:hyperlink r:id="rId19" w:history="1">
        <w:r w:rsidRPr="009F51BC">
          <w:rPr>
            <w:rFonts w:ascii="Times New Roman" w:hAnsi="Times New Roman"/>
            <w:bCs/>
            <w:i/>
            <w:sz w:val="24"/>
            <w:szCs w:val="24"/>
          </w:rPr>
          <w:t>BBVA</w:t>
        </w:r>
        <w:r w:rsidRPr="009F51BC">
          <w:rPr>
            <w:rFonts w:ascii="Times New Roman" w:hAnsi="Times New Roman"/>
            <w:i/>
            <w:sz w:val="24"/>
            <w:szCs w:val="24"/>
          </w:rPr>
          <w:t>, presente en el país con su inversión en el banco Garanti</w:t>
        </w:r>
      </w:hyperlink>
      <w:r w:rsidRPr="009F51BC">
        <w:rPr>
          <w:rFonts w:ascii="Times New Roman" w:hAnsi="Times New Roman"/>
          <w:i/>
          <w:sz w:val="24"/>
          <w:szCs w:val="24"/>
        </w:rPr>
        <w:t>, estará muy pendiente de estos acontecimientos…</w:t>
      </w:r>
      <w:r w:rsidR="00C51709">
        <w:rPr>
          <w:rFonts w:ascii="Times New Roman" w:hAnsi="Times New Roman"/>
          <w:i/>
          <w:sz w:val="24"/>
          <w:szCs w:val="24"/>
        </w:rPr>
        <w:t xml:space="preserve"> </w:t>
      </w:r>
      <w:r w:rsidRPr="00C7083E">
        <w:rPr>
          <w:rFonts w:ascii="Times New Roman" w:hAnsi="Times New Roman"/>
          <w:sz w:val="24"/>
          <w:szCs w:val="24"/>
          <w:u w:val="single"/>
        </w:rPr>
        <w:t>Hoja de ruta para entender la caída de las piezas en el 'efecto dominó' de los emergentes</w:t>
      </w:r>
      <w:r>
        <w:rPr>
          <w:rFonts w:ascii="Times New Roman" w:hAnsi="Times New Roman"/>
          <w:sz w:val="24"/>
          <w:szCs w:val="24"/>
        </w:rPr>
        <w:t xml:space="preserve"> (El Confidencial - </w:t>
      </w:r>
      <w:r w:rsidRPr="00C7083E">
        <w:rPr>
          <w:rFonts w:ascii="Times New Roman" w:hAnsi="Times New Roman"/>
          <w:b/>
          <w:sz w:val="24"/>
          <w:szCs w:val="24"/>
        </w:rPr>
        <w:t>1/2/14</w:t>
      </w:r>
      <w:r>
        <w:rPr>
          <w:rFonts w:ascii="Times New Roman" w:hAnsi="Times New Roman"/>
          <w:sz w:val="24"/>
          <w:szCs w:val="24"/>
        </w:rPr>
        <w:t>)</w:t>
      </w:r>
    </w:p>
    <w:p w:rsidR="003969F7" w:rsidRDefault="003969F7" w:rsidP="003969F7">
      <w:pPr>
        <w:pStyle w:val="NormalWeb"/>
        <w:shd w:val="clear" w:color="auto" w:fill="FFFFFF"/>
        <w:jc w:val="both"/>
        <w:rPr>
          <w:color w:val="000000"/>
        </w:rPr>
      </w:pPr>
      <w:r>
        <w:rPr>
          <w:rFonts w:eastAsiaTheme="minorHAnsi" w:cstheme="minorBidi"/>
          <w:color w:val="000000"/>
          <w:lang w:eastAsia="en-US"/>
        </w:rPr>
        <w:t>“</w:t>
      </w:r>
      <w:r w:rsidRPr="00777F4F">
        <w:rPr>
          <w:i/>
        </w:rPr>
        <w:t xml:space="preserve">Las menguantes reservas de divisas extranjeras se han convertido en el último caballo de batalla entre los inversores y los países emergentes, que luchan denodadamente para acabar con la peor crisis monetaria desde 2008. Y las naciones que tienen menos reservas para intentar defender su moneda van a seguir siendo presionadas, tal y como muestras los precios de las opciones. El peso argentino, la lira turca, la rupia indonesia, el rand sudafricano y, especialmente, la grivna ucraniana son las que </w:t>
      </w:r>
      <w:r w:rsidRPr="00777F4F">
        <w:rPr>
          <w:i/>
        </w:rPr>
        <w:lastRenderedPageBreak/>
        <w:t xml:space="preserve">acumulan mayores apuestas bajistas de los inversores, según los datos de </w:t>
      </w:r>
      <w:r w:rsidRPr="00777F4F">
        <w:rPr>
          <w:i/>
          <w:iCs/>
        </w:rPr>
        <w:t>Bloomberg</w:t>
      </w:r>
      <w:r w:rsidRPr="00777F4F">
        <w:rPr>
          <w:i/>
        </w:rPr>
        <w:t xml:space="preserve">. “Si empiezas a quemar demasiado rápido tus reservas extranjeras, es una mala señal, y por supuesto el mercado de divisas huele la sangre”, explicó Robbert Van Batenburg, de Newedge Group. “Crea un efecto dominó”. Los mercados emergentes están bajo lupa desde que la Reserva Federal de EEUU comenzara a reducir sus estímulos récord y economías como China dieran algunos signos de debilidad. La reacción de estos países ha sido utilizar sus reservas de dólares para compensar esta retirada de billetes estadounidenses y tratar así de defender su moneda. Turquía, por ejemplo, se ha “comido” ya el 27% de sus reservas extranjeras, y actualmente es el país emergente con peor posición para continuar haciéndolo. La lira se encuentra en mínimos de más de cinco años frente al dólar y su banco central ha tenido que tomar medidas de emergencia </w:t>
      </w:r>
      <w:r w:rsidRPr="003969F7">
        <w:rPr>
          <w:i/>
        </w:rPr>
        <w:t xml:space="preserve">y </w:t>
      </w:r>
      <w:hyperlink r:id="rId20" w:history="1">
        <w:r w:rsidRPr="003969F7">
          <w:rPr>
            <w:rStyle w:val="Hipervnculo"/>
            <w:i/>
            <w:color w:val="auto"/>
          </w:rPr>
          <w:t>subir con fuerza los tipos de interés hasta el 12%</w:t>
        </w:r>
      </w:hyperlink>
      <w:r w:rsidRPr="003969F7">
        <w:rPr>
          <w:i/>
        </w:rPr>
        <w:t xml:space="preserve"> para intentar revertir la situación. </w:t>
      </w:r>
      <w:hyperlink r:id="rId21" w:history="1">
        <w:r w:rsidRPr="003969F7">
          <w:rPr>
            <w:rStyle w:val="Hipervnculo"/>
            <w:i/>
            <w:color w:val="auto"/>
          </w:rPr>
          <w:t>La India también ha subido los tipos</w:t>
        </w:r>
      </w:hyperlink>
      <w:r w:rsidRPr="003969F7">
        <w:rPr>
          <w:i/>
        </w:rPr>
        <w:t xml:space="preserve">, y </w:t>
      </w:r>
      <w:hyperlink r:id="rId22" w:history="1">
        <w:r w:rsidRPr="003969F7">
          <w:rPr>
            <w:rStyle w:val="Hipervnculo"/>
            <w:i/>
            <w:color w:val="auto"/>
          </w:rPr>
          <w:t>Sudáfrica también.</w:t>
        </w:r>
      </w:hyperlink>
      <w:r w:rsidRPr="00777F4F">
        <w:rPr>
          <w:i/>
        </w:rPr>
        <w:t xml:space="preserve"> “Quemar las reservas no es sostenible”, afirmó Viktor Szabo, gestor de Aberdeen Asset Management a </w:t>
      </w:r>
      <w:r w:rsidRPr="00777F4F">
        <w:rPr>
          <w:i/>
          <w:iCs/>
        </w:rPr>
        <w:t>Bloomberg</w:t>
      </w:r>
      <w:r w:rsidRPr="00777F4F">
        <w:rPr>
          <w:i/>
        </w:rPr>
        <w:t>. “La gente estará más que contenta de apostar contra tu moneda. La presión estaba ahí y seguirá habiendo más presión”…</w:t>
      </w:r>
      <w:r>
        <w:rPr>
          <w:i/>
        </w:rPr>
        <w:t xml:space="preserve"> </w:t>
      </w:r>
      <w:r w:rsidRPr="001755F7">
        <w:rPr>
          <w:color w:val="000000"/>
          <w:u w:val="single"/>
        </w:rPr>
        <w:t>Los tiburones de las divisas rodean a los emergentes: las reservas, la clave</w:t>
      </w:r>
      <w:r>
        <w:rPr>
          <w:color w:val="000000"/>
        </w:rPr>
        <w:t xml:space="preserve"> (El Economista - </w:t>
      </w:r>
      <w:r w:rsidRPr="001755F7">
        <w:rPr>
          <w:b/>
          <w:color w:val="000000"/>
        </w:rPr>
        <w:t>13/2/14</w:t>
      </w:r>
      <w:r>
        <w:rPr>
          <w:color w:val="000000"/>
        </w:rPr>
        <w:t>)</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i/>
          <w:sz w:val="24"/>
          <w:szCs w:val="24"/>
        </w:rPr>
        <w:t>“</w:t>
      </w:r>
      <w:r w:rsidRPr="002E0D1D">
        <w:rPr>
          <w:rFonts w:ascii="Times New Roman" w:hAnsi="Times New Roman"/>
          <w:i/>
          <w:sz w:val="24"/>
          <w:szCs w:val="24"/>
        </w:rPr>
        <w:t>La Comisión Europea urgió el miércoles a los países miembros de la Unión Europea que avancen en el debate, paralizado durante mucho tiempo, sobre la adhesión de Turquía a la UE, aunque resaltó la grave preocupación y los obstáculos a los que se enfrentan en referencia a las intromisiones del Gobierno turco en el poder judicial y por las restricciones a la prensa.  La Comisión Europea instó a los países miembros a que inicien negociaciones con Turquía con respecto a dos aspectos clave -justicia y el estado de derecho- argumentando que ésta es la mejor manera de obligar a Ankara a realizar reformas que garanticen los derechos civiles y la independencia judicial. Un conjunto de influyentes países, como Alemania y Países Bajos, son reacios a permitir que Turquía entre en el bloque. Sin embargo, desde la llegada de Recep Tayyip Erdogan a la presidencia el mes pasado, Ankara ha mostrado un renovado interés en adherirse a la UE. Erdogan dijo la semana pasada que pertenecer al bloque sigue siendo su objetivo estratégico a largo plazo y el Gobierno ha diseñado planes para aprobar reformas que allanarían el camino para su pertenencia a la UE. Sin embargo, la comisión dijo que la respuesta del Gobierno a las acusaciones de corrupción del año pasado “ha suscitado graves temores sobre la independencia de poder judicial y la separación de poderes”. Erdogan, que fue primer ministro durante más de una década hasta que ocupó la presidencia, ha negado todo delito de corrupción y dijo que las acusaciones son un intento de derrocar su Gobierno. Las fuerzas de seguridad detuvieron a decenas de policías que ayudaron a presentar la denuncia de corrupción. Durante los últimos meses, se han visto señales de que Bruselas, tradicionalmente un gran partidario de que más países se adhieran, podría perder interés en este debate con Turquía. Los actuales miembros de la comisión dejarán sus cargos el 31 de octubre, y el presidente de la nueva comisión, Jean-Claude Juncker, ha dicho que no cree que ningún país se una al bloque en los próximos cinco años. La UE actualmente mantiene negociaciones de adhesión con Turquía y otros cinco países</w:t>
      </w:r>
      <w:r>
        <w:rPr>
          <w:rFonts w:ascii="Times New Roman" w:hAnsi="Times New Roman"/>
          <w:i/>
          <w:sz w:val="24"/>
          <w:szCs w:val="24"/>
        </w:rPr>
        <w:t>”..</w:t>
      </w:r>
      <w:r w:rsidRPr="002E0D1D">
        <w:rPr>
          <w:rFonts w:ascii="Times New Roman" w:hAnsi="Times New Roman"/>
          <w:i/>
          <w:sz w:val="24"/>
          <w:szCs w:val="24"/>
        </w:rPr>
        <w:t>.</w:t>
      </w:r>
      <w:r>
        <w:rPr>
          <w:rFonts w:ascii="Times New Roman" w:hAnsi="Times New Roman"/>
          <w:color w:val="000000"/>
          <w:sz w:val="24"/>
          <w:szCs w:val="24"/>
        </w:rPr>
        <w:t xml:space="preserve"> </w:t>
      </w:r>
      <w:r w:rsidRPr="0074743A">
        <w:rPr>
          <w:rFonts w:ascii="Times New Roman" w:hAnsi="Times New Roman"/>
          <w:color w:val="000000"/>
          <w:sz w:val="24"/>
          <w:szCs w:val="24"/>
          <w:u w:val="single"/>
        </w:rPr>
        <w:t>La Unión Europea insta a sus miembros a definir el ingreso de Turquía</w:t>
      </w:r>
      <w:r>
        <w:rPr>
          <w:rFonts w:ascii="Times New Roman" w:hAnsi="Times New Roman"/>
          <w:color w:val="000000"/>
          <w:sz w:val="24"/>
          <w:szCs w:val="24"/>
        </w:rPr>
        <w:t xml:space="preserve"> (The Wall Street Journal - </w:t>
      </w:r>
      <w:r>
        <w:rPr>
          <w:rFonts w:ascii="Times New Roman" w:hAnsi="Times New Roman"/>
          <w:b/>
          <w:color w:val="000000"/>
          <w:sz w:val="24"/>
          <w:szCs w:val="24"/>
        </w:rPr>
        <w:t>8</w:t>
      </w:r>
      <w:r w:rsidRPr="0074743A">
        <w:rPr>
          <w:rFonts w:ascii="Times New Roman" w:hAnsi="Times New Roman"/>
          <w:b/>
          <w:color w:val="000000"/>
          <w:sz w:val="24"/>
          <w:szCs w:val="24"/>
        </w:rPr>
        <w:t>/10/14</w:t>
      </w:r>
      <w:r>
        <w:rPr>
          <w:rFonts w:ascii="Times New Roman" w:hAnsi="Times New Roman"/>
          <w:color w:val="000000"/>
          <w:sz w:val="24"/>
          <w:szCs w:val="24"/>
        </w:rPr>
        <w:t>)</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p>
    <w:p w:rsidR="003969F7" w:rsidRDefault="003969F7" w:rsidP="003969F7">
      <w:pPr>
        <w:shd w:val="clear" w:color="auto" w:fill="FFFFFF"/>
        <w:spacing w:after="0" w:line="240" w:lineRule="auto"/>
        <w:jc w:val="both"/>
        <w:rPr>
          <w:rFonts w:ascii="Times New Roman" w:hAnsi="Times New Roman" w:cs="Times New Roman"/>
          <w:b/>
          <w:color w:val="000000"/>
          <w:sz w:val="24"/>
          <w:szCs w:val="24"/>
        </w:rPr>
      </w:pPr>
    </w:p>
    <w:p w:rsidR="003969F7" w:rsidRDefault="003969F7" w:rsidP="003969F7">
      <w:pPr>
        <w:shd w:val="clear" w:color="auto" w:fill="FFFFFF"/>
        <w:spacing w:after="0" w:line="240" w:lineRule="auto"/>
        <w:jc w:val="both"/>
        <w:rPr>
          <w:rFonts w:ascii="Times New Roman" w:hAnsi="Times New Roman" w:cs="Times New Roman"/>
          <w:b/>
          <w:color w:val="000000"/>
          <w:sz w:val="24"/>
          <w:szCs w:val="24"/>
        </w:rPr>
      </w:pPr>
      <w:r w:rsidRPr="000F5AEB">
        <w:rPr>
          <w:rFonts w:ascii="Times New Roman" w:hAnsi="Times New Roman" w:cs="Times New Roman"/>
          <w:b/>
          <w:color w:val="000000"/>
          <w:sz w:val="24"/>
          <w:szCs w:val="24"/>
        </w:rPr>
        <w:t xml:space="preserve">- </w:t>
      </w:r>
      <w:r>
        <w:rPr>
          <w:rFonts w:ascii="Times New Roman" w:hAnsi="Times New Roman" w:cs="Times New Roman"/>
          <w:b/>
          <w:color w:val="000000"/>
          <w:sz w:val="24"/>
          <w:szCs w:val="24"/>
        </w:rPr>
        <w:t>Una</w:t>
      </w:r>
      <w:r w:rsidRPr="000F5AEB">
        <w:rPr>
          <w:rFonts w:ascii="Times New Roman" w:hAnsi="Times New Roman" w:cs="Times New Roman"/>
          <w:b/>
          <w:color w:val="000000"/>
          <w:sz w:val="24"/>
          <w:szCs w:val="24"/>
        </w:rPr>
        <w:t xml:space="preserve"> propuesta irreverente</w:t>
      </w:r>
      <w:r>
        <w:rPr>
          <w:rFonts w:ascii="Times New Roman" w:hAnsi="Times New Roman" w:cs="Times New Roman"/>
          <w:b/>
          <w:color w:val="000000"/>
          <w:sz w:val="24"/>
          <w:szCs w:val="24"/>
        </w:rPr>
        <w:t>: romper el miedo (e</w:t>
      </w:r>
      <w:r w:rsidRPr="000F5AEB">
        <w:rPr>
          <w:rFonts w:ascii="Times New Roman" w:hAnsi="Times New Roman" w:cs="Times New Roman"/>
          <w:b/>
          <w:color w:val="000000"/>
          <w:sz w:val="24"/>
          <w:szCs w:val="24"/>
        </w:rPr>
        <w:t>l reloj inexorable del museo vacío</w:t>
      </w:r>
      <w:r>
        <w:rPr>
          <w:rFonts w:ascii="Times New Roman" w:hAnsi="Times New Roman" w:cs="Times New Roman"/>
          <w:b/>
          <w:color w:val="000000"/>
          <w:sz w:val="24"/>
          <w:szCs w:val="24"/>
        </w:rPr>
        <w:t>)</w:t>
      </w:r>
      <w:r w:rsidRPr="000F5AEB">
        <w:rPr>
          <w:rFonts w:ascii="Times New Roman" w:hAnsi="Times New Roman" w:cs="Times New Roman"/>
          <w:b/>
          <w:color w:val="000000"/>
          <w:sz w:val="24"/>
          <w:szCs w:val="24"/>
        </w:rPr>
        <w:t xml:space="preserve"> </w:t>
      </w:r>
    </w:p>
    <w:p w:rsidR="00F35568" w:rsidRDefault="00F35568" w:rsidP="003969F7">
      <w:pPr>
        <w:shd w:val="clear" w:color="auto" w:fill="FFFFFF"/>
        <w:spacing w:after="0" w:line="240" w:lineRule="auto"/>
        <w:jc w:val="both"/>
        <w:rPr>
          <w:rFonts w:ascii="Times New Roman" w:hAnsi="Times New Roman" w:cs="Times New Roman"/>
          <w:b/>
          <w:color w:val="000000"/>
          <w:sz w:val="24"/>
          <w:szCs w:val="24"/>
        </w:rPr>
      </w:pPr>
    </w:p>
    <w:p w:rsidR="00F35568" w:rsidRPr="00F35568" w:rsidRDefault="00F35568" w:rsidP="00F35568">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F35568">
        <w:rPr>
          <w:rFonts w:ascii="Times New Roman" w:eastAsia="Times New Roman" w:hAnsi="Times New Roman" w:cs="Times New Roman"/>
          <w:color w:val="000000"/>
          <w:sz w:val="24"/>
          <w:szCs w:val="24"/>
          <w:lang w:eastAsia="es-ES"/>
        </w:rPr>
        <w:t xml:space="preserve">Los europeos están cada día más preocupados por </w:t>
      </w:r>
      <w:r w:rsidRPr="00F35568">
        <w:rPr>
          <w:rFonts w:ascii="Times New Roman" w:eastAsia="Times New Roman" w:hAnsi="Times New Roman" w:cs="Times New Roman"/>
          <w:bCs/>
          <w:color w:val="000000"/>
          <w:sz w:val="24"/>
          <w:szCs w:val="24"/>
          <w:lang w:eastAsia="es-ES"/>
        </w:rPr>
        <w:t>el futuro de sus pensiones públicas</w:t>
      </w:r>
      <w:r w:rsidRPr="00F35568">
        <w:rPr>
          <w:rFonts w:ascii="Times New Roman" w:eastAsia="Times New Roman" w:hAnsi="Times New Roman" w:cs="Times New Roman"/>
          <w:color w:val="000000"/>
          <w:sz w:val="24"/>
          <w:szCs w:val="24"/>
          <w:lang w:eastAsia="es-ES"/>
        </w:rPr>
        <w:t xml:space="preserve"> y, al mismo tiempo, cada día pueden ahorrar menos para complementarlas. El balance de seis años de crisis es, también en esta cuestión</w:t>
      </w:r>
      <w:r w:rsidR="00547D92">
        <w:rPr>
          <w:rFonts w:ascii="Times New Roman" w:eastAsia="Times New Roman" w:hAnsi="Times New Roman" w:cs="Times New Roman"/>
          <w:color w:val="000000"/>
          <w:sz w:val="24"/>
          <w:szCs w:val="24"/>
          <w:lang w:eastAsia="es-ES"/>
        </w:rPr>
        <w:t>,</w:t>
      </w:r>
      <w:r w:rsidRPr="00F35568">
        <w:rPr>
          <w:rFonts w:ascii="Times New Roman" w:eastAsia="Times New Roman" w:hAnsi="Times New Roman" w:cs="Times New Roman"/>
          <w:color w:val="000000"/>
          <w:sz w:val="24"/>
          <w:szCs w:val="24"/>
          <w:lang w:eastAsia="es-ES"/>
        </w:rPr>
        <w:t xml:space="preserve"> desolador.</w:t>
      </w:r>
    </w:p>
    <w:p w:rsidR="00547D92" w:rsidRDefault="00547D92" w:rsidP="00547D92">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Son</w:t>
      </w:r>
      <w:r w:rsidRPr="006F7ACE">
        <w:rPr>
          <w:rFonts w:ascii="Times New Roman" w:eastAsia="Times New Roman" w:hAnsi="Times New Roman" w:cs="Times New Roman"/>
          <w:color w:val="000000"/>
          <w:sz w:val="24"/>
          <w:szCs w:val="24"/>
          <w:lang w:eastAsia="es-ES"/>
        </w:rPr>
        <w:t xml:space="preserve"> mucho más conscientes ahora que en 2008 de que el sistema público sufrirá las consecuencias de la demografía en l</w:t>
      </w:r>
      <w:r>
        <w:rPr>
          <w:rFonts w:ascii="Times New Roman" w:eastAsia="Times New Roman" w:hAnsi="Times New Roman" w:cs="Times New Roman"/>
          <w:color w:val="000000"/>
          <w:sz w:val="24"/>
          <w:szCs w:val="24"/>
          <w:lang w:eastAsia="es-ES"/>
        </w:rPr>
        <w:t>as próximas décadas y desearían</w:t>
      </w:r>
      <w:r w:rsidRPr="006F7ACE">
        <w:rPr>
          <w:rFonts w:ascii="Times New Roman" w:eastAsia="Times New Roman" w:hAnsi="Times New Roman" w:cs="Times New Roman"/>
          <w:color w:val="000000"/>
          <w:sz w:val="24"/>
          <w:szCs w:val="24"/>
          <w:lang w:eastAsia="es-ES"/>
        </w:rPr>
        <w:t xml:space="preserve"> con</w:t>
      </w:r>
      <w:r>
        <w:rPr>
          <w:rFonts w:ascii="Times New Roman" w:eastAsia="Times New Roman" w:hAnsi="Times New Roman" w:cs="Times New Roman"/>
          <w:color w:val="000000"/>
          <w:sz w:val="24"/>
          <w:szCs w:val="24"/>
          <w:lang w:eastAsia="es-ES"/>
        </w:rPr>
        <w:t>struir una hucha privada que les sirviera de ayuda en su vejez. Pero no son</w:t>
      </w:r>
      <w:r w:rsidRPr="006F7ACE">
        <w:rPr>
          <w:rFonts w:ascii="Times New Roman" w:eastAsia="Times New Roman" w:hAnsi="Times New Roman" w:cs="Times New Roman"/>
          <w:color w:val="000000"/>
          <w:sz w:val="24"/>
          <w:szCs w:val="24"/>
          <w:lang w:eastAsia="es-ES"/>
        </w:rPr>
        <w:t xml:space="preserve"> capaces de sacar cada mes ese sobrante para llenarla</w:t>
      </w:r>
      <w:r>
        <w:rPr>
          <w:rFonts w:ascii="Times New Roman" w:eastAsia="Times New Roman" w:hAnsi="Times New Roman" w:cs="Times New Roman"/>
          <w:color w:val="000000"/>
          <w:sz w:val="24"/>
          <w:szCs w:val="24"/>
          <w:lang w:eastAsia="es-ES"/>
        </w:rPr>
        <w:t xml:space="preserve">. </w:t>
      </w:r>
      <w:r w:rsidRPr="006F7ACE">
        <w:rPr>
          <w:rFonts w:ascii="Times New Roman" w:eastAsia="Times New Roman" w:hAnsi="Times New Roman" w:cs="Times New Roman"/>
          <w:color w:val="000000"/>
          <w:sz w:val="24"/>
          <w:szCs w:val="24"/>
          <w:lang w:eastAsia="es-ES"/>
        </w:rPr>
        <w:t>El panorama no podía ser más negro.</w:t>
      </w:r>
    </w:p>
    <w:p w:rsidR="00547D92" w:rsidRDefault="00547D92" w:rsidP="00547D92">
      <w:pPr>
        <w:shd w:val="clear" w:color="auto" w:fill="FFFFFF"/>
        <w:spacing w:after="360" w:line="240" w:lineRule="auto"/>
        <w:jc w:val="both"/>
        <w:rPr>
          <w:rFonts w:ascii="Times New Roman" w:eastAsia="Times New Roman" w:hAnsi="Times New Roman" w:cs="Times New Roman"/>
          <w:sz w:val="24"/>
          <w:szCs w:val="24"/>
          <w:lang w:eastAsia="es-ES"/>
        </w:rPr>
      </w:pPr>
      <w:r w:rsidRPr="00547D92">
        <w:rPr>
          <w:rFonts w:ascii="Times New Roman" w:eastAsia="Times New Roman" w:hAnsi="Times New Roman" w:cs="Times New Roman"/>
          <w:sz w:val="24"/>
          <w:szCs w:val="24"/>
          <w:lang w:eastAsia="es-ES"/>
        </w:rPr>
        <w:t xml:space="preserve">Parece claro que los europeos han interiorizado la </w:t>
      </w:r>
      <w:hyperlink r:id="rId23" w:history="1">
        <w:r w:rsidRPr="00547D92">
          <w:rPr>
            <w:rFonts w:ascii="Times New Roman" w:eastAsia="Times New Roman" w:hAnsi="Times New Roman" w:cs="Times New Roman"/>
            <w:sz w:val="24"/>
            <w:szCs w:val="24"/>
            <w:lang w:eastAsia="es-ES"/>
          </w:rPr>
          <w:t>pesadilla demográfica</w:t>
        </w:r>
      </w:hyperlink>
      <w:r w:rsidRPr="00547D92">
        <w:rPr>
          <w:rFonts w:ascii="Times New Roman" w:eastAsia="Times New Roman" w:hAnsi="Times New Roman" w:cs="Times New Roman"/>
          <w:sz w:val="24"/>
          <w:szCs w:val="24"/>
          <w:lang w:eastAsia="es-ES"/>
        </w:rPr>
        <w:t xml:space="preserve"> que </w:t>
      </w:r>
      <w:hyperlink r:id="rId24" w:history="1">
        <w:r w:rsidRPr="00547D92">
          <w:rPr>
            <w:rFonts w:ascii="Times New Roman" w:eastAsia="Times New Roman" w:hAnsi="Times New Roman" w:cs="Times New Roman"/>
            <w:sz w:val="24"/>
            <w:szCs w:val="24"/>
            <w:lang w:eastAsia="es-ES"/>
          </w:rPr>
          <w:t>vaticinan los expertos</w:t>
        </w:r>
      </w:hyperlink>
      <w:r w:rsidRPr="00547D92">
        <w:rPr>
          <w:rFonts w:ascii="Times New Roman" w:eastAsia="Times New Roman" w:hAnsi="Times New Roman" w:cs="Times New Roman"/>
          <w:sz w:val="24"/>
          <w:szCs w:val="24"/>
          <w:lang w:eastAsia="es-ES"/>
        </w:rPr>
        <w:t>. En 2050, la población europea estará entre las más envejecidas del mundo. Faltan casi cuatro décadas, pero ésta es una tendencia que será difícil cambiar.</w:t>
      </w:r>
    </w:p>
    <w:p w:rsidR="003969F7" w:rsidRPr="00617CBB" w:rsidRDefault="00617CBB" w:rsidP="00617CBB">
      <w:pPr>
        <w:shd w:val="clear" w:color="auto" w:fill="FFFFFF"/>
        <w:spacing w:after="360" w:line="240" w:lineRule="auto"/>
        <w:jc w:val="both"/>
        <w:rPr>
          <w:rFonts w:ascii="Times New Roman" w:eastAsia="Times New Roman" w:hAnsi="Times New Roman" w:cs="Times New Roman"/>
          <w:sz w:val="24"/>
          <w:szCs w:val="24"/>
          <w:lang w:eastAsia="es-ES"/>
        </w:rPr>
      </w:pPr>
      <w:r w:rsidRPr="005034B4">
        <w:rPr>
          <w:rFonts w:ascii="Times New Roman" w:eastAsia="Times New Roman" w:hAnsi="Times New Roman" w:cs="Times New Roman"/>
          <w:sz w:val="24"/>
          <w:szCs w:val="24"/>
          <w:lang w:eastAsia="es-ES"/>
        </w:rPr>
        <w:t xml:space="preserve">La falta de reemplazo en la mano de obra tendrá, inevitablemente, una consecuencia en las pensiones públicas. No es una cuestión ideológica o que esté en la mano del gobierno de turno: para pagar las prestaciones de jubilación han falta las </w:t>
      </w:r>
      <w:r w:rsidRPr="005034B4">
        <w:rPr>
          <w:rFonts w:ascii="Times New Roman" w:eastAsia="Times New Roman" w:hAnsi="Times New Roman" w:cs="Times New Roman"/>
          <w:bCs/>
          <w:sz w:val="24"/>
          <w:szCs w:val="24"/>
          <w:lang w:eastAsia="es-ES"/>
        </w:rPr>
        <w:t>cotizaciones a la Seguridad Social</w:t>
      </w:r>
      <w:r w:rsidRPr="005034B4">
        <w:rPr>
          <w:rFonts w:ascii="Times New Roman" w:eastAsia="Times New Roman" w:hAnsi="Times New Roman" w:cs="Times New Roman"/>
          <w:sz w:val="24"/>
          <w:szCs w:val="24"/>
          <w:lang w:eastAsia="es-ES"/>
        </w:rPr>
        <w:t xml:space="preserve"> de los activos. Y cada vez habrá más viejos y menos jóvenes.</w:t>
      </w:r>
    </w:p>
    <w:tbl>
      <w:tblPr>
        <w:tblW w:w="7200" w:type="dxa"/>
        <w:tblInd w:w="55" w:type="dxa"/>
        <w:tblCellMar>
          <w:left w:w="70" w:type="dxa"/>
          <w:right w:w="70" w:type="dxa"/>
        </w:tblCellMar>
        <w:tblLook w:val="04A0" w:firstRow="1" w:lastRow="0" w:firstColumn="1" w:lastColumn="0" w:noHBand="0" w:noVBand="1"/>
      </w:tblPr>
      <w:tblGrid>
        <w:gridCol w:w="3620"/>
        <w:gridCol w:w="2380"/>
        <w:gridCol w:w="1200"/>
      </w:tblGrid>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b/>
                <w:bCs/>
                <w:color w:val="000000"/>
                <w:sz w:val="24"/>
                <w:szCs w:val="24"/>
                <w:lang w:eastAsia="es-ES"/>
              </w:rPr>
            </w:pPr>
            <w:r w:rsidRPr="0030138F">
              <w:rPr>
                <w:rFonts w:ascii="Times New Roman" w:eastAsia="Times New Roman" w:hAnsi="Times New Roman" w:cs="Times New Roman"/>
                <w:b/>
                <w:bCs/>
                <w:color w:val="000000"/>
                <w:sz w:val="24"/>
                <w:szCs w:val="24"/>
                <w:lang w:eastAsia="es-ES"/>
              </w:rPr>
              <w:t>Información clave sobre Turquía</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Población</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74,93 millones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2013</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Producto Bruto Interno</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US$ 820,2 trillions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2013</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Incremento del PIB</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4,00%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2013</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Estructura económica</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Agric., selvic., y pesca</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8,80%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Industria</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21,80%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Comercio, transporte, y …</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31,80%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Finanzas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20,20%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Otros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12,40%</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Comercio exterior</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 xml:space="preserve"> </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Importación de Bienes y Servic</w:t>
            </w:r>
            <w:r>
              <w:rPr>
                <w:rFonts w:ascii="Times New Roman" w:eastAsia="Times New Roman" w:hAnsi="Times New Roman" w:cs="Times New Roman"/>
                <w:color w:val="000000"/>
                <w:sz w:val="24"/>
                <w:szCs w:val="24"/>
                <w:lang w:eastAsia="es-ES"/>
              </w:rPr>
              <w:t>i</w:t>
            </w:r>
            <w:r w:rsidRPr="0030138F">
              <w:rPr>
                <w:rFonts w:ascii="Times New Roman" w:eastAsia="Times New Roman" w:hAnsi="Times New Roman" w:cs="Times New Roman"/>
                <w:color w:val="000000"/>
                <w:sz w:val="24"/>
                <w:szCs w:val="24"/>
                <w:lang w:eastAsia="es-ES"/>
              </w:rPr>
              <w:t>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31,5 %  del PIB</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Exportación de Bienes y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26,3 % del PIB</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Balance Comercial</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-84,0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Importaciones de Bienes y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US$ 236,5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Exportaciones de Bienes y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US$ 152,5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Balance de Serv</w:t>
            </w:r>
            <w:r>
              <w:rPr>
                <w:rFonts w:ascii="Times New Roman" w:eastAsia="Times New Roman" w:hAnsi="Times New Roman" w:cs="Times New Roman"/>
                <w:color w:val="000000"/>
                <w:sz w:val="24"/>
                <w:szCs w:val="24"/>
                <w:lang w:eastAsia="es-ES"/>
              </w:rPr>
              <w:t>i</w:t>
            </w:r>
            <w:r w:rsidRPr="0030138F">
              <w:rPr>
                <w:rFonts w:ascii="Times New Roman" w:eastAsia="Times New Roman" w:hAnsi="Times New Roman" w:cs="Times New Roman"/>
                <w:color w:val="000000"/>
                <w:sz w:val="24"/>
                <w:szCs w:val="24"/>
                <w:lang w:eastAsia="es-ES"/>
              </w:rPr>
              <w:t>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22,6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Importaciones de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US$ 20,5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Exportaciones de Servicios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US$ 43,1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r w:rsidR="003969F7" w:rsidRPr="0030138F" w:rsidTr="00FE115D">
        <w:trPr>
          <w:trHeight w:val="315"/>
        </w:trPr>
        <w:tc>
          <w:tcPr>
            <w:tcW w:w="362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lastRenderedPageBreak/>
              <w:t>Balance de Pagos</w:t>
            </w:r>
          </w:p>
        </w:tc>
        <w:tc>
          <w:tcPr>
            <w:tcW w:w="238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US$ -6,2 billions</w:t>
            </w:r>
          </w:p>
        </w:tc>
        <w:tc>
          <w:tcPr>
            <w:tcW w:w="1200" w:type="dxa"/>
            <w:tcBorders>
              <w:top w:val="nil"/>
              <w:left w:val="nil"/>
              <w:bottom w:val="nil"/>
              <w:right w:val="nil"/>
            </w:tcBorders>
            <w:shd w:val="clear" w:color="auto" w:fill="auto"/>
            <w:noWrap/>
            <w:vAlign w:val="bottom"/>
            <w:hideMark/>
          </w:tcPr>
          <w:p w:rsidR="003969F7" w:rsidRPr="0030138F"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30138F">
              <w:rPr>
                <w:rFonts w:ascii="Times New Roman" w:eastAsia="Times New Roman" w:hAnsi="Times New Roman" w:cs="Times New Roman"/>
                <w:color w:val="000000"/>
                <w:sz w:val="24"/>
                <w:szCs w:val="24"/>
                <w:lang w:eastAsia="es-ES"/>
              </w:rPr>
              <w:t>Año 2012</w:t>
            </w:r>
          </w:p>
        </w:tc>
      </w:tr>
    </w:tbl>
    <w:p w:rsidR="003969F7" w:rsidRDefault="003969F7" w:rsidP="003969F7">
      <w:pPr>
        <w:spacing w:before="100" w:beforeAutospacing="1" w:after="100" w:afterAutospacing="1" w:line="240" w:lineRule="auto"/>
        <w:jc w:val="both"/>
        <w:rPr>
          <w:rFonts w:ascii="Times New Roman" w:hAnsi="Times New Roman"/>
          <w:color w:val="000000"/>
          <w:sz w:val="24"/>
          <w:szCs w:val="24"/>
        </w:rPr>
      </w:pPr>
    </w:p>
    <w:tbl>
      <w:tblPr>
        <w:tblW w:w="8400" w:type="dxa"/>
        <w:tblInd w:w="55" w:type="dxa"/>
        <w:tblCellMar>
          <w:left w:w="70" w:type="dxa"/>
          <w:right w:w="70" w:type="dxa"/>
        </w:tblCellMar>
        <w:tblLook w:val="04A0" w:firstRow="1" w:lastRow="0" w:firstColumn="1" w:lastColumn="0" w:noHBand="0" w:noVBand="1"/>
      </w:tblPr>
      <w:tblGrid>
        <w:gridCol w:w="2091"/>
        <w:gridCol w:w="3523"/>
        <w:gridCol w:w="1586"/>
        <w:gridCol w:w="1200"/>
      </w:tblGrid>
      <w:tr w:rsidR="003969F7" w:rsidRPr="00A26357" w:rsidTr="00FE115D">
        <w:trPr>
          <w:trHeight w:val="315"/>
        </w:trPr>
        <w:tc>
          <w:tcPr>
            <w:tcW w:w="7200" w:type="dxa"/>
            <w:gridSpan w:val="3"/>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b/>
                <w:bCs/>
                <w:color w:val="000000"/>
                <w:sz w:val="24"/>
                <w:szCs w:val="24"/>
                <w:lang w:eastAsia="es-ES"/>
              </w:rPr>
            </w:pPr>
            <w:r w:rsidRPr="00A26357">
              <w:rPr>
                <w:rFonts w:ascii="Times New Roman" w:eastAsia="Times New Roman" w:hAnsi="Times New Roman" w:cs="Times New Roman"/>
                <w:b/>
                <w:bCs/>
                <w:color w:val="000000"/>
                <w:sz w:val="24"/>
                <w:szCs w:val="24"/>
                <w:lang w:eastAsia="es-ES"/>
              </w:rPr>
              <w:t>Comercio de Mercancías de la UE-28, por origen y destino, año 2013</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Exportaciones</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Valor</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2005</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2013</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Mundo</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US$ 6.076.450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Europa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US$ 4.206.096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73,5</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69,2</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UE-28</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US$ 3.769.450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EEUU</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US$ 382.812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7,6</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6,3</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China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US$ 196.917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1,6</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3,2</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Rusia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US$ 159.096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1,7</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2,6</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Turquía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US$ 103.250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1,4</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1,7</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Importaciones</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Valor</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2005</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Parte 2013</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 xml:space="preserve"> </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Mundo</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US$ 6.004.045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100</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Europa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US$ 4.079.390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70,3</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67,9</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UE-28</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US$ 3.769.445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65,3</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62,8</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EEUU</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US$ 260.419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4,7</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4,3</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China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US$ 371.992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4,7</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6,2</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Rusia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US$ 274.299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3,3</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4,6</w:t>
            </w:r>
          </w:p>
        </w:tc>
      </w:tr>
      <w:tr w:rsidR="003969F7" w:rsidRPr="00A26357" w:rsidTr="00FE115D">
        <w:trPr>
          <w:trHeight w:val="315"/>
        </w:trPr>
        <w:tc>
          <w:tcPr>
            <w:tcW w:w="2091"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Turquía</w:t>
            </w:r>
          </w:p>
        </w:tc>
        <w:tc>
          <w:tcPr>
            <w:tcW w:w="3523"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US$ 66.937 millones</w:t>
            </w:r>
          </w:p>
        </w:tc>
        <w:tc>
          <w:tcPr>
            <w:tcW w:w="1586"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1,1</w:t>
            </w:r>
          </w:p>
        </w:tc>
        <w:tc>
          <w:tcPr>
            <w:tcW w:w="1200" w:type="dxa"/>
            <w:tcBorders>
              <w:top w:val="nil"/>
              <w:left w:val="nil"/>
              <w:bottom w:val="nil"/>
              <w:right w:val="nil"/>
            </w:tcBorders>
            <w:shd w:val="clear" w:color="auto" w:fill="auto"/>
            <w:noWrap/>
            <w:vAlign w:val="bottom"/>
            <w:hideMark/>
          </w:tcPr>
          <w:p w:rsidR="003969F7" w:rsidRPr="00A26357" w:rsidRDefault="003969F7" w:rsidP="00FE115D">
            <w:pPr>
              <w:spacing w:after="0" w:line="240" w:lineRule="auto"/>
              <w:jc w:val="center"/>
              <w:rPr>
                <w:rFonts w:ascii="Times New Roman" w:eastAsia="Times New Roman" w:hAnsi="Times New Roman" w:cs="Times New Roman"/>
                <w:color w:val="000000"/>
                <w:sz w:val="24"/>
                <w:szCs w:val="24"/>
                <w:lang w:eastAsia="es-ES"/>
              </w:rPr>
            </w:pPr>
            <w:r w:rsidRPr="00A26357">
              <w:rPr>
                <w:rFonts w:ascii="Times New Roman" w:eastAsia="Times New Roman" w:hAnsi="Times New Roman" w:cs="Times New Roman"/>
                <w:color w:val="000000"/>
                <w:sz w:val="24"/>
                <w:szCs w:val="24"/>
                <w:lang w:eastAsia="es-ES"/>
              </w:rPr>
              <w:t>1,1</w:t>
            </w:r>
          </w:p>
        </w:tc>
      </w:tr>
    </w:tbl>
    <w:p w:rsidR="003969F7" w:rsidRDefault="003969F7" w:rsidP="003969F7">
      <w:pPr>
        <w:spacing w:before="100" w:beforeAutospacing="1" w:after="100" w:afterAutospacing="1" w:line="240" w:lineRule="auto"/>
        <w:jc w:val="both"/>
        <w:rPr>
          <w:rFonts w:ascii="Times New Roman" w:hAnsi="Times New Roman"/>
          <w:color w:val="000000"/>
          <w:sz w:val="24"/>
          <w:szCs w:val="24"/>
        </w:rPr>
      </w:pP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sidRPr="002979ED">
        <w:rPr>
          <w:rFonts w:ascii="Times New Roman" w:hAnsi="Times New Roman"/>
          <w:b/>
          <w:color w:val="000000"/>
          <w:sz w:val="24"/>
          <w:szCs w:val="24"/>
        </w:rPr>
        <w:t>Nota</w:t>
      </w:r>
      <w:r>
        <w:rPr>
          <w:rFonts w:ascii="Times New Roman" w:hAnsi="Times New Roman"/>
          <w:color w:val="000000"/>
          <w:sz w:val="24"/>
          <w:szCs w:val="24"/>
        </w:rPr>
        <w:t>: Principales mercados de exportación de Turquía (año 2013): Alemania ()5), Iraq (7,8%), Reino Unido (5,8%), Rusia (4,6%), Italia (4,4%), Francia (4,2%), EEUU (3,7%), EAU (3,3%), España (2,8%), e Irán (2,4%).</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Principales fuentes de importación de Turquía (año 2013): Rusia (9,9%), China (9,8%), Alemania (9,6%), Italia (5,1%), EEUU (5%), Irán (4,1%), Suiza (3,8%), Francia (3,2%), España (2,5%), e India (2,5%).</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Mercados principales de exportación (2012):</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EU-28</w:t>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ab/>
      </w:r>
      <w:r>
        <w:rPr>
          <w:rFonts w:ascii="Times New Roman" w:hAnsi="Times New Roman"/>
          <w:color w:val="000000"/>
          <w:sz w:val="24"/>
          <w:szCs w:val="24"/>
        </w:rPr>
        <w:tab/>
        <w:t>38,9%</w:t>
      </w:r>
      <w:r>
        <w:rPr>
          <w:rFonts w:ascii="Times New Roman" w:hAnsi="Times New Roman"/>
          <w:color w:val="000000"/>
          <w:sz w:val="24"/>
          <w:szCs w:val="24"/>
        </w:rPr>
        <w:tab/>
      </w:r>
      <w:r>
        <w:rPr>
          <w:rFonts w:ascii="Times New Roman" w:hAnsi="Times New Roman"/>
          <w:color w:val="000000"/>
          <w:sz w:val="24"/>
          <w:szCs w:val="24"/>
        </w:rPr>
        <w:tab/>
        <w:t>59.399 millones de dólares</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Países de Oriente Próximo y Medio </w:t>
      </w:r>
      <w:r>
        <w:rPr>
          <w:rFonts w:ascii="Times New Roman" w:hAnsi="Times New Roman"/>
          <w:color w:val="000000"/>
          <w:sz w:val="24"/>
          <w:szCs w:val="24"/>
        </w:rPr>
        <w:tab/>
      </w:r>
      <w:r>
        <w:rPr>
          <w:rFonts w:ascii="Times New Roman" w:hAnsi="Times New Roman"/>
          <w:color w:val="000000"/>
          <w:sz w:val="24"/>
          <w:szCs w:val="24"/>
        </w:rPr>
        <w:tab/>
        <w:t>27,8%</w:t>
      </w:r>
      <w:r>
        <w:rPr>
          <w:rFonts w:ascii="Times New Roman" w:hAnsi="Times New Roman"/>
          <w:color w:val="000000"/>
          <w:sz w:val="24"/>
          <w:szCs w:val="24"/>
        </w:rPr>
        <w:tab/>
      </w:r>
      <w:r>
        <w:rPr>
          <w:rFonts w:ascii="Times New Roman" w:hAnsi="Times New Roman"/>
          <w:color w:val="000000"/>
          <w:sz w:val="24"/>
          <w:szCs w:val="24"/>
        </w:rPr>
        <w:tab/>
        <w:t>42.452 millones de dólares</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Otros países del norte de América</w:t>
      </w:r>
      <w:r>
        <w:rPr>
          <w:rFonts w:ascii="Times New Roman" w:hAnsi="Times New Roman"/>
          <w:color w:val="000000"/>
          <w:sz w:val="24"/>
          <w:szCs w:val="24"/>
        </w:rPr>
        <w:tab/>
      </w:r>
      <w:r>
        <w:rPr>
          <w:rFonts w:ascii="Times New Roman" w:hAnsi="Times New Roman"/>
          <w:color w:val="000000"/>
          <w:sz w:val="24"/>
          <w:szCs w:val="24"/>
        </w:rPr>
        <w:tab/>
        <w:t xml:space="preserve">  4,4%</w:t>
      </w:r>
      <w:r>
        <w:rPr>
          <w:rFonts w:ascii="Times New Roman" w:hAnsi="Times New Roman"/>
          <w:color w:val="000000"/>
          <w:sz w:val="24"/>
          <w:szCs w:val="24"/>
        </w:rPr>
        <w:tab/>
      </w:r>
      <w:r>
        <w:rPr>
          <w:rFonts w:ascii="Times New Roman" w:hAnsi="Times New Roman"/>
          <w:color w:val="000000"/>
          <w:sz w:val="24"/>
          <w:szCs w:val="24"/>
        </w:rPr>
        <w:tab/>
        <w:t xml:space="preserve">  6.663 millones de dólares</w:t>
      </w:r>
    </w:p>
    <w:p w:rsidR="003969F7" w:rsidRPr="002E0D1D" w:rsidRDefault="003969F7" w:rsidP="003969F7">
      <w:pPr>
        <w:spacing w:before="100" w:beforeAutospacing="1" w:after="100" w:afterAutospacing="1" w:line="240" w:lineRule="auto"/>
        <w:jc w:val="both"/>
        <w:rPr>
          <w:rFonts w:ascii="Times New Roman" w:hAnsi="Times New Roman"/>
          <w:i/>
          <w:sz w:val="24"/>
          <w:szCs w:val="24"/>
        </w:rPr>
      </w:pPr>
    </w:p>
    <w:p w:rsidR="005D3D37" w:rsidRDefault="005D3D37" w:rsidP="005D3D37">
      <w:pPr>
        <w:jc w:val="both"/>
        <w:rPr>
          <w:rFonts w:ascii="Times New Roman" w:hAnsi="Times New Roman" w:cs="Times New Roman"/>
          <w:b/>
          <w:sz w:val="24"/>
          <w:szCs w:val="24"/>
        </w:rPr>
      </w:pPr>
      <w:r w:rsidRPr="00A030D4">
        <w:rPr>
          <w:rFonts w:ascii="Times New Roman" w:hAnsi="Times New Roman" w:cs="Times New Roman"/>
          <w:b/>
          <w:sz w:val="24"/>
          <w:szCs w:val="24"/>
        </w:rPr>
        <w:lastRenderedPageBreak/>
        <w:t>Los retos económicos y sociales derivados del cambio demográfico y el progresivo envejecimiento de la población</w:t>
      </w:r>
      <w:r>
        <w:rPr>
          <w:rFonts w:ascii="Times New Roman" w:hAnsi="Times New Roman" w:cs="Times New Roman"/>
          <w:b/>
          <w:sz w:val="24"/>
          <w:szCs w:val="24"/>
        </w:rPr>
        <w:t xml:space="preserve"> europea</w:t>
      </w:r>
    </w:p>
    <w:p w:rsidR="005D3D37" w:rsidRDefault="005D3D37" w:rsidP="005D3D37">
      <w:pPr>
        <w:jc w:val="both"/>
        <w:rPr>
          <w:rFonts w:ascii="Times New Roman" w:hAnsi="Times New Roman" w:cs="Times New Roman"/>
          <w:sz w:val="24"/>
          <w:szCs w:val="24"/>
        </w:rPr>
      </w:pPr>
      <w:r w:rsidRPr="00A030D4">
        <w:rPr>
          <w:rFonts w:ascii="Times New Roman" w:hAnsi="Times New Roman" w:cs="Times New Roman"/>
          <w:sz w:val="24"/>
          <w:szCs w:val="24"/>
        </w:rPr>
        <w:t>Uno de los principales retos del cambio demográfico es su impacto sobre el Estado del Bienestar que conocemos y su sostenibilidad futura.</w:t>
      </w:r>
    </w:p>
    <w:p w:rsidR="005D3D37" w:rsidRPr="00374BCA" w:rsidRDefault="005D3D37" w:rsidP="005D3D37">
      <w:pPr>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5DF9BAC6" wp14:editId="507F391C">
            <wp:extent cx="4819650" cy="347980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19650" cy="3479800"/>
                    </a:xfrm>
                    <a:prstGeom prst="rect">
                      <a:avLst/>
                    </a:prstGeom>
                    <a:noFill/>
                    <a:ln>
                      <a:noFill/>
                    </a:ln>
                  </pic:spPr>
                </pic:pic>
              </a:graphicData>
            </a:graphic>
          </wp:inline>
        </w:drawing>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noProof/>
          <w:sz w:val="24"/>
          <w:szCs w:val="24"/>
          <w:lang w:eastAsia="es-ES"/>
        </w:rPr>
        <w:drawing>
          <wp:inline distT="0" distB="0" distL="0" distR="0" wp14:anchorId="3BBED8B0" wp14:editId="238BB8E6">
            <wp:extent cx="5391150" cy="2317750"/>
            <wp:effectExtent l="0" t="0" r="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2317750"/>
                    </a:xfrm>
                    <a:prstGeom prst="rect">
                      <a:avLst/>
                    </a:prstGeom>
                    <a:noFill/>
                    <a:ln>
                      <a:noFill/>
                    </a:ln>
                  </pic:spPr>
                </pic:pic>
              </a:graphicData>
            </a:graphic>
          </wp:inline>
        </w:drawing>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noProof/>
          <w:sz w:val="24"/>
          <w:szCs w:val="24"/>
          <w:lang w:eastAsia="es-ES"/>
        </w:rPr>
        <w:drawing>
          <wp:inline distT="0" distB="0" distL="0" distR="0" wp14:anchorId="424104AE" wp14:editId="535D58BB">
            <wp:extent cx="5391150" cy="12573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91150" cy="1257300"/>
                    </a:xfrm>
                    <a:prstGeom prst="rect">
                      <a:avLst/>
                    </a:prstGeom>
                    <a:noFill/>
                    <a:ln>
                      <a:noFill/>
                    </a:ln>
                  </pic:spPr>
                </pic:pic>
              </a:graphicData>
            </a:graphic>
          </wp:inline>
        </w:drawing>
      </w:r>
    </w:p>
    <w:p w:rsidR="0040444D"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sz w:val="24"/>
          <w:szCs w:val="24"/>
        </w:rPr>
        <w:t xml:space="preserve">Fuente: El comportamiento ciudadano </w:t>
      </w:r>
      <w:r w:rsidRPr="00B33C3F">
        <w:rPr>
          <w:rFonts w:ascii="Times New Roman" w:hAnsi="Times New Roman" w:cs="Times New Roman"/>
          <w:iCs/>
          <w:sz w:val="24"/>
          <w:szCs w:val="24"/>
        </w:rPr>
        <w:t>en la planificación de la jubilación</w:t>
      </w:r>
      <w:r>
        <w:rPr>
          <w:rFonts w:ascii="Times New Roman" w:hAnsi="Times New Roman" w:cs="Times New Roman"/>
          <w:iCs/>
          <w:sz w:val="24"/>
          <w:szCs w:val="24"/>
        </w:rPr>
        <w:t xml:space="preserve"> - Manuel Alfaro, Xavier Mas e </w:t>
      </w:r>
      <w:r w:rsidRPr="00B33C3F">
        <w:rPr>
          <w:rFonts w:ascii="Times New Roman" w:hAnsi="Times New Roman" w:cs="Times New Roman"/>
          <w:iCs/>
          <w:sz w:val="24"/>
          <w:szCs w:val="24"/>
        </w:rPr>
        <w:t>Ismael Vallés</w:t>
      </w:r>
      <w:r>
        <w:rPr>
          <w:rFonts w:ascii="Times New Roman" w:hAnsi="Times New Roman" w:cs="Times New Roman"/>
          <w:iCs/>
          <w:sz w:val="24"/>
          <w:szCs w:val="24"/>
        </w:rPr>
        <w:t xml:space="preserve"> - ESADE - Noviembre 2014 </w:t>
      </w:r>
    </w:p>
    <w:p w:rsidR="005D3D37" w:rsidRPr="0040444D" w:rsidRDefault="005D3D37" w:rsidP="005D3D37">
      <w:pPr>
        <w:autoSpaceDE w:val="0"/>
        <w:autoSpaceDN w:val="0"/>
        <w:adjustRightInd w:val="0"/>
        <w:spacing w:after="0" w:line="240" w:lineRule="auto"/>
        <w:jc w:val="both"/>
        <w:rPr>
          <w:rFonts w:ascii="Times New Roman" w:hAnsi="Times New Roman" w:cs="Times New Roman"/>
          <w:iCs/>
          <w:sz w:val="24"/>
          <w:szCs w:val="24"/>
        </w:rPr>
      </w:pPr>
      <w:r w:rsidRPr="00B33C3F">
        <w:rPr>
          <w:rFonts w:ascii="Times New Roman" w:hAnsi="Times New Roman" w:cs="Times New Roman"/>
          <w:i/>
          <w:iCs/>
          <w:sz w:val="24"/>
          <w:szCs w:val="24"/>
        </w:rPr>
        <w:lastRenderedPageBreak/>
        <w:t>“El alargamiento de la vida es una realidad, aumenta la esperanza de vida con un descenso significativo de la mortalidad infantil, con avances en medicina y unas mejores condiciones de vida. Datos positivos que sin embargo llevan consigo que más personas vivan más años con problemas que requieren cuidados específicos durante más tiempo. El incremento en la esperanza de vida, simultáneo al descenso prolongado de la tasa de natalidad, determina un cambio en la estructura de edades muy significativo con efectos en la organización de la educación, la sanidad, la vida laboral y la jubilación”…</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sidRPr="00B33C3F">
        <w:rPr>
          <w:rFonts w:ascii="Times New Roman" w:hAnsi="Times New Roman" w:cs="Times New Roman"/>
          <w:iCs/>
          <w:sz w:val="24"/>
          <w:szCs w:val="24"/>
        </w:rPr>
        <w:t>Si a los cambios demográf</w:t>
      </w:r>
      <w:r>
        <w:rPr>
          <w:rFonts w:ascii="Times New Roman" w:hAnsi="Times New Roman" w:cs="Times New Roman"/>
          <w:iCs/>
          <w:sz w:val="24"/>
          <w:szCs w:val="24"/>
        </w:rPr>
        <w:t xml:space="preserve">icos, relativamente previsibles </w:t>
      </w:r>
      <w:r w:rsidRPr="00B33C3F">
        <w:rPr>
          <w:rFonts w:ascii="Times New Roman" w:hAnsi="Times New Roman" w:cs="Times New Roman"/>
          <w:iCs/>
          <w:sz w:val="24"/>
          <w:szCs w:val="24"/>
        </w:rPr>
        <w:t>y con efectos a medio pla</w:t>
      </w:r>
      <w:r>
        <w:rPr>
          <w:rFonts w:ascii="Times New Roman" w:hAnsi="Times New Roman" w:cs="Times New Roman"/>
          <w:iCs/>
          <w:sz w:val="24"/>
          <w:szCs w:val="24"/>
        </w:rPr>
        <w:t xml:space="preserve">zo, le sumamos la brutalidad de </w:t>
      </w:r>
      <w:r w:rsidRPr="00B33C3F">
        <w:rPr>
          <w:rFonts w:ascii="Times New Roman" w:hAnsi="Times New Roman" w:cs="Times New Roman"/>
          <w:iCs/>
          <w:sz w:val="24"/>
          <w:szCs w:val="24"/>
        </w:rPr>
        <w:t>una de las crisis econó</w:t>
      </w:r>
      <w:r>
        <w:rPr>
          <w:rFonts w:ascii="Times New Roman" w:hAnsi="Times New Roman" w:cs="Times New Roman"/>
          <w:iCs/>
          <w:sz w:val="24"/>
          <w:szCs w:val="24"/>
        </w:rPr>
        <w:t>micas más duras, se comprenderá la relevancia de revisar anteriores criterios y paradigmas.</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Pr="00B33C3F" w:rsidRDefault="005D3D37" w:rsidP="005D3D37">
      <w:pPr>
        <w:autoSpaceDE w:val="0"/>
        <w:autoSpaceDN w:val="0"/>
        <w:adjustRightInd w:val="0"/>
        <w:spacing w:after="0" w:line="240" w:lineRule="auto"/>
        <w:jc w:val="both"/>
        <w:rPr>
          <w:rFonts w:ascii="Times New Roman" w:hAnsi="Times New Roman" w:cs="Times New Roman"/>
          <w:i/>
          <w:iCs/>
          <w:sz w:val="24"/>
          <w:szCs w:val="24"/>
        </w:rPr>
      </w:pPr>
      <w:r w:rsidRPr="00B33C3F">
        <w:rPr>
          <w:rFonts w:ascii="Times New Roman" w:hAnsi="Times New Roman" w:cs="Times New Roman"/>
          <w:i/>
          <w:iCs/>
          <w:sz w:val="24"/>
          <w:szCs w:val="24"/>
        </w:rPr>
        <w:t>“Los resultados son amargos porque retratan la extensión y la profundidad de los efectos de la crisis, pero son esperanzadores en lo que ha significado de concienciación ciudadana respecto a la necesidad de la previsión. Nos encontramos ante una sociedad más realista y madura en el diagnóstico, con menor margen de maniobra y desconcertada respecto a las soluciones y la forma en la que debe gestionar su futuro”...</w:t>
      </w:r>
    </w:p>
    <w:p w:rsidR="005D3D37" w:rsidRPr="00B33C3F" w:rsidRDefault="005D3D37" w:rsidP="005D3D37">
      <w:pPr>
        <w:autoSpaceDE w:val="0"/>
        <w:autoSpaceDN w:val="0"/>
        <w:adjustRightInd w:val="0"/>
        <w:spacing w:after="0" w:line="240" w:lineRule="auto"/>
        <w:jc w:val="both"/>
        <w:rPr>
          <w:rFonts w:ascii="Times New Roman" w:hAnsi="Times New Roman" w:cs="Times New Roman"/>
          <w:i/>
          <w:iCs/>
          <w:sz w:val="24"/>
          <w:szCs w:val="24"/>
        </w:rPr>
      </w:pP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sz w:val="24"/>
          <w:szCs w:val="24"/>
        </w:rPr>
        <w:t xml:space="preserve">Una época de crisis </w:t>
      </w:r>
      <w:r w:rsidRPr="00B33C3F">
        <w:rPr>
          <w:rFonts w:ascii="Times New Roman" w:hAnsi="Times New Roman" w:cs="Times New Roman"/>
          <w:iCs/>
          <w:sz w:val="24"/>
          <w:szCs w:val="24"/>
        </w:rPr>
        <w:t>que se caracteriza por un desc</w:t>
      </w:r>
      <w:r>
        <w:rPr>
          <w:rFonts w:ascii="Times New Roman" w:hAnsi="Times New Roman" w:cs="Times New Roman"/>
          <w:iCs/>
          <w:sz w:val="24"/>
          <w:szCs w:val="24"/>
        </w:rPr>
        <w:t xml:space="preserve">enso de las rentas del trabajo, </w:t>
      </w:r>
      <w:r w:rsidRPr="00B33C3F">
        <w:rPr>
          <w:rFonts w:ascii="Times New Roman" w:hAnsi="Times New Roman" w:cs="Times New Roman"/>
          <w:iCs/>
          <w:sz w:val="24"/>
          <w:szCs w:val="24"/>
        </w:rPr>
        <w:t>el desempleo, una mayor pr</w:t>
      </w:r>
      <w:r>
        <w:rPr>
          <w:rFonts w:ascii="Times New Roman" w:hAnsi="Times New Roman" w:cs="Times New Roman"/>
          <w:iCs/>
          <w:sz w:val="24"/>
          <w:szCs w:val="24"/>
        </w:rPr>
        <w:t xml:space="preserve">ecariedad laboral, la necesidad </w:t>
      </w:r>
      <w:r w:rsidRPr="00B33C3F">
        <w:rPr>
          <w:rFonts w:ascii="Times New Roman" w:hAnsi="Times New Roman" w:cs="Times New Roman"/>
          <w:iCs/>
          <w:sz w:val="24"/>
          <w:szCs w:val="24"/>
        </w:rPr>
        <w:t>de acudir a la solidaridad fa</w:t>
      </w:r>
      <w:r>
        <w:rPr>
          <w:rFonts w:ascii="Times New Roman" w:hAnsi="Times New Roman" w:cs="Times New Roman"/>
          <w:iCs/>
          <w:sz w:val="24"/>
          <w:szCs w:val="24"/>
        </w:rPr>
        <w:t xml:space="preserve">miliar, etc., y también por una </w:t>
      </w:r>
      <w:r w:rsidRPr="00B33C3F">
        <w:rPr>
          <w:rFonts w:ascii="Times New Roman" w:hAnsi="Times New Roman" w:cs="Times New Roman"/>
          <w:iCs/>
          <w:sz w:val="24"/>
          <w:szCs w:val="24"/>
        </w:rPr>
        <w:t>mayor desconfianza en las institu</w:t>
      </w:r>
      <w:r>
        <w:rPr>
          <w:rFonts w:ascii="Times New Roman" w:hAnsi="Times New Roman" w:cs="Times New Roman"/>
          <w:iCs/>
          <w:sz w:val="24"/>
          <w:szCs w:val="24"/>
        </w:rPr>
        <w:t xml:space="preserve">ciones públicas y las entidades </w:t>
      </w:r>
      <w:r w:rsidRPr="00B33C3F">
        <w:rPr>
          <w:rFonts w:ascii="Times New Roman" w:hAnsi="Times New Roman" w:cs="Times New Roman"/>
          <w:iCs/>
          <w:sz w:val="24"/>
          <w:szCs w:val="24"/>
        </w:rPr>
        <w:t>financieras.</w:t>
      </w:r>
      <w:r>
        <w:rPr>
          <w:rFonts w:ascii="Times New Roman" w:hAnsi="Times New Roman" w:cs="Times New Roman"/>
          <w:iCs/>
          <w:sz w:val="24"/>
          <w:szCs w:val="24"/>
        </w:rPr>
        <w:t xml:space="preserve"> Una </w:t>
      </w:r>
      <w:r w:rsidRPr="00374BCA">
        <w:rPr>
          <w:rFonts w:ascii="Times New Roman" w:hAnsi="Times New Roman" w:cs="Times New Roman"/>
          <w:iCs/>
          <w:sz w:val="24"/>
          <w:szCs w:val="24"/>
        </w:rPr>
        <w:t>reacción basada en la des</w:t>
      </w:r>
      <w:r>
        <w:rPr>
          <w:rFonts w:ascii="Times New Roman" w:hAnsi="Times New Roman" w:cs="Times New Roman"/>
          <w:iCs/>
          <w:sz w:val="24"/>
          <w:szCs w:val="24"/>
        </w:rPr>
        <w:t xml:space="preserve">confianza en las instituciones, </w:t>
      </w:r>
      <w:r w:rsidRPr="00374BCA">
        <w:rPr>
          <w:rFonts w:ascii="Times New Roman" w:hAnsi="Times New Roman" w:cs="Times New Roman"/>
          <w:iCs/>
          <w:sz w:val="24"/>
          <w:szCs w:val="24"/>
        </w:rPr>
        <w:t>pero también impregn</w:t>
      </w:r>
      <w:r>
        <w:rPr>
          <w:rFonts w:ascii="Times New Roman" w:hAnsi="Times New Roman" w:cs="Times New Roman"/>
          <w:iCs/>
          <w:sz w:val="24"/>
          <w:szCs w:val="24"/>
        </w:rPr>
        <w:t xml:space="preserve">ada de pesimismo, especialmente </w:t>
      </w:r>
      <w:r w:rsidRPr="00374BCA">
        <w:rPr>
          <w:rFonts w:ascii="Times New Roman" w:hAnsi="Times New Roman" w:cs="Times New Roman"/>
          <w:iCs/>
          <w:sz w:val="24"/>
          <w:szCs w:val="24"/>
        </w:rPr>
        <w:t>respecto a la evolución del</w:t>
      </w:r>
      <w:r>
        <w:rPr>
          <w:rFonts w:ascii="Times New Roman" w:hAnsi="Times New Roman" w:cs="Times New Roman"/>
          <w:iCs/>
          <w:sz w:val="24"/>
          <w:szCs w:val="24"/>
        </w:rPr>
        <w:t xml:space="preserve"> sistema público de pensiones y </w:t>
      </w:r>
      <w:r w:rsidRPr="00374BCA">
        <w:rPr>
          <w:rFonts w:ascii="Times New Roman" w:hAnsi="Times New Roman" w:cs="Times New Roman"/>
          <w:iCs/>
          <w:sz w:val="24"/>
          <w:szCs w:val="24"/>
        </w:rPr>
        <w:t>el futuro del estado del bienestar en su conjunto.</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Pr="00374BCA" w:rsidRDefault="005D3D37" w:rsidP="005D3D37">
      <w:pPr>
        <w:autoSpaceDE w:val="0"/>
        <w:autoSpaceDN w:val="0"/>
        <w:adjustRightInd w:val="0"/>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w:t>
      </w:r>
      <w:r w:rsidRPr="00374BCA">
        <w:rPr>
          <w:rFonts w:ascii="Times New Roman" w:hAnsi="Times New Roman" w:cs="Times New Roman"/>
          <w:i/>
          <w:iCs/>
          <w:sz w:val="24"/>
          <w:szCs w:val="24"/>
        </w:rPr>
        <w:t>Como era de esperar en una época de crisis, disminuye el ahorro sistemático y aumentan las aportaciones coyunturales, no planificadas. Se explica en varias causas. La investigación indica una polarización en la percepción de la situación económica, consistente con los datos macroeconómicos disponibles. Hay más ciudadanos que están bien o mal y menos en la zona intermedia. Mientras se consolida la posición de los que están bien, y pueden seguir ahorrando de forma sistemática, el resto, aunque haya aumentado en concienciación, “hace lo que puede”</w:t>
      </w:r>
      <w:r>
        <w:rPr>
          <w:rFonts w:ascii="Times New Roman" w:hAnsi="Times New Roman" w:cs="Times New Roman"/>
          <w:i/>
          <w:iCs/>
          <w:sz w:val="24"/>
          <w:szCs w:val="24"/>
        </w:rPr>
        <w:t>”..</w:t>
      </w:r>
      <w:r w:rsidRPr="00374BCA">
        <w:rPr>
          <w:rFonts w:ascii="Times New Roman" w:hAnsi="Times New Roman" w:cs="Times New Roman"/>
          <w:i/>
          <w:iCs/>
          <w:sz w:val="24"/>
          <w:szCs w:val="24"/>
        </w:rPr>
        <w:t>.</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sidRPr="00374BCA">
        <w:rPr>
          <w:rFonts w:ascii="Times New Roman" w:hAnsi="Times New Roman" w:cs="Times New Roman"/>
          <w:iCs/>
          <w:sz w:val="24"/>
          <w:szCs w:val="24"/>
        </w:rPr>
        <w:t>Que el ahorro haya aumentado</w:t>
      </w:r>
      <w:r>
        <w:rPr>
          <w:rFonts w:ascii="Times New Roman" w:hAnsi="Times New Roman" w:cs="Times New Roman"/>
          <w:iCs/>
          <w:sz w:val="24"/>
          <w:szCs w:val="24"/>
        </w:rPr>
        <w:t xml:space="preserve"> en época de crisis es un claro </w:t>
      </w:r>
      <w:r w:rsidRPr="00374BCA">
        <w:rPr>
          <w:rFonts w:ascii="Times New Roman" w:hAnsi="Times New Roman" w:cs="Times New Roman"/>
          <w:iCs/>
          <w:sz w:val="24"/>
          <w:szCs w:val="24"/>
        </w:rPr>
        <w:t xml:space="preserve">indicador de la percepción </w:t>
      </w:r>
      <w:r>
        <w:rPr>
          <w:rFonts w:ascii="Times New Roman" w:hAnsi="Times New Roman" w:cs="Times New Roman"/>
          <w:iCs/>
          <w:sz w:val="24"/>
          <w:szCs w:val="24"/>
        </w:rPr>
        <w:t xml:space="preserve">de incertidumbre en el futuro y </w:t>
      </w:r>
      <w:r w:rsidRPr="00374BCA">
        <w:rPr>
          <w:rFonts w:ascii="Times New Roman" w:hAnsi="Times New Roman" w:cs="Times New Roman"/>
          <w:iCs/>
          <w:sz w:val="24"/>
          <w:szCs w:val="24"/>
        </w:rPr>
        <w:t>del esfuerzo que han hec</w:t>
      </w:r>
      <w:r>
        <w:rPr>
          <w:rFonts w:ascii="Times New Roman" w:hAnsi="Times New Roman" w:cs="Times New Roman"/>
          <w:iCs/>
          <w:sz w:val="24"/>
          <w:szCs w:val="24"/>
        </w:rPr>
        <w:t xml:space="preserve">ho los ciudadanos en un entorno </w:t>
      </w:r>
      <w:r w:rsidRPr="00374BCA">
        <w:rPr>
          <w:rFonts w:ascii="Times New Roman" w:hAnsi="Times New Roman" w:cs="Times New Roman"/>
          <w:iCs/>
          <w:sz w:val="24"/>
          <w:szCs w:val="24"/>
        </w:rPr>
        <w:t>hostil al ahorro.</w:t>
      </w:r>
      <w:r>
        <w:rPr>
          <w:rFonts w:ascii="Times New Roman" w:hAnsi="Times New Roman" w:cs="Times New Roman"/>
          <w:iCs/>
          <w:sz w:val="24"/>
          <w:szCs w:val="24"/>
        </w:rPr>
        <w:t xml:space="preserve"> </w:t>
      </w:r>
      <w:r w:rsidRPr="00374BCA">
        <w:rPr>
          <w:rFonts w:ascii="Times New Roman" w:hAnsi="Times New Roman" w:cs="Times New Roman"/>
          <w:iCs/>
          <w:sz w:val="24"/>
          <w:szCs w:val="24"/>
        </w:rPr>
        <w:t>El punto de partida es difícil, dada la desconfia</w:t>
      </w:r>
      <w:r>
        <w:rPr>
          <w:rFonts w:ascii="Times New Roman" w:hAnsi="Times New Roman" w:cs="Times New Roman"/>
          <w:iCs/>
          <w:sz w:val="24"/>
          <w:szCs w:val="24"/>
        </w:rPr>
        <w:t xml:space="preserve">nza, incluso </w:t>
      </w:r>
      <w:r w:rsidRPr="00374BCA">
        <w:rPr>
          <w:rFonts w:ascii="Times New Roman" w:hAnsi="Times New Roman" w:cs="Times New Roman"/>
          <w:iCs/>
          <w:sz w:val="24"/>
          <w:szCs w:val="24"/>
        </w:rPr>
        <w:t>ira, de bastantes ciudadanos; pero es ahora el momento de</w:t>
      </w:r>
      <w:r>
        <w:rPr>
          <w:rFonts w:ascii="Times New Roman" w:hAnsi="Times New Roman" w:cs="Times New Roman"/>
          <w:iCs/>
          <w:sz w:val="24"/>
          <w:szCs w:val="24"/>
        </w:rPr>
        <w:t xml:space="preserve"> </w:t>
      </w:r>
      <w:r w:rsidRPr="00374BCA">
        <w:rPr>
          <w:rFonts w:ascii="Times New Roman" w:hAnsi="Times New Roman" w:cs="Times New Roman"/>
          <w:iCs/>
          <w:sz w:val="24"/>
          <w:szCs w:val="24"/>
        </w:rPr>
        <w:t>cr</w:t>
      </w:r>
      <w:r>
        <w:rPr>
          <w:rFonts w:ascii="Times New Roman" w:hAnsi="Times New Roman" w:cs="Times New Roman"/>
          <w:iCs/>
          <w:sz w:val="24"/>
          <w:szCs w:val="24"/>
        </w:rPr>
        <w:t xml:space="preserve">ear un “nuevo estado de situación” que permita ampliar y rebalancear la pirámide poblacional mejorando las posibilidades de mantenimiento del Estado de Bienestar. </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sz w:val="24"/>
          <w:szCs w:val="24"/>
        </w:rPr>
        <w:t>Se necesita un cambio estructural en la pirámide. Y ahí entra Turquía como “socorrista” de último recurso. Su joven población puede resultar la donante de sangre nueva que la vieja Europa necesita para resurgir de sus cenizas. Una conjunción de intereses de mutuo beneficio. Población y mercado (Tur</w:t>
      </w:r>
      <w:r w:rsidR="00C51709">
        <w:rPr>
          <w:rFonts w:ascii="Times New Roman" w:hAnsi="Times New Roman" w:cs="Times New Roman"/>
          <w:iCs/>
          <w:sz w:val="24"/>
          <w:szCs w:val="24"/>
        </w:rPr>
        <w:t>quía). Democracia y producción</w:t>
      </w:r>
      <w:r>
        <w:rPr>
          <w:rFonts w:ascii="Times New Roman" w:hAnsi="Times New Roman" w:cs="Times New Roman"/>
          <w:iCs/>
          <w:sz w:val="24"/>
          <w:szCs w:val="24"/>
        </w:rPr>
        <w:t xml:space="preserve"> (Europa). </w:t>
      </w:r>
    </w:p>
    <w:p w:rsidR="005D3D37" w:rsidRDefault="005D3D37" w:rsidP="005D3D37">
      <w:pPr>
        <w:autoSpaceDE w:val="0"/>
        <w:autoSpaceDN w:val="0"/>
        <w:adjustRightInd w:val="0"/>
        <w:spacing w:after="0" w:line="240" w:lineRule="auto"/>
        <w:jc w:val="both"/>
        <w:rPr>
          <w:rFonts w:ascii="Times New Roman" w:hAnsi="Times New Roman" w:cs="Times New Roman"/>
          <w:iCs/>
          <w:sz w:val="24"/>
          <w:szCs w:val="24"/>
        </w:rPr>
      </w:pPr>
    </w:p>
    <w:p w:rsidR="005D3D37" w:rsidRPr="0040444D" w:rsidRDefault="005D3D37" w:rsidP="005D3D37">
      <w:pPr>
        <w:autoSpaceDE w:val="0"/>
        <w:autoSpaceDN w:val="0"/>
        <w:adjustRightInd w:val="0"/>
        <w:spacing w:after="0" w:line="240" w:lineRule="auto"/>
        <w:jc w:val="both"/>
        <w:rPr>
          <w:rFonts w:ascii="Times New Roman" w:hAnsi="Times New Roman" w:cs="Times New Roman"/>
          <w:iCs/>
          <w:sz w:val="24"/>
          <w:szCs w:val="24"/>
        </w:rPr>
      </w:pPr>
      <w:r>
        <w:rPr>
          <w:rFonts w:ascii="Times New Roman" w:hAnsi="Times New Roman" w:cs="Times New Roman"/>
          <w:iCs/>
          <w:sz w:val="24"/>
          <w:szCs w:val="24"/>
        </w:rPr>
        <w:t xml:space="preserve">Se requiere audacia y liderazgo </w:t>
      </w:r>
      <w:r w:rsidRPr="005F6037">
        <w:rPr>
          <w:rFonts w:ascii="Times New Roman" w:hAnsi="Times New Roman" w:cs="Times New Roman"/>
          <w:iCs/>
          <w:sz w:val="24"/>
          <w:szCs w:val="24"/>
        </w:rPr>
        <w:t>para que los ciuda</w:t>
      </w:r>
      <w:r>
        <w:rPr>
          <w:rFonts w:ascii="Times New Roman" w:hAnsi="Times New Roman" w:cs="Times New Roman"/>
          <w:iCs/>
          <w:sz w:val="24"/>
          <w:szCs w:val="24"/>
        </w:rPr>
        <w:t xml:space="preserve">danos recuperen la confianza en </w:t>
      </w:r>
      <w:r w:rsidRPr="005F6037">
        <w:rPr>
          <w:rFonts w:ascii="Times New Roman" w:hAnsi="Times New Roman" w:cs="Times New Roman"/>
          <w:iCs/>
          <w:sz w:val="24"/>
          <w:szCs w:val="24"/>
        </w:rPr>
        <w:t>las instituciones, se necesita</w:t>
      </w:r>
      <w:r>
        <w:rPr>
          <w:rFonts w:ascii="Times New Roman" w:hAnsi="Times New Roman" w:cs="Times New Roman"/>
          <w:iCs/>
          <w:sz w:val="24"/>
          <w:szCs w:val="24"/>
        </w:rPr>
        <w:t xml:space="preserve"> actuación, </w:t>
      </w:r>
      <w:r w:rsidRPr="005F6037">
        <w:rPr>
          <w:rFonts w:ascii="Times New Roman" w:hAnsi="Times New Roman" w:cs="Times New Roman"/>
          <w:iCs/>
          <w:sz w:val="24"/>
          <w:szCs w:val="24"/>
        </w:rPr>
        <w:t>tiempo</w:t>
      </w:r>
      <w:r>
        <w:rPr>
          <w:rFonts w:ascii="Times New Roman" w:hAnsi="Times New Roman" w:cs="Times New Roman"/>
          <w:iCs/>
          <w:sz w:val="24"/>
          <w:szCs w:val="24"/>
        </w:rPr>
        <w:t xml:space="preserve"> </w:t>
      </w:r>
      <w:r w:rsidRPr="005F6037">
        <w:rPr>
          <w:rFonts w:ascii="Times New Roman" w:hAnsi="Times New Roman" w:cs="Times New Roman"/>
          <w:iCs/>
          <w:sz w:val="24"/>
          <w:szCs w:val="24"/>
        </w:rPr>
        <w:t>y responsabilidad para manejar un pro</w:t>
      </w:r>
      <w:r w:rsidR="0040444D">
        <w:rPr>
          <w:rFonts w:ascii="Times New Roman" w:hAnsi="Times New Roman" w:cs="Times New Roman"/>
          <w:iCs/>
          <w:sz w:val="24"/>
          <w:szCs w:val="24"/>
        </w:rPr>
        <w:t xml:space="preserve">ceso de cambio y </w:t>
      </w:r>
      <w:r w:rsidR="0040444D" w:rsidRPr="0040444D">
        <w:rPr>
          <w:rFonts w:ascii="Times New Roman" w:hAnsi="Times New Roman" w:cs="Times New Roman"/>
          <w:iCs/>
          <w:sz w:val="24"/>
          <w:szCs w:val="24"/>
        </w:rPr>
        <w:t>resolver</w:t>
      </w:r>
      <w:r w:rsidR="0040444D">
        <w:rPr>
          <w:rFonts w:ascii="Times New Roman" w:hAnsi="Times New Roman" w:cs="Times New Roman"/>
          <w:iCs/>
          <w:sz w:val="24"/>
          <w:szCs w:val="24"/>
        </w:rPr>
        <w:t xml:space="preserve"> (curar)</w:t>
      </w:r>
      <w:r w:rsidR="0040444D" w:rsidRPr="0040444D">
        <w:rPr>
          <w:rFonts w:ascii="Times New Roman" w:hAnsi="Times New Roman" w:cs="Times New Roman"/>
          <w:iCs/>
          <w:sz w:val="24"/>
          <w:szCs w:val="24"/>
        </w:rPr>
        <w:t xml:space="preserve"> </w:t>
      </w:r>
      <w:r w:rsidR="0040444D" w:rsidRPr="0040444D">
        <w:rPr>
          <w:rFonts w:ascii="Times New Roman" w:hAnsi="Times New Roman" w:cs="Times New Roman"/>
          <w:color w:val="000000"/>
          <w:sz w:val="24"/>
          <w:szCs w:val="24"/>
        </w:rPr>
        <w:t xml:space="preserve">el </w:t>
      </w:r>
      <w:r w:rsidR="0040444D" w:rsidRPr="0040444D">
        <w:rPr>
          <w:rFonts w:ascii="Times New Roman" w:hAnsi="Times New Roman" w:cs="Times New Roman"/>
          <w:iCs/>
          <w:color w:val="000000"/>
          <w:sz w:val="24"/>
          <w:szCs w:val="24"/>
        </w:rPr>
        <w:t>síndrome de deficiencia crónica de la demanda</w:t>
      </w:r>
      <w:r w:rsidR="0040444D">
        <w:rPr>
          <w:rFonts w:ascii="Times New Roman" w:hAnsi="Times New Roman" w:cs="Times New Roman"/>
          <w:iCs/>
          <w:color w:val="000000"/>
          <w:sz w:val="24"/>
          <w:szCs w:val="24"/>
        </w:rPr>
        <w:t xml:space="preserve"> europea.</w:t>
      </w:r>
    </w:p>
    <w:p w:rsidR="003969F7" w:rsidRDefault="00B940B5" w:rsidP="003969F7">
      <w:pPr>
        <w:pStyle w:val="NormalWeb"/>
        <w:shd w:val="clear" w:color="auto" w:fill="FFFFFF"/>
        <w:jc w:val="both"/>
        <w:rPr>
          <w:b/>
          <w:noProof/>
          <w:color w:val="000000"/>
        </w:rPr>
      </w:pPr>
      <w:r w:rsidRPr="00B940B5">
        <w:rPr>
          <w:b/>
          <w:noProof/>
          <w:color w:val="000000"/>
        </w:rPr>
        <w:lastRenderedPageBreak/>
        <w:t>Las “pirámides” de Anatolia: demografía y mano de obra</w:t>
      </w:r>
    </w:p>
    <w:p w:rsidR="00B940B5" w:rsidRPr="00B940B5" w:rsidRDefault="00B940B5" w:rsidP="00B940B5">
      <w:pPr>
        <w:spacing w:beforeAutospacing="1" w:after="0" w:afterAutospacing="1" w:line="240" w:lineRule="auto"/>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b/>
          <w:bCs/>
          <w:color w:val="000000"/>
          <w:sz w:val="24"/>
          <w:szCs w:val="24"/>
          <w:lang w:eastAsia="es-ES"/>
        </w:rPr>
        <w:t>Superficie</w:t>
      </w:r>
    </w:p>
    <w:p w:rsidR="00B940B5" w:rsidRPr="00B940B5" w:rsidRDefault="00B940B5"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color w:val="000000"/>
          <w:sz w:val="24"/>
          <w:szCs w:val="24"/>
          <w:lang w:eastAsia="es-ES"/>
        </w:rPr>
        <w:t>Turquía tiene una superficie de 783.562,38 km2 dividida en siete regiones geográficas: el Mármara, el Egeo, el Mediterráneo, Anatolia del Sudeste, Anatolia del Este, Anatolia Central y el Mar Negro. Bañan sus costas cuatro mares: el mar Mediterráneo, el mar Egeo, el mar de Mármara y el mar Negro. </w:t>
      </w:r>
    </w:p>
    <w:p w:rsidR="00B940B5" w:rsidRPr="00B940B5" w:rsidRDefault="00B940B5" w:rsidP="00B940B5">
      <w:pPr>
        <w:spacing w:beforeAutospacing="1" w:after="0" w:afterAutospacing="1" w:line="240" w:lineRule="auto"/>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b/>
          <w:bCs/>
          <w:color w:val="000000"/>
          <w:sz w:val="24"/>
          <w:szCs w:val="24"/>
          <w:lang w:eastAsia="es-ES"/>
        </w:rPr>
        <w:t xml:space="preserve">Población </w:t>
      </w:r>
      <w:r w:rsidRPr="00B940B5">
        <w:rPr>
          <w:rFonts w:ascii="Times New Roman" w:eastAsia="Times New Roman" w:hAnsi="Times New Roman" w:cs="Times New Roman"/>
          <w:color w:val="000000"/>
          <w:sz w:val="24"/>
          <w:szCs w:val="24"/>
          <w:lang w:eastAsia="es-ES"/>
        </w:rPr>
        <w:t> </w:t>
      </w:r>
    </w:p>
    <w:p w:rsidR="00B940B5" w:rsidRPr="00B940B5" w:rsidRDefault="00B940B5"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color w:val="000000"/>
          <w:sz w:val="24"/>
          <w:szCs w:val="24"/>
          <w:lang w:eastAsia="es-ES"/>
        </w:rPr>
        <w:t>La población total de Turquía es de 76 millones de habitantes, de los cuales la mitad están por debajo de los 30 años de edad.</w:t>
      </w:r>
    </w:p>
    <w:p w:rsidR="00B940B5" w:rsidRDefault="00E413F6"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00B940B5" w:rsidRPr="00B940B5">
        <w:rPr>
          <w:rFonts w:ascii="Times New Roman" w:eastAsia="Times New Roman" w:hAnsi="Times New Roman" w:cs="Times New Roman"/>
          <w:color w:val="000000"/>
          <w:sz w:val="24"/>
          <w:szCs w:val="24"/>
          <w:lang w:eastAsia="es-ES"/>
        </w:rPr>
        <w:t> </w:t>
      </w:r>
      <w:r>
        <w:rPr>
          <w:rFonts w:ascii="Times New Roman" w:eastAsia="Times New Roman" w:hAnsi="Times New Roman" w:cs="Times New Roman"/>
          <w:color w:val="000000"/>
          <w:sz w:val="24"/>
          <w:szCs w:val="24"/>
          <w:lang w:eastAsia="es-ES"/>
        </w:rPr>
        <w:t xml:space="preserve"> </w:t>
      </w:r>
      <w:r w:rsidR="00B940B5">
        <w:rPr>
          <w:rFonts w:ascii="Times New Roman" w:eastAsia="Times New Roman" w:hAnsi="Times New Roman" w:cs="Times New Roman"/>
          <w:noProof/>
          <w:color w:val="000000"/>
          <w:sz w:val="24"/>
          <w:szCs w:val="24"/>
          <w:lang w:eastAsia="es-ES"/>
        </w:rPr>
        <w:drawing>
          <wp:inline distT="0" distB="0" distL="0" distR="0">
            <wp:extent cx="5251450" cy="5200650"/>
            <wp:effectExtent l="0" t="0" r="635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1450" cy="5200650"/>
                    </a:xfrm>
                    <a:prstGeom prst="rect">
                      <a:avLst/>
                    </a:prstGeom>
                    <a:noFill/>
                    <a:ln>
                      <a:noFill/>
                    </a:ln>
                  </pic:spPr>
                </pic:pic>
              </a:graphicData>
            </a:graphic>
          </wp:inline>
        </w:drawing>
      </w:r>
    </w:p>
    <w:p w:rsidR="00B940B5" w:rsidRPr="00B940B5" w:rsidRDefault="00B940B5" w:rsidP="00B940B5">
      <w:pPr>
        <w:spacing w:beforeAutospacing="1" w:after="0" w:afterAutospacing="1" w:line="240" w:lineRule="auto"/>
        <w:rPr>
          <w:rFonts w:ascii="Times New Roman" w:eastAsia="Times New Roman" w:hAnsi="Times New Roman" w:cs="Times New Roman"/>
          <w:sz w:val="24"/>
          <w:szCs w:val="24"/>
          <w:lang w:eastAsia="es-ES"/>
        </w:rPr>
      </w:pPr>
      <w:r w:rsidRPr="00B940B5">
        <w:rPr>
          <w:rFonts w:ascii="Times New Roman" w:eastAsia="Times New Roman" w:hAnsi="Times New Roman" w:cs="Times New Roman"/>
          <w:b/>
          <w:bCs/>
          <w:sz w:val="24"/>
          <w:szCs w:val="24"/>
          <w:lang w:eastAsia="es-ES"/>
        </w:rPr>
        <w:t>Mano de obra</w:t>
      </w:r>
      <w:r w:rsidRPr="00B940B5">
        <w:rPr>
          <w:rFonts w:ascii="Times New Roman" w:eastAsia="Times New Roman" w:hAnsi="Times New Roman" w:cs="Times New Roman"/>
          <w:sz w:val="24"/>
          <w:szCs w:val="24"/>
          <w:lang w:eastAsia="es-ES"/>
        </w:rPr>
        <w:t> </w:t>
      </w:r>
    </w:p>
    <w:p w:rsidR="00B940B5" w:rsidRDefault="00B940B5"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color w:val="000000"/>
          <w:sz w:val="24"/>
          <w:szCs w:val="24"/>
          <w:lang w:eastAsia="es-ES"/>
        </w:rPr>
        <w:t>Turquía tiene 27 millones de trabajadores, del total de sus 76 millones de habitantes. El país ocupa la cuarta posición por volumen de población trabajadora de entre los países de la UE.</w:t>
      </w:r>
    </w:p>
    <w:p w:rsidR="00B940B5" w:rsidRDefault="00B940B5"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lastRenderedPageBreak/>
        <w:drawing>
          <wp:inline distT="0" distB="0" distL="0" distR="0">
            <wp:extent cx="5397500" cy="334645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B940B5" w:rsidRPr="00B940B5" w:rsidRDefault="00B940B5" w:rsidP="00B940B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color w:val="000000"/>
          <w:sz w:val="24"/>
          <w:szCs w:val="24"/>
          <w:lang w:eastAsia="es-ES"/>
        </w:rPr>
        <w:t>La juventud de Turquía ha sido uno de los principales responsables del crecimiento de la mano de obra y de que el país esté superando a sus competidores. </w:t>
      </w:r>
    </w:p>
    <w:p w:rsidR="00B940B5" w:rsidRDefault="00B940B5" w:rsidP="00B940B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B940B5">
        <w:rPr>
          <w:rFonts w:ascii="Times New Roman" w:eastAsia="Times New Roman" w:hAnsi="Times New Roman" w:cs="Times New Roman"/>
          <w:color w:val="000000"/>
          <w:sz w:val="24"/>
          <w:szCs w:val="24"/>
          <w:lang w:eastAsia="es-ES"/>
        </w:rPr>
        <w:t>La distribución de la mano de obra entre numerosos y diversos sectores refleja el buen momento de las oportunidades ofrecidas a los inversores. Turquía es altamente competitiva en términos de costes laborales y productividad. Ha experimentado un crecimiento estable en la productividad laboral, junto con una tendencia a la baja en los costes laborales unitarios reales.  </w:t>
      </w:r>
    </w:p>
    <w:p w:rsidR="00B940B5" w:rsidRPr="00B940B5" w:rsidRDefault="00B940B5" w:rsidP="00B940B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drawing>
          <wp:inline distT="0" distB="0" distL="0" distR="0">
            <wp:extent cx="5391150" cy="30734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1150" cy="3073400"/>
                    </a:xfrm>
                    <a:prstGeom prst="rect">
                      <a:avLst/>
                    </a:prstGeom>
                    <a:noFill/>
                    <a:ln>
                      <a:noFill/>
                    </a:ln>
                  </pic:spPr>
                </pic:pic>
              </a:graphicData>
            </a:graphic>
          </wp:inline>
        </w:drawing>
      </w:r>
    </w:p>
    <w:p w:rsidR="00E413F6" w:rsidRPr="00E413F6" w:rsidRDefault="00E413F6" w:rsidP="00E413F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t xml:space="preserve">El mercado laboral tuco es uno de los mejores del mundo gracias a los niveles de capacitación, habilidades, dedicación y motivación que ofrece. </w:t>
      </w:r>
    </w:p>
    <w:p w:rsidR="00B940B5" w:rsidRDefault="00E413F6"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lastRenderedPageBreak/>
        <w:drawing>
          <wp:inline distT="0" distB="0" distL="0" distR="0">
            <wp:extent cx="5397500" cy="29083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7500" cy="2908300"/>
                    </a:xfrm>
                    <a:prstGeom prst="rect">
                      <a:avLst/>
                    </a:prstGeom>
                    <a:noFill/>
                    <a:ln>
                      <a:noFill/>
                    </a:ln>
                  </pic:spPr>
                </pic:pic>
              </a:graphicData>
            </a:graphic>
          </wp:inline>
        </w:drawing>
      </w:r>
    </w:p>
    <w:p w:rsidR="00E413F6" w:rsidRPr="00E413F6" w:rsidRDefault="00E413F6" w:rsidP="00E3231C">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t xml:space="preserve">Turquía posee una mano de obra joven y dinámica y una cultura laboral centrada en la ética. En Turquía, el puesto de trabajo es una institución muy apreciada que permite a las personas utilizar sus habilidades y mejorar individualmente. La dedicación al trabajo de la mano de obra turca explica la alta productividad y los bajos niveles de absentismo del país, cuyo índice de horas trabajadas por año es de los mayores del mundo. </w:t>
      </w:r>
    </w:p>
    <w:p w:rsidR="00E413F6" w:rsidRPr="00E413F6" w:rsidRDefault="00E413F6" w:rsidP="00E413F6">
      <w:pPr>
        <w:spacing w:before="100" w:beforeAutospacing="1" w:after="100" w:afterAutospacing="1" w:line="240" w:lineRule="auto"/>
        <w:rPr>
          <w:rFonts w:ascii="Times New Roman" w:eastAsia="Times New Roman" w:hAnsi="Times New Roman" w:cs="Times New Roman"/>
          <w:b/>
          <w:color w:val="000000"/>
          <w:sz w:val="24"/>
          <w:szCs w:val="24"/>
          <w:lang w:eastAsia="es-ES"/>
        </w:rPr>
      </w:pPr>
      <w:r w:rsidRPr="00E413F6">
        <w:rPr>
          <w:rFonts w:ascii="Times New Roman" w:eastAsia="Times New Roman" w:hAnsi="Times New Roman" w:cs="Times New Roman"/>
          <w:color w:val="000000"/>
          <w:sz w:val="24"/>
          <w:szCs w:val="24"/>
          <w:lang w:eastAsia="es-ES"/>
        </w:rPr>
        <w:t> </w:t>
      </w:r>
      <w:r w:rsidRPr="00E413F6">
        <w:rPr>
          <w:rFonts w:ascii="Times New Roman" w:eastAsia="Times New Roman" w:hAnsi="Times New Roman" w:cs="Times New Roman"/>
          <w:b/>
          <w:color w:val="000000"/>
          <w:sz w:val="24"/>
          <w:szCs w:val="24"/>
          <w:lang w:eastAsia="es-ES"/>
        </w:rPr>
        <w:t>Formación</w:t>
      </w:r>
      <w:r w:rsidRPr="00E413F6">
        <w:rPr>
          <w:rFonts w:ascii="Times New Roman" w:eastAsia="Times New Roman" w:hAnsi="Times New Roman" w:cs="Times New Roman"/>
          <w:color w:val="000000"/>
          <w:sz w:val="24"/>
          <w:szCs w:val="24"/>
          <w:lang w:eastAsia="es-ES"/>
        </w:rPr>
        <w:t> </w:t>
      </w:r>
    </w:p>
    <w:p w:rsidR="00E413F6" w:rsidRPr="00E413F6" w:rsidRDefault="00E413F6" w:rsidP="00E413F6">
      <w:pPr>
        <w:numPr>
          <w:ilvl w:val="0"/>
          <w:numId w:val="2"/>
        </w:numPr>
        <w:spacing w:before="100" w:beforeAutospacing="1" w:after="100" w:afterAutospacing="1" w:line="240" w:lineRule="auto"/>
        <w:ind w:left="150"/>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t xml:space="preserve">Más de 3,8 millones de estudiantes cursan estudios superiores </w:t>
      </w:r>
    </w:p>
    <w:p w:rsidR="00E413F6" w:rsidRPr="00E413F6" w:rsidRDefault="00E413F6" w:rsidP="00E413F6">
      <w:pPr>
        <w:numPr>
          <w:ilvl w:val="0"/>
          <w:numId w:val="2"/>
        </w:numPr>
        <w:spacing w:before="100" w:beforeAutospacing="1" w:after="100" w:afterAutospacing="1" w:line="240" w:lineRule="auto"/>
        <w:ind w:left="150"/>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t xml:space="preserve">Aproximadamente 600.000 licenciados universitarios al año </w:t>
      </w:r>
    </w:p>
    <w:p w:rsidR="00E413F6" w:rsidRDefault="00E413F6" w:rsidP="00E413F6">
      <w:pPr>
        <w:numPr>
          <w:ilvl w:val="0"/>
          <w:numId w:val="2"/>
        </w:numPr>
        <w:spacing w:before="100" w:beforeAutospacing="1" w:after="100" w:afterAutospacing="1" w:line="240" w:lineRule="auto"/>
        <w:ind w:left="150"/>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t xml:space="preserve">Formación en ingeniería de primera categoría mundial </w:t>
      </w:r>
    </w:p>
    <w:p w:rsidR="00E413F6" w:rsidRPr="00E413F6" w:rsidRDefault="00E413F6" w:rsidP="00E413F6">
      <w:pPr>
        <w:spacing w:before="100" w:beforeAutospacing="1" w:after="100" w:afterAutospacing="1" w:line="240" w:lineRule="auto"/>
        <w:ind w:left="-210"/>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drawing>
          <wp:inline distT="0" distB="0" distL="0" distR="0" wp14:anchorId="1FB3E6B3" wp14:editId="53A62BD8">
            <wp:extent cx="5397500" cy="34544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7500" cy="3454400"/>
                    </a:xfrm>
                    <a:prstGeom prst="rect">
                      <a:avLst/>
                    </a:prstGeom>
                    <a:noFill/>
                    <a:ln>
                      <a:noFill/>
                    </a:ln>
                  </pic:spPr>
                </pic:pic>
              </a:graphicData>
            </a:graphic>
          </wp:inline>
        </w:drawing>
      </w:r>
    </w:p>
    <w:p w:rsidR="00E413F6" w:rsidRDefault="00E413F6"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sidRPr="00E413F6">
        <w:rPr>
          <w:rFonts w:ascii="Times New Roman" w:eastAsia="Times New Roman" w:hAnsi="Times New Roman" w:cs="Times New Roman"/>
          <w:color w:val="000000"/>
          <w:sz w:val="24"/>
          <w:szCs w:val="24"/>
          <w:lang w:eastAsia="es-ES"/>
        </w:rPr>
        <w:lastRenderedPageBreak/>
        <w:t> </w:t>
      </w:r>
      <w:r>
        <w:rPr>
          <w:rFonts w:ascii="Times New Roman" w:eastAsia="Times New Roman" w:hAnsi="Times New Roman" w:cs="Times New Roman"/>
          <w:noProof/>
          <w:color w:val="000000"/>
          <w:sz w:val="24"/>
          <w:szCs w:val="24"/>
          <w:lang w:eastAsia="es-ES"/>
        </w:rPr>
        <w:drawing>
          <wp:inline distT="0" distB="0" distL="0" distR="0">
            <wp:extent cx="5391150" cy="35306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3530600"/>
                    </a:xfrm>
                    <a:prstGeom prst="rect">
                      <a:avLst/>
                    </a:prstGeom>
                    <a:noFill/>
                    <a:ln>
                      <a:noFill/>
                    </a:ln>
                  </pic:spPr>
                </pic:pic>
              </a:graphicData>
            </a:graphic>
          </wp:inline>
        </w:drawing>
      </w:r>
    </w:p>
    <w:p w:rsidR="00E413F6" w:rsidRDefault="00E413F6" w:rsidP="00B940B5">
      <w:pPr>
        <w:spacing w:before="100" w:beforeAutospacing="1" w:after="100" w:afterAutospacing="1" w:line="240" w:lineRule="auto"/>
        <w:rPr>
          <w:rFonts w:ascii="Times New Roman" w:eastAsia="Times New Roman" w:hAnsi="Times New Roman" w:cs="Times New Roman"/>
          <w:color w:val="000000"/>
          <w:sz w:val="24"/>
          <w:szCs w:val="24"/>
          <w:lang w:eastAsia="es-ES"/>
        </w:rPr>
      </w:pPr>
      <w:r>
        <w:rPr>
          <w:rFonts w:ascii="Times New Roman" w:eastAsia="Times New Roman" w:hAnsi="Times New Roman" w:cs="Times New Roman"/>
          <w:noProof/>
          <w:color w:val="000000"/>
          <w:sz w:val="24"/>
          <w:szCs w:val="24"/>
          <w:lang w:eastAsia="es-ES"/>
        </w:rPr>
        <w:drawing>
          <wp:inline distT="0" distB="0" distL="0" distR="0">
            <wp:extent cx="5391150" cy="3873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3873500"/>
                    </a:xfrm>
                    <a:prstGeom prst="rect">
                      <a:avLst/>
                    </a:prstGeom>
                    <a:noFill/>
                    <a:ln>
                      <a:noFill/>
                    </a:ln>
                  </pic:spPr>
                </pic:pic>
              </a:graphicData>
            </a:graphic>
          </wp:inline>
        </w:drawing>
      </w:r>
    </w:p>
    <w:p w:rsidR="00E413F6" w:rsidRDefault="00E413F6" w:rsidP="00E413F6">
      <w:pPr>
        <w:spacing w:before="100" w:beforeAutospacing="1" w:after="100" w:afterAutospacing="1" w:line="240" w:lineRule="auto"/>
        <w:rPr>
          <w:rFonts w:ascii="Times New Roman" w:eastAsia="Times New Roman" w:hAnsi="Times New Roman" w:cs="Times New Roman"/>
          <w:color w:val="000000"/>
          <w:sz w:val="24"/>
          <w:szCs w:val="24"/>
          <w:lang w:val="en-US" w:eastAsia="es-ES"/>
        </w:rPr>
      </w:pPr>
      <w:r w:rsidRPr="00E413F6">
        <w:rPr>
          <w:rFonts w:ascii="Times New Roman" w:eastAsia="Times New Roman" w:hAnsi="Times New Roman" w:cs="Times New Roman"/>
          <w:color w:val="000000"/>
          <w:sz w:val="24"/>
          <w:szCs w:val="24"/>
          <w:lang w:val="en-US" w:eastAsia="es-ES"/>
        </w:rPr>
        <w:t xml:space="preserve">Fuente: Invest in Turkey </w:t>
      </w:r>
      <w:r>
        <w:rPr>
          <w:rFonts w:ascii="Times New Roman" w:eastAsia="Times New Roman" w:hAnsi="Times New Roman" w:cs="Times New Roman"/>
          <w:color w:val="000000"/>
          <w:sz w:val="24"/>
          <w:szCs w:val="24"/>
          <w:lang w:val="en-US" w:eastAsia="es-ES"/>
        </w:rPr>
        <w:t>-</w:t>
      </w:r>
      <w:r w:rsidRPr="00E413F6">
        <w:rPr>
          <w:rFonts w:ascii="Times New Roman" w:eastAsia="Times New Roman" w:hAnsi="Times New Roman" w:cs="Times New Roman"/>
          <w:color w:val="000000"/>
          <w:sz w:val="24"/>
          <w:szCs w:val="24"/>
          <w:lang w:val="en-US" w:eastAsia="es-ES"/>
        </w:rPr>
        <w:t xml:space="preserve"> The Republic of Turkey Prime </w:t>
      </w:r>
      <w:r>
        <w:rPr>
          <w:rFonts w:ascii="Times New Roman" w:eastAsia="Times New Roman" w:hAnsi="Times New Roman" w:cs="Times New Roman"/>
          <w:color w:val="000000"/>
          <w:sz w:val="24"/>
          <w:szCs w:val="24"/>
          <w:lang w:val="en-US" w:eastAsia="es-ES"/>
        </w:rPr>
        <w:t xml:space="preserve">Ministry - Investment Support and Promotion Agency </w:t>
      </w:r>
    </w:p>
    <w:p w:rsidR="00FE115D" w:rsidRPr="00E413F6" w:rsidRDefault="00FE115D" w:rsidP="00E413F6">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E413F6">
        <w:rPr>
          <w:rFonts w:ascii="Times New Roman" w:hAnsi="Times New Roman" w:cs="Times New Roman"/>
          <w:color w:val="000000"/>
          <w:sz w:val="24"/>
          <w:szCs w:val="24"/>
        </w:rPr>
        <w:t xml:space="preserve">Según un informe dado a conocer por el gobierno turco, a pesar de que la población mundial pasará de los 6.700 millones actuales a 8.270 millones de personas para el año </w:t>
      </w:r>
      <w:r w:rsidRPr="00E413F6">
        <w:rPr>
          <w:rFonts w:ascii="Times New Roman" w:hAnsi="Times New Roman" w:cs="Times New Roman"/>
          <w:color w:val="000000"/>
          <w:sz w:val="24"/>
          <w:szCs w:val="24"/>
        </w:rPr>
        <w:lastRenderedPageBreak/>
        <w:t>2025, Turquía seguirá ocupando el puesto 17º en el ranking mundial de población al alcanzar para esa fecha los 82´2 millones de habitantes.</w:t>
      </w:r>
    </w:p>
    <w:p w:rsidR="00FE115D" w:rsidRPr="00FE115D" w:rsidRDefault="00FE115D" w:rsidP="00FE115D">
      <w:pPr>
        <w:pStyle w:val="NormalWeb"/>
        <w:shd w:val="clear" w:color="auto" w:fill="FFFFFF"/>
        <w:jc w:val="both"/>
        <w:rPr>
          <w:color w:val="000000"/>
        </w:rPr>
      </w:pPr>
      <w:r w:rsidRPr="00FE115D">
        <w:rPr>
          <w:color w:val="000000"/>
        </w:rPr>
        <w:t>Las estimaciones actuales son que la población de Turquía crezca en unos 11 millones de personas al año de aquí al año 2025, lo que acabará desbancando a Alemania como el país más poblado del continente europeo. Para ese año, las previsiones hablan de que China, India, Estados Unidos, Indonesia, Brasil, Pakistán, Bangladesh y Nigeria seguirán siendo también los países con mayor población del planeta. En concreto, los estudios muestran que China e India habrán incrementado para 2025 su población en más de 423 millones de habitantes, y que concretamente India acabará superando en pobl</w:t>
      </w:r>
      <w:r>
        <w:rPr>
          <w:color w:val="000000"/>
        </w:rPr>
        <w:t>ación a China para el año 2050.</w:t>
      </w:r>
    </w:p>
    <w:p w:rsidR="00FE115D" w:rsidRDefault="00FE115D" w:rsidP="00FE115D">
      <w:pPr>
        <w:pStyle w:val="NormalWeb"/>
        <w:shd w:val="clear" w:color="auto" w:fill="FFFFFF"/>
        <w:jc w:val="both"/>
        <w:rPr>
          <w:color w:val="000000"/>
        </w:rPr>
      </w:pPr>
      <w:r w:rsidRPr="00FE115D">
        <w:rPr>
          <w:color w:val="000000"/>
        </w:rPr>
        <w:t>Por contra, la población en los países occidentales experimentará un notable descenso. Así, para 2025 la población de Alemania disminuirá en casi 2 millones de personas, y en 2´8 millones la de Italia. Japón también sufrirá un descenso en los próximos 16 años de 9 millones y medio de personas. Las cifras más drásticas son sin embargo, y con diferencia, las correspondientes a Rusia, que bajará su población en 12 millones pasando de los 140 millones de habitantes que tiene en la actualidad a unos 128 millones para el año 2025.</w:t>
      </w:r>
      <w:r w:rsidR="00E3231C">
        <w:rPr>
          <w:color w:val="000000"/>
        </w:rPr>
        <w:t xml:space="preserve"> </w:t>
      </w:r>
      <w:r>
        <w:rPr>
          <w:color w:val="000000"/>
        </w:rPr>
        <w:t>Fuente: hispanatolia.com (10/3/09)</w:t>
      </w:r>
    </w:p>
    <w:p w:rsidR="00FE115D" w:rsidRPr="00FE115D" w:rsidRDefault="00FE115D" w:rsidP="00FE115D">
      <w:pPr>
        <w:pStyle w:val="NormalWeb"/>
        <w:shd w:val="clear" w:color="auto" w:fill="FFFFFF"/>
        <w:jc w:val="both"/>
        <w:rPr>
          <w:color w:val="000000"/>
        </w:rPr>
      </w:pPr>
      <w:r w:rsidRPr="00FE115D">
        <w:rPr>
          <w:color w:val="000000"/>
        </w:rPr>
        <w:t>El país euroasiático será a mediados de siglo el 19º país con más habitantes del mundo y el m</w:t>
      </w:r>
      <w:r w:rsidR="005D3D37">
        <w:rPr>
          <w:color w:val="000000"/>
        </w:rPr>
        <w:t xml:space="preserve">ás poblado de la Unión Europea. </w:t>
      </w:r>
      <w:r w:rsidRPr="00FE115D">
        <w:rPr>
          <w:color w:val="000000"/>
        </w:rPr>
        <w:t>La población de Turquía alcanzará los 94,6 millones de habitantes en el año 2050, de acuerdo a las últimas estimaciones de crecimiento demográfico proyectadas por el Instituto Estadístico Turco (TÜİK), según informó la agencia de noticias turca Anatolia.</w:t>
      </w:r>
    </w:p>
    <w:p w:rsidR="00FE115D" w:rsidRPr="00FE115D" w:rsidRDefault="00FE115D" w:rsidP="00FE115D">
      <w:pPr>
        <w:pStyle w:val="NormalWeb"/>
        <w:shd w:val="clear" w:color="auto" w:fill="FFFFFF"/>
        <w:jc w:val="both"/>
        <w:rPr>
          <w:color w:val="000000"/>
        </w:rPr>
      </w:pPr>
      <w:r w:rsidRPr="00FE115D">
        <w:rPr>
          <w:color w:val="000000"/>
        </w:rPr>
        <w:t>Según el estudio, este número de habitantes situará al país euroasiático a mediados del siglo XXI en el puesto 19 entre los países más poblados del mundo. El crecimiento demográfico de Turquía alcanzará hasta entonces la mitad de la media mundial, con una tasa del 0,2% frente a una media de crecimiento del 0,4% a nivel de todo el planeta.</w:t>
      </w:r>
    </w:p>
    <w:p w:rsidR="00FE115D" w:rsidRPr="00FE115D" w:rsidRDefault="00FE115D" w:rsidP="00FE115D">
      <w:pPr>
        <w:pStyle w:val="NormalWeb"/>
        <w:shd w:val="clear" w:color="auto" w:fill="FFFFFF"/>
        <w:jc w:val="both"/>
        <w:rPr>
          <w:color w:val="000000"/>
        </w:rPr>
      </w:pPr>
      <w:r w:rsidRPr="00FE115D">
        <w:rPr>
          <w:color w:val="000000"/>
        </w:rPr>
        <w:t>Turquía es ya de hecho uno de los países más poblados de Europa, sólo superada entre sus vecinos de la UE por Alemania, un país que sin embargo posee una de las tasas de fecundidad más bajas del mundo y que para 2050 habrá reducido su población al nivel actual de Turquía.</w:t>
      </w:r>
    </w:p>
    <w:p w:rsidR="00FE115D" w:rsidRPr="00FE115D" w:rsidRDefault="00FE115D" w:rsidP="00FE115D">
      <w:pPr>
        <w:pStyle w:val="NormalWeb"/>
        <w:shd w:val="clear" w:color="auto" w:fill="FFFFFF"/>
        <w:jc w:val="both"/>
        <w:rPr>
          <w:color w:val="000000"/>
        </w:rPr>
      </w:pPr>
      <w:r w:rsidRPr="00FE115D">
        <w:rPr>
          <w:color w:val="000000"/>
        </w:rPr>
        <w:t>Según los últimos datos, Turquía alcanzó a finales de 2011 una población cercana a los 75 millones de habitantes (74.724.269 personas), un incremento del 1,35% con respecto a 2010, equivalente a más de un millón de personas. La metrópolis de Estambul, con 13.624.240 habitantes censados (el 18% de la población de Turquía), sigue siendo no sólo la mayor ciudad del país y la tercera más poblada de Europa, sino la provincia más urbanizada, con el 99% de sus habitantes viviendo en núcleos urbanos.</w:t>
      </w:r>
    </w:p>
    <w:p w:rsidR="00FE115D" w:rsidRDefault="00FE115D" w:rsidP="00FE115D">
      <w:pPr>
        <w:pStyle w:val="NormalWeb"/>
        <w:shd w:val="clear" w:color="auto" w:fill="FFFFFF"/>
        <w:jc w:val="both"/>
        <w:rPr>
          <w:color w:val="000000"/>
        </w:rPr>
      </w:pPr>
      <w:r w:rsidRPr="00FE115D">
        <w:rPr>
          <w:color w:val="000000"/>
        </w:rPr>
        <w:t>Por edades, Turquía mantiene una pirámide poblacional predominantemente joven, con el 67,4 de la población con edades comprendidas entre los 15 y los 64 años, un 25,27% por debajo de los 14, y sólo el 7,3% de sus habitantes mayores de 60 años.</w:t>
      </w:r>
      <w:r w:rsidR="00E3231C">
        <w:rPr>
          <w:color w:val="000000"/>
        </w:rPr>
        <w:t xml:space="preserve"> </w:t>
      </w:r>
      <w:r>
        <w:rPr>
          <w:color w:val="000000"/>
        </w:rPr>
        <w:t>Fuente: hispanatolia.com (11/7/12)</w:t>
      </w:r>
    </w:p>
    <w:p w:rsidR="00E3231C" w:rsidRDefault="005D3D37" w:rsidP="00E3231C">
      <w:pPr>
        <w:pStyle w:val="NormalWeb"/>
        <w:shd w:val="clear" w:color="auto" w:fill="FFFFFF"/>
        <w:jc w:val="both"/>
        <w:rPr>
          <w:color w:val="000000"/>
        </w:rPr>
      </w:pPr>
      <w:r>
        <w:rPr>
          <w:color w:val="000000"/>
        </w:rPr>
        <w:t>Veamos ahora, lo que opinan los “grandes bonetes</w:t>
      </w:r>
      <w:r w:rsidR="00E3231C">
        <w:rPr>
          <w:color w:val="000000"/>
        </w:rPr>
        <w:t>” sobre Turquía</w:t>
      </w:r>
      <w:r>
        <w:rPr>
          <w:color w:val="000000"/>
        </w:rPr>
        <w:t xml:space="preserve"> y sus circunstancias.</w:t>
      </w:r>
    </w:p>
    <w:p w:rsidR="003969F7" w:rsidRPr="00E3231C" w:rsidRDefault="003969F7" w:rsidP="00E3231C">
      <w:pPr>
        <w:pStyle w:val="NormalWeb"/>
        <w:shd w:val="clear" w:color="auto" w:fill="FFFFFF"/>
        <w:jc w:val="both"/>
        <w:rPr>
          <w:color w:val="000000"/>
        </w:rPr>
      </w:pPr>
      <w:r>
        <w:lastRenderedPageBreak/>
        <w:t xml:space="preserve">- </w:t>
      </w:r>
      <w:r>
        <w:rPr>
          <w:b/>
        </w:rPr>
        <w:t>Turquía</w:t>
      </w:r>
      <w:r w:rsidRPr="000F49A3">
        <w:rPr>
          <w:b/>
        </w:rPr>
        <w:t xml:space="preserve">: qué dicen </w:t>
      </w:r>
      <w:r>
        <w:rPr>
          <w:b/>
        </w:rPr>
        <w:t>“</w:t>
      </w:r>
      <w:r w:rsidRPr="000F49A3">
        <w:rPr>
          <w:b/>
        </w:rPr>
        <w:t>los que saben</w:t>
      </w:r>
      <w:r>
        <w:rPr>
          <w:b/>
        </w:rPr>
        <w:t>”</w:t>
      </w:r>
      <w:r>
        <w:t xml:space="preserve"> </w:t>
      </w:r>
      <w:r>
        <w:rPr>
          <w:b/>
          <w:iCs/>
        </w:rPr>
        <w:t>(</w:t>
      </w:r>
      <w:r w:rsidRPr="00AE1351">
        <w:rPr>
          <w:b/>
          <w:iCs/>
        </w:rPr>
        <w:t>hemeroteca reciente</w:t>
      </w:r>
      <w:r>
        <w:rPr>
          <w:b/>
          <w:iCs/>
        </w:rPr>
        <w:t>, 2013-2014</w:t>
      </w:r>
      <w:r w:rsidRPr="00AE1351">
        <w:rPr>
          <w:b/>
          <w:iCs/>
        </w:rPr>
        <w:t>)</w:t>
      </w:r>
    </w:p>
    <w:p w:rsidR="003969F7" w:rsidRDefault="003969F7" w:rsidP="003969F7">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1">
        <w:rPr>
          <w:rFonts w:ascii="Times New Roman" w:hAnsi="Times New Roman" w:cs="Times New Roman"/>
          <w:sz w:val="24"/>
          <w:szCs w:val="24"/>
          <w:u w:val="single"/>
        </w:rPr>
        <w:t>El porqué del éxito de Turquía</w:t>
      </w:r>
      <w:r>
        <w:rPr>
          <w:rFonts w:ascii="Times New Roman" w:hAnsi="Times New Roman" w:cs="Times New Roman"/>
          <w:sz w:val="24"/>
          <w:szCs w:val="24"/>
        </w:rPr>
        <w:t xml:space="preserve"> (Project Syndicate - </w:t>
      </w:r>
      <w:r w:rsidRPr="00EB7E01">
        <w:rPr>
          <w:rFonts w:ascii="Times New Roman" w:hAnsi="Times New Roman" w:cs="Times New Roman"/>
          <w:b/>
          <w:sz w:val="24"/>
          <w:szCs w:val="24"/>
        </w:rPr>
        <w:t>26/5/13</w:t>
      </w:r>
      <w:r>
        <w:rPr>
          <w:rFonts w:ascii="Times New Roman" w:hAnsi="Times New Roman" w:cs="Times New Roman"/>
          <w:sz w:val="24"/>
          <w:szCs w:val="24"/>
        </w:rPr>
        <w:t>)</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14EAE">
        <w:rPr>
          <w:rFonts w:ascii="Times New Roman" w:hAnsi="Times New Roman" w:cs="Times New Roman"/>
          <w:sz w:val="24"/>
          <w:szCs w:val="24"/>
        </w:rPr>
        <w:t>Jeffrey D. Sachs)</w:t>
      </w:r>
    </w:p>
    <w:p w:rsidR="003969F7" w:rsidRPr="00EB7E01" w:rsidRDefault="00C51709" w:rsidP="003969F7">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Nueva York.-</w:t>
      </w:r>
      <w:r w:rsidR="003969F7" w:rsidRPr="00EB7E01">
        <w:rPr>
          <w:rFonts w:ascii="Times New Roman" w:hAnsi="Times New Roman" w:cs="Times New Roman"/>
          <w:sz w:val="24"/>
          <w:szCs w:val="24"/>
        </w:rPr>
        <w:t xml:space="preserve"> </w:t>
      </w:r>
      <w:r w:rsidR="003969F7" w:rsidRPr="00E14EAE">
        <w:rPr>
          <w:rFonts w:ascii="Times New Roman" w:hAnsi="Times New Roman" w:cs="Times New Roman"/>
          <w:color w:val="FF0000"/>
          <w:sz w:val="24"/>
          <w:szCs w:val="24"/>
          <w:u w:val="single"/>
        </w:rPr>
        <w:t>Una visita reciente a Turquía me hizo pensar otra vez en sus enormes éxitos económicos de la última década. El país viene manteniendo un veloz crecimiento económico, la desigualdad está en disminución y hay un auge innovador.</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EB7E01">
        <w:rPr>
          <w:rFonts w:ascii="Times New Roman" w:hAnsi="Times New Roman" w:cs="Times New Roman"/>
          <w:sz w:val="24"/>
          <w:szCs w:val="24"/>
        </w:rPr>
        <w:t>Los logros de Turquía son aún más notables cuando se piensa en su situación geográfica. Al oeste están Chipre y Grecia, países ambos en el epicentro de la crisis de la eurozona. Al sudeste se encuentra Siria, un país desgarrado por una guerra que ya expulsó a casi 400.000 refugiados a Turquía. En el este están Irak e Irán. Y al noreste, Armenia y Georgia. Sería difícil hallar en todo el mund</w:t>
      </w:r>
      <w:r>
        <w:rPr>
          <w:rFonts w:ascii="Times New Roman" w:hAnsi="Times New Roman" w:cs="Times New Roman"/>
          <w:sz w:val="24"/>
          <w:szCs w:val="24"/>
        </w:rPr>
        <w:t>o un vecindario más complicado.</w:t>
      </w:r>
      <w:r w:rsidRPr="00EB7E01">
        <w:rPr>
          <w:rFonts w:ascii="Times New Roman" w:hAnsi="Times New Roman" w:cs="Times New Roman"/>
          <w:sz w:val="24"/>
          <w:szCs w:val="24"/>
        </w:rPr>
        <w:t xml:space="preserve"> </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EB7E01">
        <w:rPr>
          <w:rFonts w:ascii="Times New Roman" w:hAnsi="Times New Roman" w:cs="Times New Roman"/>
          <w:sz w:val="24"/>
          <w:szCs w:val="24"/>
        </w:rPr>
        <w:t xml:space="preserve">Sin embargo, </w:t>
      </w:r>
      <w:r w:rsidRPr="002242CE">
        <w:rPr>
          <w:rFonts w:ascii="Times New Roman" w:hAnsi="Times New Roman" w:cs="Times New Roman"/>
          <w:sz w:val="24"/>
          <w:szCs w:val="24"/>
          <w:u w:val="single"/>
        </w:rPr>
        <w:t>Turquía logró hacer grandes progresos en medio de esta región convulsionada</w:t>
      </w:r>
      <w:r w:rsidRPr="00EB7E01">
        <w:rPr>
          <w:rFonts w:ascii="Times New Roman" w:hAnsi="Times New Roman" w:cs="Times New Roman"/>
          <w:sz w:val="24"/>
          <w:szCs w:val="24"/>
        </w:rPr>
        <w:t xml:space="preserve">. </w:t>
      </w:r>
      <w:r w:rsidRPr="002242CE">
        <w:rPr>
          <w:rFonts w:ascii="Times New Roman" w:hAnsi="Times New Roman" w:cs="Times New Roman"/>
          <w:sz w:val="24"/>
          <w:szCs w:val="24"/>
          <w:u w:val="single"/>
        </w:rPr>
        <w:t>Tras la marcada caída de 1999-2001, la economía ha sostenido una media de crecimiento del 5% anual desde 2002 a 2012</w:t>
      </w:r>
      <w:r w:rsidRPr="00EB7E01">
        <w:rPr>
          <w:rFonts w:ascii="Times New Roman" w:hAnsi="Times New Roman" w:cs="Times New Roman"/>
          <w:sz w:val="24"/>
          <w:szCs w:val="24"/>
        </w:rPr>
        <w:t xml:space="preserve">. El país se mantuvo en paz a pesar de las guerras regionales. </w:t>
      </w:r>
      <w:r w:rsidRPr="002242CE">
        <w:rPr>
          <w:rFonts w:ascii="Times New Roman" w:hAnsi="Times New Roman" w:cs="Times New Roman"/>
          <w:sz w:val="24"/>
          <w:szCs w:val="24"/>
          <w:u w:val="single"/>
        </w:rPr>
        <w:t>Aprendió las lecciones del colapso bancario de 2000-2001 y logró que sus bancos se sustrajeran al ciclo de altibajos de la década anterior. La desigualdad está en disminución. Y el partido gobernante ganó tres elecciones generales consecutivas, logrando en cada una de ellas una proporción mayor del voto popular</w:t>
      </w:r>
      <w:r>
        <w:rPr>
          <w:rFonts w:ascii="Times New Roman" w:hAnsi="Times New Roman" w:cs="Times New Roman"/>
          <w:sz w:val="24"/>
          <w:szCs w:val="24"/>
        </w:rPr>
        <w:t>.</w:t>
      </w:r>
      <w:r w:rsidRPr="00EB7E01">
        <w:rPr>
          <w:rFonts w:ascii="Times New Roman" w:hAnsi="Times New Roman" w:cs="Times New Roman"/>
          <w:sz w:val="24"/>
          <w:szCs w:val="24"/>
        </w:rPr>
        <w:t xml:space="preserve"> </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El auge de Turquía no tiene nada de llamativo. No se basa en burbujas o hallazgos de recursos, sino en fundamentos económicos</w:t>
      </w:r>
      <w:r w:rsidRPr="00EB7E01">
        <w:rPr>
          <w:rFonts w:ascii="Times New Roman" w:hAnsi="Times New Roman" w:cs="Times New Roman"/>
          <w:sz w:val="24"/>
          <w:szCs w:val="24"/>
        </w:rPr>
        <w:t xml:space="preserve">. De hecho, Turquía no tiene reservas de gas y petróleo como las de sus vecinos, pero esta carencia la compensa con la </w:t>
      </w:r>
      <w:r w:rsidRPr="002242CE">
        <w:rPr>
          <w:rFonts w:ascii="Times New Roman" w:hAnsi="Times New Roman" w:cs="Times New Roman"/>
          <w:sz w:val="24"/>
          <w:szCs w:val="24"/>
          <w:u w:val="single"/>
        </w:rPr>
        <w:t>competitividad de su industria y sus servicios</w:t>
      </w:r>
      <w:r w:rsidRPr="00EB7E01">
        <w:rPr>
          <w:rFonts w:ascii="Times New Roman" w:hAnsi="Times New Roman" w:cs="Times New Roman"/>
          <w:sz w:val="24"/>
          <w:szCs w:val="24"/>
        </w:rPr>
        <w:t xml:space="preserve">. </w:t>
      </w:r>
      <w:r w:rsidRPr="002242CE">
        <w:rPr>
          <w:rFonts w:ascii="Times New Roman" w:hAnsi="Times New Roman" w:cs="Times New Roman"/>
          <w:sz w:val="24"/>
          <w:szCs w:val="24"/>
          <w:u w:val="single"/>
        </w:rPr>
        <w:t>El turismo por sí solo atrajo a más de 36 millones de visitantes en 2012, lo que convierte a Turquía en uno de los principales destinos turísticos del mundo.</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 xml:space="preserve">Para ver la fortaleza de estas bases, basta una breve estadía en Ankara. El aeropuerto, las autopistas y otras infraestructuras son de primer nivel; una red ferroviaria interurbana de alta velocidad conecta a Ankara con otras partes del país. Gran parte de la ingeniería avanzada es desarrollo local. Las empresas de construcción turcas son competitivas internacionalmente y ganan cada vez más licitaciones en Oriente Próximo y África. </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También las universidades turcas están en ascenso</w:t>
      </w:r>
      <w:r w:rsidRPr="00EB7E01">
        <w:rPr>
          <w:rFonts w:ascii="Times New Roman" w:hAnsi="Times New Roman" w:cs="Times New Roman"/>
          <w:sz w:val="24"/>
          <w:szCs w:val="24"/>
        </w:rPr>
        <w:t xml:space="preserve">. Ankara se ha convertido en un centro de educación superior que atrae a estudiantes de África y Asia. </w:t>
      </w:r>
      <w:r w:rsidRPr="002242CE">
        <w:rPr>
          <w:rFonts w:ascii="Times New Roman" w:hAnsi="Times New Roman" w:cs="Times New Roman"/>
          <w:sz w:val="24"/>
          <w:szCs w:val="24"/>
          <w:u w:val="single"/>
        </w:rPr>
        <w:t>Muchos programas de primer nivel se dictan en inglés, lo que garantiza que Turquía seguirá convocando a cada vez más estudiantes de todo el mundo. Y desde sus universidades surgen cada vez más empresas de tecnología avanzada en campos como la aviación, la informática y la electrónica avanzada, entre otros.</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Hay que destacar también las cuantiosas inversiones que Turquía comenzó a hacer en tecnologías sostenibles</w:t>
      </w:r>
      <w:r w:rsidRPr="00EB7E01">
        <w:rPr>
          <w:rFonts w:ascii="Times New Roman" w:hAnsi="Times New Roman" w:cs="Times New Roman"/>
          <w:sz w:val="24"/>
          <w:szCs w:val="24"/>
        </w:rPr>
        <w:t xml:space="preserve">. El país posee abundantes energías renovables (eólica y geotérmica, entre otras) y </w:t>
      </w:r>
      <w:r w:rsidRPr="002242CE">
        <w:rPr>
          <w:rFonts w:ascii="Times New Roman" w:hAnsi="Times New Roman" w:cs="Times New Roman"/>
          <w:sz w:val="24"/>
          <w:szCs w:val="24"/>
          <w:u w:val="single"/>
        </w:rPr>
        <w:t xml:space="preserve">es muy probable que se convierta en un exportador global de innovaciones de avanzada en tecnología ecológica. </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EB7E01">
        <w:rPr>
          <w:rFonts w:ascii="Times New Roman" w:hAnsi="Times New Roman" w:cs="Times New Roman"/>
          <w:sz w:val="24"/>
          <w:szCs w:val="24"/>
        </w:rPr>
        <w:lastRenderedPageBreak/>
        <w:t xml:space="preserve">Las plantas de tratamiento de residuos de un país no suelen ser atractivos turísticos, pero el novedoso sistema integrado de gestión de residuos urbanos de Ankara se ganó la atención de todo el mundo, y con razón. Hasta hace pocos años, la ciudad volcaba sus residuos en un relleno maloliente e insalubre, que ahora, mediante el empleo de tecnología de avanzada, se convirtió en un área verde. </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EB7E01">
        <w:rPr>
          <w:rFonts w:ascii="Times New Roman" w:hAnsi="Times New Roman" w:cs="Times New Roman"/>
          <w:sz w:val="24"/>
          <w:szCs w:val="24"/>
        </w:rPr>
        <w:t>Cada día, la empresa de gestión de residuos privada ITC recibe miles de toneladas de residuos municipales sólidos y los clasifica en dos grupos: materiales reciclables (plástico, metales) y desechos orgánicos. Estos últimos se procesan en una planta de fermentación que produce compost y metano, el cual se usa para generar electricidad en una planta de 25 megavatios. La electricidad se inyecta en la red de energía de la ciudad y el calor de las chimeneas se transfiere a invernaderos que producen tomates, fre</w:t>
      </w:r>
      <w:r>
        <w:rPr>
          <w:rFonts w:ascii="Times New Roman" w:hAnsi="Times New Roman" w:cs="Times New Roman"/>
          <w:sz w:val="24"/>
          <w:szCs w:val="24"/>
        </w:rPr>
        <w:t>sas y orquídeas.</w:t>
      </w:r>
      <w:r w:rsidRPr="00EB7E01">
        <w:rPr>
          <w:rFonts w:ascii="Times New Roman" w:hAnsi="Times New Roman" w:cs="Times New Roman"/>
          <w:sz w:val="24"/>
          <w:szCs w:val="24"/>
        </w:rPr>
        <w:t xml:space="preserve"> </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2242CE">
        <w:rPr>
          <w:rFonts w:ascii="Times New Roman" w:hAnsi="Times New Roman" w:cs="Times New Roman"/>
          <w:sz w:val="24"/>
          <w:szCs w:val="24"/>
          <w:u w:val="single"/>
        </w:rPr>
        <w:t>La diversificada e innovadora base industrial, constructora y de servicios de Turquía le rinde grandes beneficios, en un mundo en el que las oportunidades comerciales están trasladándose de los Estados Unidos y Europa Occidental a África, Europa del Este, Oriente Próximo y Asia</w:t>
      </w:r>
      <w:r w:rsidRPr="00EB7E01">
        <w:rPr>
          <w:rFonts w:ascii="Times New Roman" w:hAnsi="Times New Roman" w:cs="Times New Roman"/>
          <w:sz w:val="24"/>
          <w:szCs w:val="24"/>
        </w:rPr>
        <w:t xml:space="preserve">. </w:t>
      </w:r>
      <w:r w:rsidRPr="002242CE">
        <w:rPr>
          <w:rFonts w:ascii="Times New Roman" w:hAnsi="Times New Roman" w:cs="Times New Roman"/>
          <w:sz w:val="24"/>
          <w:szCs w:val="24"/>
          <w:u w:val="single"/>
        </w:rPr>
        <w:t>Turquía supo aprovechar bien estas nuevas oportunidades y cada vez exporta más a las economías emergentes del sur y del este, en vez de a los mercados de altos ingresos de Occidente</w:t>
      </w:r>
      <w:r w:rsidRPr="00EB7E01">
        <w:rPr>
          <w:rFonts w:ascii="Times New Roman" w:hAnsi="Times New Roman" w:cs="Times New Roman"/>
          <w:sz w:val="24"/>
          <w:szCs w:val="24"/>
        </w:rPr>
        <w:t>. Es una tendencia que se mantendrá, conforme África y Asia se convertirán en importantes mercados para las empresas turcas de construcción, informática e inno</w:t>
      </w:r>
      <w:r>
        <w:rPr>
          <w:rFonts w:ascii="Times New Roman" w:hAnsi="Times New Roman" w:cs="Times New Roman"/>
          <w:sz w:val="24"/>
          <w:szCs w:val="24"/>
        </w:rPr>
        <w:t>vación en tecnología ecológica.</w:t>
      </w:r>
      <w:r w:rsidRPr="00EB7E01">
        <w:rPr>
          <w:rFonts w:ascii="Times New Roman" w:hAnsi="Times New Roman" w:cs="Times New Roman"/>
          <w:sz w:val="24"/>
          <w:szCs w:val="24"/>
        </w:rPr>
        <w:t xml:space="preserve"> </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La pregunta es ¿cómo lo hizo? En primer lugar, el primer ministro Tayyip Erdoğan y su equipo económico (dirigido por el vice primer ministro, Ali Babacan), decidieron atenerse a lo básico y adoptar una mirada de largo plazo.</w:t>
      </w:r>
      <w:r w:rsidRPr="00EB7E01">
        <w:rPr>
          <w:rFonts w:ascii="Times New Roman" w:hAnsi="Times New Roman" w:cs="Times New Roman"/>
          <w:sz w:val="24"/>
          <w:szCs w:val="24"/>
        </w:rPr>
        <w:t xml:space="preserve"> Erdoğan asumió el poder en 2003; tras años de crisis bancarias e inestabilidad en el corto plazo, el país había tenido que pedir la ayuda del Fondo Monetario Internacional para un rescate de emergencia. </w:t>
      </w:r>
      <w:r w:rsidRPr="002242CE">
        <w:rPr>
          <w:rFonts w:ascii="Times New Roman" w:hAnsi="Times New Roman" w:cs="Times New Roman"/>
          <w:sz w:val="24"/>
          <w:szCs w:val="24"/>
          <w:u w:val="single"/>
        </w:rPr>
        <w:t>Erdoğan y Babacan aplicaron una estrategia gradual consistente en reconstruir el sector bancario, controlar el presupuesto y mantener un programa continuo de grandes inversiones en las áreas que cuentan: infraestructuras, educación, salud y tecnología.</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EB7E01">
        <w:rPr>
          <w:rFonts w:ascii="Times New Roman" w:hAnsi="Times New Roman" w:cs="Times New Roman"/>
          <w:sz w:val="24"/>
          <w:szCs w:val="24"/>
        </w:rPr>
        <w:t>Además de eso, también ayudó la habilidad diplomática. En una región de extremismos, Turquía se mantuvo fiel a una postura moderada. A las principales potencias de su vecindario las trató siempre con actitud abierta y diplomacia equilibrada (en la medida de lo posible), lo que la ayudó no solamente a mantener el equilibrio interno, sino también a ganar mercados y conservar aliados, sin el lastre y los riesgos de una geopolítica divi</w:t>
      </w:r>
      <w:r>
        <w:rPr>
          <w:rFonts w:ascii="Times New Roman" w:hAnsi="Times New Roman" w:cs="Times New Roman"/>
          <w:sz w:val="24"/>
          <w:szCs w:val="24"/>
        </w:rPr>
        <w:t>soria.</w:t>
      </w:r>
      <w:r w:rsidRPr="00EB7E01">
        <w:rPr>
          <w:rFonts w:ascii="Times New Roman" w:hAnsi="Times New Roman" w:cs="Times New Roman"/>
          <w:sz w:val="24"/>
          <w:szCs w:val="24"/>
        </w:rPr>
        <w:t xml:space="preserve"> </w:t>
      </w:r>
    </w:p>
    <w:p w:rsidR="003969F7" w:rsidRPr="002242CE" w:rsidRDefault="003969F7" w:rsidP="003969F7">
      <w:pPr>
        <w:spacing w:before="100" w:beforeAutospacing="1" w:after="100" w:afterAutospacing="1" w:line="240" w:lineRule="auto"/>
        <w:jc w:val="both"/>
        <w:rPr>
          <w:rFonts w:ascii="Times New Roman" w:hAnsi="Times New Roman" w:cs="Times New Roman"/>
          <w:sz w:val="24"/>
          <w:szCs w:val="24"/>
          <w:u w:val="single"/>
        </w:rPr>
      </w:pPr>
      <w:r w:rsidRPr="002242CE">
        <w:rPr>
          <w:rFonts w:ascii="Times New Roman" w:hAnsi="Times New Roman" w:cs="Times New Roman"/>
          <w:sz w:val="24"/>
          <w:szCs w:val="24"/>
          <w:u w:val="single"/>
        </w:rPr>
        <w:t>Por supuesto que no está garantizado que Turquía pueda mantenerse para siempre en esta senda de crecimiento acelerado</w:t>
      </w:r>
      <w:r w:rsidRPr="00EB7E01">
        <w:rPr>
          <w:rFonts w:ascii="Times New Roman" w:hAnsi="Times New Roman" w:cs="Times New Roman"/>
          <w:sz w:val="24"/>
          <w:szCs w:val="24"/>
        </w:rPr>
        <w:t xml:space="preserve">. Cualquier combinación de crisis (la eurozona, Siria, Irak, Irán o el precio internacional del petróleo) podría provocarle inestabilidad. </w:t>
      </w:r>
      <w:r w:rsidRPr="002242CE">
        <w:rPr>
          <w:rFonts w:ascii="Times New Roman" w:hAnsi="Times New Roman" w:cs="Times New Roman"/>
          <w:sz w:val="24"/>
          <w:szCs w:val="24"/>
          <w:u w:val="single"/>
        </w:rPr>
        <w:t xml:space="preserve">Si hubiera otra crisis financiera global, el ingreso de capitales a corto plazo podría verse afectado. Y un vecindario peligroso supone siempre riesgos ineludibles; pero a lo largo de la última década, Turquía se ha mostrado notablemente capaz de superarlos. </w:t>
      </w:r>
    </w:p>
    <w:p w:rsidR="003969F7" w:rsidRPr="00EB7E01" w:rsidRDefault="003969F7" w:rsidP="003969F7">
      <w:pPr>
        <w:spacing w:before="100" w:beforeAutospacing="1" w:after="100" w:afterAutospacing="1" w:line="240" w:lineRule="auto"/>
        <w:jc w:val="both"/>
        <w:rPr>
          <w:rFonts w:ascii="Times New Roman" w:hAnsi="Times New Roman" w:cs="Times New Roman"/>
          <w:sz w:val="24"/>
          <w:szCs w:val="24"/>
        </w:rPr>
      </w:pPr>
      <w:r w:rsidRPr="002242CE">
        <w:rPr>
          <w:rFonts w:ascii="Times New Roman" w:hAnsi="Times New Roman" w:cs="Times New Roman"/>
          <w:sz w:val="24"/>
          <w:szCs w:val="24"/>
          <w:u w:val="single"/>
        </w:rPr>
        <w:t>Además, persiste todavía un desafío prioritario: elevar la calidad educativa y los resultados de los estudiantes, especialmente las niñas y las mujeres</w:t>
      </w:r>
      <w:r w:rsidRPr="00EB7E01">
        <w:rPr>
          <w:rFonts w:ascii="Times New Roman" w:hAnsi="Times New Roman" w:cs="Times New Roman"/>
          <w:sz w:val="24"/>
          <w:szCs w:val="24"/>
        </w:rPr>
        <w:t xml:space="preserve">. Afortunadamente, el gobierno reconoció claramente este desafío y lo está encarando a través de reformas </w:t>
      </w:r>
      <w:r w:rsidRPr="00EB7E01">
        <w:rPr>
          <w:rFonts w:ascii="Times New Roman" w:hAnsi="Times New Roman" w:cs="Times New Roman"/>
          <w:sz w:val="24"/>
          <w:szCs w:val="24"/>
        </w:rPr>
        <w:lastRenderedPageBreak/>
        <w:t>educativas, mayor inversión e introducción de las nuevas tecnología</w:t>
      </w:r>
      <w:r>
        <w:rPr>
          <w:rFonts w:ascii="Times New Roman" w:hAnsi="Times New Roman" w:cs="Times New Roman"/>
          <w:sz w:val="24"/>
          <w:szCs w:val="24"/>
        </w:rPr>
        <w:t>s de la información en el aula.</w:t>
      </w:r>
    </w:p>
    <w:p w:rsidR="003969F7" w:rsidRPr="002242CE" w:rsidRDefault="003969F7" w:rsidP="003969F7">
      <w:pPr>
        <w:spacing w:before="100" w:beforeAutospacing="1" w:after="100" w:afterAutospacing="1" w:line="240" w:lineRule="auto"/>
        <w:jc w:val="both"/>
        <w:rPr>
          <w:rFonts w:ascii="Times New Roman" w:hAnsi="Times New Roman" w:cs="Times New Roman"/>
          <w:color w:val="FF0000"/>
          <w:sz w:val="24"/>
          <w:szCs w:val="24"/>
          <w:u w:val="single"/>
        </w:rPr>
      </w:pPr>
      <w:r w:rsidRPr="002242CE">
        <w:rPr>
          <w:rFonts w:ascii="Times New Roman" w:hAnsi="Times New Roman" w:cs="Times New Roman"/>
          <w:color w:val="FF0000"/>
          <w:sz w:val="24"/>
          <w:szCs w:val="24"/>
          <w:u w:val="single"/>
        </w:rPr>
        <w:t>Los éxitos de Turquía hunden sus raíces en la capacidad de sus gobernantes y en las habilidades de su gente, reflejo de décadas de inversión y de siglos de historia que se remonta a los tiempos del Imperio Otomano. No se puede pedir que otros países copien esos logros, pero sí pueden aprender una lección que muy a menudo se olvida en este mundo de “estímulos”, burbujas y cortoplacismo: para lograr crecimiento a largo plazo se necesitan prudencia monetaria y fiscal, voluntad política de regular a los bancos y la colaboración decidida del sector público y el privado para invertir en infraestructuras, capacitación y tecnologías de avanzada.</w:t>
      </w:r>
    </w:p>
    <w:p w:rsidR="003969F7" w:rsidRPr="00D60B7B" w:rsidRDefault="003969F7" w:rsidP="003969F7">
      <w:pPr>
        <w:spacing w:before="100" w:beforeAutospacing="1" w:after="100" w:afterAutospacing="1"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EB7E01">
        <w:rPr>
          <w:rFonts w:ascii="Times New Roman" w:hAnsi="Times New Roman" w:cs="Times New Roman"/>
          <w:sz w:val="24"/>
          <w:szCs w:val="24"/>
          <w:lang w:val="en-US"/>
        </w:rPr>
        <w:t>Jeffrey D. Sachs, Professor of Sustainable Development, Professor of Health Policy and Management, and Director of the Earth Institute at Columbia University, is also Special Adviser to the United</w:t>
      </w:r>
      <w:r w:rsidR="00F5230B">
        <w:rPr>
          <w:rFonts w:ascii="Times New Roman" w:hAnsi="Times New Roman" w:cs="Times New Roman"/>
          <w:sz w:val="24"/>
          <w:szCs w:val="24"/>
          <w:lang w:val="en-US"/>
        </w:rPr>
        <w:t xml:space="preserve"> Nation </w:t>
      </w:r>
      <w:r w:rsidR="002373E8">
        <w:rPr>
          <w:rFonts w:ascii="Times New Roman" w:hAnsi="Times New Roman" w:cs="Times New Roman"/>
          <w:sz w:val="24"/>
          <w:szCs w:val="24"/>
          <w:lang w:val="en-US"/>
        </w:rPr>
        <w:t>Organization</w:t>
      </w:r>
      <w:r w:rsidRPr="00EB7E01">
        <w:rPr>
          <w:rFonts w:ascii="Times New Roman" w:hAnsi="Times New Roman" w:cs="Times New Roman"/>
          <w:sz w:val="24"/>
          <w:szCs w:val="24"/>
          <w:lang w:val="en-US"/>
        </w:rPr>
        <w:t xml:space="preserve"> …</w:t>
      </w:r>
      <w:r>
        <w:rPr>
          <w:rFonts w:ascii="Times New Roman" w:hAnsi="Times New Roman" w:cs="Times New Roman"/>
          <w:sz w:val="24"/>
          <w:szCs w:val="24"/>
          <w:lang w:val="en-US"/>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C79B4">
        <w:rPr>
          <w:rFonts w:ascii="Times New Roman" w:eastAsia="Times New Roman" w:hAnsi="Times New Roman" w:cs="Times New Roman"/>
          <w:sz w:val="24"/>
          <w:szCs w:val="24"/>
          <w:u w:val="single"/>
        </w:rPr>
        <w:t>¿Cuán grave es lo que está pasando en Turquía?</w:t>
      </w:r>
      <w:r>
        <w:rPr>
          <w:rFonts w:ascii="Times New Roman" w:eastAsia="Times New Roman" w:hAnsi="Times New Roman" w:cs="Times New Roman"/>
          <w:sz w:val="24"/>
          <w:szCs w:val="24"/>
        </w:rPr>
        <w:t xml:space="preserve"> (BBCMundo - </w:t>
      </w:r>
      <w:r w:rsidRPr="00BC79B4">
        <w:rPr>
          <w:rFonts w:ascii="Times New Roman" w:eastAsia="Times New Roman" w:hAnsi="Times New Roman" w:cs="Times New Roman"/>
          <w:b/>
          <w:sz w:val="24"/>
          <w:szCs w:val="24"/>
        </w:rPr>
        <w:t>3/6/13</w:t>
      </w:r>
      <w:r>
        <w:rPr>
          <w:rFonts w:ascii="Times New Roman" w:eastAsia="Times New Roman" w:hAnsi="Times New Roman" w:cs="Times New Roman"/>
          <w:sz w:val="24"/>
          <w:szCs w:val="24"/>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Las movilizaciones empezaron cuando hace algunos días grupos ambientalistas se reunieron en el parque Gezi, cerca de la céntrica plaza Taskim de Estambul, después de que el gobierno cortara unos árboles en el marco de un plan de desarrollo urb</w:t>
      </w:r>
      <w:r>
        <w:rPr>
          <w:rFonts w:ascii="Times New Roman" w:eastAsia="Times New Roman" w:hAnsi="Times New Roman" w:cs="Times New Roman"/>
          <w:sz w:val="24"/>
          <w:szCs w:val="24"/>
        </w:rPr>
        <w:t>anístico.</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¿Taskim es Tahrir?</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C1375F">
        <w:rPr>
          <w:rFonts w:ascii="Times New Roman" w:eastAsia="Times New Roman" w:hAnsi="Times New Roman" w:cs="Times New Roman"/>
          <w:color w:val="FF0000"/>
          <w:sz w:val="24"/>
          <w:szCs w:val="24"/>
          <w:u w:val="single"/>
        </w:rPr>
        <w:t>¿Es este el Tahrir turco, es decir, una versión turca de la Primavera Árabe egipcia? No, a menos que los trabajadores participen, dice el analista de la BBC Paul Mason. Turquía tiene un gran movimiento obrero, y una gran población urbana pobre, y el lunes es un día de trabajo. Varios sectores están amenazando con una huelga general. Así que habrá que seguir los acontecimientos. Sin duda, es ya algo más que la versión turca del movimiento Occupy.</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Además, agrega Mahmut Hamsici, del Servicio Turco de la BBC, el caso turco no tiene un componente político tan marcado como el egipcio, donde los Hermanos Mus</w:t>
      </w:r>
      <w:r>
        <w:rPr>
          <w:rFonts w:ascii="Times New Roman" w:eastAsia="Times New Roman" w:hAnsi="Times New Roman" w:cs="Times New Roman"/>
          <w:sz w:val="24"/>
          <w:szCs w:val="24"/>
        </w:rPr>
        <w:t>ulmanes tomaron preponderancia.</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C1375F">
        <w:rPr>
          <w:rFonts w:ascii="Times New Roman" w:eastAsia="Times New Roman" w:hAnsi="Times New Roman" w:cs="Times New Roman"/>
          <w:sz w:val="24"/>
          <w:szCs w:val="24"/>
          <w:u w:val="single"/>
        </w:rPr>
        <w:t xml:space="preserve">Nuevamente, habrá que ver cómo se desarrollan los acontecimientos y si algún partido político toma la delantera en este fenómeno, hasta ahora, heterogéneo. </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A los ambientalistas se les sumaron jóvenes, opositores y diversos ciudadanos indignados con lo que consideran un gobierno autoritario, encabezado por el primer ministro Recep Tayyip Erdogan, del Partido de la Justicia y el Desarrollo (AKP), una agrupación de centr</w:t>
      </w:r>
      <w:r>
        <w:rPr>
          <w:rFonts w:ascii="Times New Roman" w:eastAsia="Times New Roman" w:hAnsi="Times New Roman" w:cs="Times New Roman"/>
          <w:sz w:val="24"/>
          <w:szCs w:val="24"/>
        </w:rPr>
        <w:t>oderecha con raíces islamistas.</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C1375F">
        <w:rPr>
          <w:rFonts w:ascii="Times New Roman" w:eastAsia="Times New Roman" w:hAnsi="Times New Roman" w:cs="Times New Roman"/>
          <w:sz w:val="24"/>
          <w:szCs w:val="24"/>
          <w:u w:val="single"/>
        </w:rPr>
        <w:t>Las movilizaciones volvieron la mirada del mundo hacia un país considerado un bastión de estabilidad en una región convulsa y volátil.</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 xml:space="preserve">La policía reaccionó a las protestas con cañones de agua y un uso desmedido de gases lacrimógenos, lo que dejó decenas de heridos. Eso fue el detonante de </w:t>
      </w:r>
      <w:r w:rsidRPr="00C1375F">
        <w:rPr>
          <w:rFonts w:ascii="Times New Roman" w:eastAsia="Times New Roman" w:hAnsi="Times New Roman" w:cs="Times New Roman"/>
          <w:sz w:val="24"/>
          <w:szCs w:val="24"/>
          <w:u w:val="single"/>
        </w:rPr>
        <w:t xml:space="preserve">una marea humana que se volcó a las calles de Estambul, Ankara (la capital turca) y otras ciudades </w:t>
      </w:r>
      <w:r w:rsidRPr="00C1375F">
        <w:rPr>
          <w:rFonts w:ascii="Times New Roman" w:eastAsia="Times New Roman" w:hAnsi="Times New Roman" w:cs="Times New Roman"/>
          <w:sz w:val="24"/>
          <w:szCs w:val="24"/>
          <w:u w:val="single"/>
        </w:rPr>
        <w:lastRenderedPageBreak/>
        <w:t>para</w:t>
      </w:r>
      <w:r w:rsidRPr="00BC79B4">
        <w:rPr>
          <w:rFonts w:ascii="Times New Roman" w:eastAsia="Times New Roman" w:hAnsi="Times New Roman" w:cs="Times New Roman"/>
          <w:sz w:val="24"/>
          <w:szCs w:val="24"/>
        </w:rPr>
        <w:t xml:space="preserve"> </w:t>
      </w:r>
      <w:r w:rsidRPr="00C1375F">
        <w:rPr>
          <w:rFonts w:ascii="Times New Roman" w:eastAsia="Times New Roman" w:hAnsi="Times New Roman" w:cs="Times New Roman"/>
          <w:sz w:val="24"/>
          <w:szCs w:val="24"/>
          <w:u w:val="single"/>
        </w:rPr>
        <w:t>exigir la renu</w:t>
      </w:r>
      <w:r w:rsidR="00C51709">
        <w:rPr>
          <w:rFonts w:ascii="Times New Roman" w:eastAsia="Times New Roman" w:hAnsi="Times New Roman" w:cs="Times New Roman"/>
          <w:sz w:val="24"/>
          <w:szCs w:val="24"/>
          <w:u w:val="single"/>
        </w:rPr>
        <w:t>ncia de Erdogan, al que llaman “dictador”</w:t>
      </w:r>
      <w:r w:rsidRPr="00C1375F">
        <w:rPr>
          <w:rFonts w:ascii="Times New Roman" w:eastAsia="Times New Roman" w:hAnsi="Times New Roman" w:cs="Times New Roman"/>
          <w:sz w:val="24"/>
          <w:szCs w:val="24"/>
          <w:u w:val="single"/>
        </w:rPr>
        <w:t xml:space="preserve"> y al que le critican su estilo desafiante.</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Las autoridades dicen que más de 1.700 personas han sido detenidas en manifestaciones en 67 pueblos y ciudades, aunqu</w:t>
      </w:r>
      <w:r>
        <w:rPr>
          <w:rFonts w:ascii="Times New Roman" w:eastAsia="Times New Roman" w:hAnsi="Times New Roman" w:cs="Times New Roman"/>
          <w:sz w:val="24"/>
          <w:szCs w:val="24"/>
        </w:rPr>
        <w:t>e muchos ya han sido liberados.</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Mahmut Hamsici, periodista del Servicio Turco de la BBC, explica que aunque parece muy poco probable que consigan derrocar a Erdogan -que aún cuenta con gran apoyo de los sectores conservadores- las marchas han logrado un fuerte efecto psicológico entre la atomizada oposición, insuflándole optimismo y una sensaci</w:t>
      </w:r>
      <w:r>
        <w:rPr>
          <w:rFonts w:ascii="Times New Roman" w:eastAsia="Times New Roman" w:hAnsi="Times New Roman" w:cs="Times New Roman"/>
          <w:sz w:val="24"/>
          <w:szCs w:val="24"/>
        </w:rPr>
        <w:t>ón de que un cambio es posible.</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C1375F">
        <w:rPr>
          <w:rFonts w:ascii="Times New Roman" w:eastAsia="Times New Roman" w:hAnsi="Times New Roman" w:cs="Times New Roman"/>
          <w:sz w:val="24"/>
          <w:szCs w:val="24"/>
          <w:u w:val="single"/>
        </w:rPr>
        <w:t>La ma</w:t>
      </w:r>
      <w:r w:rsidR="008944C0">
        <w:rPr>
          <w:rFonts w:ascii="Times New Roman" w:eastAsia="Times New Roman" w:hAnsi="Times New Roman" w:cs="Times New Roman"/>
          <w:sz w:val="24"/>
          <w:szCs w:val="24"/>
          <w:u w:val="single"/>
        </w:rPr>
        <w:t>yoría de los manifestantes son “</w:t>
      </w:r>
      <w:r w:rsidRPr="00C1375F">
        <w:rPr>
          <w:rFonts w:ascii="Times New Roman" w:eastAsia="Times New Roman" w:hAnsi="Times New Roman" w:cs="Times New Roman"/>
          <w:sz w:val="24"/>
          <w:szCs w:val="24"/>
          <w:u w:val="single"/>
        </w:rPr>
        <w:t>jóvenes laicos y apolíticos de clase media que nunca protestaron en su vida y que ahora sorprende ver</w:t>
      </w:r>
      <w:r w:rsidR="008944C0">
        <w:rPr>
          <w:rFonts w:ascii="Times New Roman" w:eastAsia="Times New Roman" w:hAnsi="Times New Roman" w:cs="Times New Roman"/>
          <w:sz w:val="24"/>
          <w:szCs w:val="24"/>
          <w:u w:val="single"/>
        </w:rPr>
        <w:t>los lanzar piedras a la policía”</w:t>
      </w:r>
      <w:r w:rsidRPr="00C1375F">
        <w:rPr>
          <w:rFonts w:ascii="Times New Roman" w:eastAsia="Times New Roman" w:hAnsi="Times New Roman" w:cs="Times New Roman"/>
          <w:sz w:val="24"/>
          <w:szCs w:val="24"/>
          <w:u w:val="single"/>
        </w:rPr>
        <w:t>, explica Hamsici, aunque la multitud de manifestantes es heterogénea y aglutina a grupos nacionalistas seculares, sindicatos, nacionalistas kurdos y activistas gays y lesbianas.</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 xml:space="preserve">El </w:t>
      </w:r>
      <w:r w:rsidR="00C853E5" w:rsidRPr="00BC79B4">
        <w:rPr>
          <w:rFonts w:ascii="Times New Roman" w:eastAsia="Times New Roman" w:hAnsi="Times New Roman" w:cs="Times New Roman"/>
          <w:sz w:val="24"/>
          <w:szCs w:val="24"/>
        </w:rPr>
        <w:t>eslogan</w:t>
      </w:r>
      <w:r w:rsidRPr="00BC79B4">
        <w:rPr>
          <w:rFonts w:ascii="Times New Roman" w:eastAsia="Times New Roman" w:hAnsi="Times New Roman" w:cs="Times New Roman"/>
          <w:sz w:val="24"/>
          <w:szCs w:val="24"/>
        </w:rPr>
        <w:t xml:space="preserve"> principal -presente en redes soc</w:t>
      </w:r>
      <w:r w:rsidR="008944C0">
        <w:rPr>
          <w:rFonts w:ascii="Times New Roman" w:eastAsia="Times New Roman" w:hAnsi="Times New Roman" w:cs="Times New Roman"/>
          <w:sz w:val="24"/>
          <w:szCs w:val="24"/>
        </w:rPr>
        <w:t>iales, carteles y banderas- es “todos somos hijos de Ataturk”</w:t>
      </w:r>
      <w:r w:rsidRPr="00BC79B4">
        <w:rPr>
          <w:rFonts w:ascii="Times New Roman" w:eastAsia="Times New Roman" w:hAnsi="Times New Roman" w:cs="Times New Roman"/>
          <w:sz w:val="24"/>
          <w:szCs w:val="24"/>
        </w:rPr>
        <w:t xml:space="preserve">, en referencia al hombre considerado como el padre de la Turquía moderna. Es decir, </w:t>
      </w:r>
      <w:r w:rsidRPr="00C1375F">
        <w:rPr>
          <w:rFonts w:ascii="Times New Roman" w:eastAsia="Times New Roman" w:hAnsi="Times New Roman" w:cs="Times New Roman"/>
          <w:sz w:val="24"/>
          <w:szCs w:val="24"/>
          <w:u w:val="single"/>
        </w:rPr>
        <w:t>somos una república laica y estamos preocupados por el uso autoritario del poder del primer ministro Recep Tayyip Erdogan, junto con una islamización progresiva</w:t>
      </w:r>
      <w:r>
        <w:rPr>
          <w:rFonts w:ascii="Times New Roman" w:eastAsia="Times New Roman" w:hAnsi="Times New Roman" w:cs="Times New Roman"/>
          <w:sz w:val="24"/>
          <w:szCs w:val="24"/>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Suma de enojos</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 xml:space="preserve">Los motivos de descontento son variados. Como explica Hamsici, </w:t>
      </w:r>
      <w:r w:rsidR="008944C0">
        <w:rPr>
          <w:rFonts w:ascii="Times New Roman" w:eastAsia="Times New Roman" w:hAnsi="Times New Roman" w:cs="Times New Roman"/>
          <w:sz w:val="24"/>
          <w:szCs w:val="24"/>
          <w:u w:val="single"/>
        </w:rPr>
        <w:t>se trata de una “suma de enojos”</w:t>
      </w:r>
      <w:r w:rsidRPr="00C1375F">
        <w:rPr>
          <w:rFonts w:ascii="Times New Roman" w:eastAsia="Times New Roman" w:hAnsi="Times New Roman" w:cs="Times New Roman"/>
          <w:sz w:val="24"/>
          <w:szCs w:val="24"/>
          <w:u w:val="single"/>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El más inmediato es el plan para el parque Gezi y otros proyectos de desarrollo como la construcción de un nuevo puente sobre el Bósforo en Estambul, a pesar de que el impacto ambiental no ha sido suficientemente analizado</w:t>
      </w:r>
      <w:r w:rsidRPr="00BC79B4">
        <w:rPr>
          <w:rFonts w:ascii="Times New Roman" w:eastAsia="Times New Roman" w:hAnsi="Times New Roman" w:cs="Times New Roman"/>
          <w:sz w:val="24"/>
          <w:szCs w:val="24"/>
        </w:rPr>
        <w:t xml:space="preserve">. El puente fue inaugurado con una pomposa celebración y se le dio el nombre del sultán Selim el Severo, el adversario más cruel de alevitas y chiítas en </w:t>
      </w:r>
      <w:r>
        <w:rPr>
          <w:rFonts w:ascii="Times New Roman" w:eastAsia="Times New Roman" w:hAnsi="Times New Roman" w:cs="Times New Roman"/>
          <w:sz w:val="24"/>
          <w:szCs w:val="24"/>
        </w:rPr>
        <w:t>la historia otomana.</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Un antecedente de esta ola de protestas fue la prohibición de celebrar el 1º de Mayo pasado en la plaza Taskim. Eso desató protestas que terminaron con represión policial y al menos 28 heridos.</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Otro motivo es lo que califican de islamización e intromisión en el estilo de vida turco, como la reciente prohibición de vender bebidas alcohólicas, la intención de prohibir el aborto o la construcción de una mezquita gigante en Estambul.</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También la intención de Erdogan de reformar la constitución para pasar de un sistema parlamentario a uno presidencialista y así volverse el primer presidente elegido directamente en la historia turca.</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 xml:space="preserve">A muchos les preocupa el traslado del conflicto de la vecina Siria luego de que en la ciudad fronteriza de Reyhanli el 11 de mayo pasado un doble atentado con coche bomba dejara 53 muertos. </w:t>
      </w:r>
    </w:p>
    <w:p w:rsidR="003969F7" w:rsidRPr="00BC79B4" w:rsidRDefault="008944C0" w:rsidP="003969F7">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Twitter, la “amenaza”</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Erdogan llamó a la calma este lunes y dijo que los últimos cuatro días de protestas contra el gobierno no con</w:t>
      </w:r>
      <w:r w:rsidR="008944C0">
        <w:rPr>
          <w:rFonts w:ascii="Times New Roman" w:eastAsia="Times New Roman" w:hAnsi="Times New Roman" w:cs="Times New Roman"/>
          <w:sz w:val="24"/>
          <w:szCs w:val="24"/>
        </w:rPr>
        <w:t>stituyen una “Primavera Turca”</w:t>
      </w:r>
      <w:r>
        <w:rPr>
          <w:rFonts w:ascii="Times New Roman" w:eastAsia="Times New Roman" w:hAnsi="Times New Roman" w:cs="Times New Roman"/>
          <w:sz w:val="24"/>
          <w:szCs w:val="24"/>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 xml:space="preserve">En una conferencia de prensa antes de un viaje a Marruecos, dijo que las protestas fueron organizadas por extremistas y acusó a la oposición </w:t>
      </w:r>
      <w:r w:rsidR="008944C0">
        <w:rPr>
          <w:rFonts w:ascii="Times New Roman" w:eastAsia="Times New Roman" w:hAnsi="Times New Roman" w:cs="Times New Roman"/>
          <w:sz w:val="24"/>
          <w:szCs w:val="24"/>
        </w:rPr>
        <w:t>de provocar “a sus ciudadanos”</w:t>
      </w:r>
      <w:r>
        <w:rPr>
          <w:rFonts w:ascii="Times New Roman" w:eastAsia="Times New Roman" w:hAnsi="Times New Roman" w:cs="Times New Roman"/>
          <w:sz w:val="24"/>
          <w:szCs w:val="24"/>
        </w:rPr>
        <w:t>.</w:t>
      </w:r>
    </w:p>
    <w:p w:rsidR="003969F7" w:rsidRPr="00C1375F" w:rsidRDefault="003969F7" w:rsidP="003969F7">
      <w:pPr>
        <w:spacing w:before="100" w:beforeAutospacing="1" w:after="100" w:afterAutospacing="1" w:line="240" w:lineRule="auto"/>
        <w:jc w:val="both"/>
        <w:rPr>
          <w:rFonts w:ascii="Times New Roman" w:eastAsia="Times New Roman" w:hAnsi="Times New Roman" w:cs="Times New Roman"/>
          <w:sz w:val="24"/>
          <w:szCs w:val="24"/>
          <w:u w:val="single"/>
        </w:rPr>
      </w:pPr>
      <w:r w:rsidRPr="00BC79B4">
        <w:rPr>
          <w:rFonts w:ascii="Times New Roman" w:eastAsia="Times New Roman" w:hAnsi="Times New Roman" w:cs="Times New Roman"/>
          <w:sz w:val="24"/>
          <w:szCs w:val="24"/>
        </w:rPr>
        <w:t>Además les echó la culpa de las marchas a las redes sociales.</w:t>
      </w:r>
      <w:r w:rsidRPr="008944C0">
        <w:rPr>
          <w:rFonts w:ascii="Times New Roman" w:eastAsia="Times New Roman" w:hAnsi="Times New Roman" w:cs="Times New Roman"/>
          <w:sz w:val="24"/>
          <w:szCs w:val="24"/>
        </w:rPr>
        <w:t xml:space="preserve"> </w:t>
      </w:r>
      <w:r w:rsidR="008944C0" w:rsidRPr="008944C0">
        <w:rPr>
          <w:rFonts w:ascii="Times New Roman" w:eastAsia="Times New Roman" w:hAnsi="Times New Roman" w:cs="Times New Roman"/>
          <w:sz w:val="24"/>
          <w:szCs w:val="24"/>
        </w:rPr>
        <w:t>“</w:t>
      </w:r>
      <w:r w:rsidRPr="00C1375F">
        <w:rPr>
          <w:rFonts w:ascii="Times New Roman" w:eastAsia="Times New Roman" w:hAnsi="Times New Roman" w:cs="Times New Roman"/>
          <w:sz w:val="24"/>
          <w:szCs w:val="24"/>
          <w:u w:val="single"/>
        </w:rPr>
        <w:t>Ahora hay u</w:t>
      </w:r>
      <w:r w:rsidR="008944C0">
        <w:rPr>
          <w:rFonts w:ascii="Times New Roman" w:eastAsia="Times New Roman" w:hAnsi="Times New Roman" w:cs="Times New Roman"/>
          <w:sz w:val="24"/>
          <w:szCs w:val="24"/>
          <w:u w:val="single"/>
        </w:rPr>
        <w:t>na amenaza que se llama Twitter”</w:t>
      </w:r>
      <w:r w:rsidRPr="00C1375F">
        <w:rPr>
          <w:rFonts w:ascii="Times New Roman" w:eastAsia="Times New Roman" w:hAnsi="Times New Roman" w:cs="Times New Roman"/>
          <w:sz w:val="24"/>
          <w:szCs w:val="24"/>
          <w:u w:val="single"/>
        </w:rPr>
        <w:t>, dijo Erdogan.</w:t>
      </w:r>
    </w:p>
    <w:p w:rsidR="003969F7" w:rsidRPr="00C1375F" w:rsidRDefault="008944C0" w:rsidP="003969F7">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w:t>
      </w:r>
      <w:r w:rsidR="003969F7" w:rsidRPr="00C1375F">
        <w:rPr>
          <w:rFonts w:ascii="Times New Roman" w:eastAsia="Times New Roman" w:hAnsi="Times New Roman" w:cs="Times New Roman"/>
          <w:color w:val="FF0000"/>
          <w:sz w:val="24"/>
          <w:szCs w:val="24"/>
          <w:u w:val="single"/>
        </w:rPr>
        <w:t>Los mejores ejemplos de mentiras se pueden encontrar allí. Para mí, las redes sociales son l</w:t>
      </w:r>
      <w:r>
        <w:rPr>
          <w:rFonts w:ascii="Times New Roman" w:eastAsia="Times New Roman" w:hAnsi="Times New Roman" w:cs="Times New Roman"/>
          <w:color w:val="FF0000"/>
          <w:sz w:val="24"/>
          <w:szCs w:val="24"/>
          <w:u w:val="single"/>
        </w:rPr>
        <w:t>a peor amenaza para la sociedad”</w:t>
      </w:r>
      <w:r w:rsidR="003969F7" w:rsidRPr="00C1375F">
        <w:rPr>
          <w:rFonts w:ascii="Times New Roman" w:eastAsia="Times New Roman" w:hAnsi="Times New Roman" w:cs="Times New Roman"/>
          <w:color w:val="FF0000"/>
          <w:sz w:val="24"/>
          <w:szCs w:val="24"/>
          <w:u w:val="single"/>
        </w:rPr>
        <w:t>, dijo y c</w:t>
      </w:r>
      <w:r>
        <w:rPr>
          <w:rFonts w:ascii="Times New Roman" w:eastAsia="Times New Roman" w:hAnsi="Times New Roman" w:cs="Times New Roman"/>
          <w:color w:val="FF0000"/>
          <w:sz w:val="24"/>
          <w:szCs w:val="24"/>
          <w:u w:val="single"/>
        </w:rPr>
        <w:t>alificó a los manifestantes de “</w:t>
      </w:r>
      <w:r w:rsidR="003969F7" w:rsidRPr="00C1375F">
        <w:rPr>
          <w:rFonts w:ascii="Times New Roman" w:eastAsia="Times New Roman" w:hAnsi="Times New Roman" w:cs="Times New Roman"/>
          <w:color w:val="FF0000"/>
          <w:sz w:val="24"/>
          <w:szCs w:val="24"/>
          <w:u w:val="single"/>
        </w:rPr>
        <w:t>elem</w:t>
      </w:r>
      <w:r>
        <w:rPr>
          <w:rFonts w:ascii="Times New Roman" w:eastAsia="Times New Roman" w:hAnsi="Times New Roman" w:cs="Times New Roman"/>
          <w:color w:val="FF0000"/>
          <w:sz w:val="24"/>
          <w:szCs w:val="24"/>
          <w:u w:val="single"/>
        </w:rPr>
        <w:t>entos extremistas”</w:t>
      </w:r>
      <w:r w:rsidR="003969F7" w:rsidRPr="00C1375F">
        <w:rPr>
          <w:rFonts w:ascii="Times New Roman" w:eastAsia="Times New Roman" w:hAnsi="Times New Roman" w:cs="Times New Roman"/>
          <w:color w:val="FF0000"/>
          <w:sz w:val="24"/>
          <w:szCs w:val="24"/>
          <w:u w:val="single"/>
        </w:rPr>
        <w:t>.</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Es que los manifestantes, en gran medida, se han volcado a Twitter para organizarse, alentarse y ofrecer a</w:t>
      </w:r>
      <w:r>
        <w:rPr>
          <w:rFonts w:ascii="Times New Roman" w:eastAsia="Times New Roman" w:hAnsi="Times New Roman" w:cs="Times New Roman"/>
          <w:sz w:val="24"/>
          <w:szCs w:val="24"/>
        </w:rPr>
        <w:t>yuda a los detenidos y heridos.</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Aunque en casi todas las marchas en el mundo esta red ya es un elemento omnipresente, en el caso turco su importancia aumenta dado que los medios nacionales no están mostrando lo que pasa dado que las empresas periodísticas más importantes son propiedad de grandes grupos de capital que están bajo la presión del g</w:t>
      </w:r>
      <w:r>
        <w:rPr>
          <w:rFonts w:ascii="Times New Roman" w:eastAsia="Times New Roman" w:hAnsi="Times New Roman" w:cs="Times New Roman"/>
          <w:sz w:val="24"/>
          <w:szCs w:val="24"/>
        </w:rPr>
        <w:t>obierno.</w:t>
      </w:r>
    </w:p>
    <w:p w:rsidR="003969F7" w:rsidRPr="00BC79B4" w:rsidRDefault="003969F7" w:rsidP="003969F7">
      <w:pPr>
        <w:spacing w:before="100" w:beforeAutospacing="1" w:after="100" w:afterAutospacing="1" w:line="240" w:lineRule="auto"/>
        <w:jc w:val="both"/>
        <w:rPr>
          <w:rFonts w:ascii="Times New Roman" w:eastAsia="Times New Roman" w:hAnsi="Times New Roman" w:cs="Times New Roman"/>
          <w:sz w:val="24"/>
          <w:szCs w:val="24"/>
        </w:rPr>
      </w:pPr>
      <w:r w:rsidRPr="00BC79B4">
        <w:rPr>
          <w:rFonts w:ascii="Times New Roman" w:eastAsia="Times New Roman" w:hAnsi="Times New Roman" w:cs="Times New Roman"/>
          <w:sz w:val="24"/>
          <w:szCs w:val="24"/>
        </w:rPr>
        <w:t>Muchos periodistas perdieron sus trabajos en los últimos días y otros incluso terminaron presos. Por eso las protestas también son contra los medios, y ha habido manifestaciones frente a los principales medios.</w:t>
      </w:r>
    </w:p>
    <w:p w:rsidR="003969F7" w:rsidRDefault="003969F7" w:rsidP="003969F7">
      <w:pPr>
        <w:pStyle w:val="NormalWeb"/>
        <w:jc w:val="both"/>
      </w:pPr>
      <w:r>
        <w:t xml:space="preserve">- </w:t>
      </w:r>
      <w:r w:rsidRPr="0019420A">
        <w:rPr>
          <w:u w:val="single"/>
        </w:rPr>
        <w:t>La lucha de clases en Turquía</w:t>
      </w:r>
      <w:r>
        <w:t xml:space="preserve"> (Project Syndicate - </w:t>
      </w:r>
      <w:r w:rsidRPr="0019420A">
        <w:rPr>
          <w:b/>
        </w:rPr>
        <w:t>6/6/13</w:t>
      </w:r>
      <w:r>
        <w:t>)</w:t>
      </w:r>
    </w:p>
    <w:p w:rsidR="003969F7" w:rsidRDefault="003969F7" w:rsidP="003969F7">
      <w:pPr>
        <w:pStyle w:val="NormalWeb"/>
        <w:jc w:val="both"/>
      </w:pPr>
      <w:r>
        <w:t xml:space="preserve">(Por </w:t>
      </w:r>
      <w:r w:rsidRPr="00322FBA">
        <w:t>Ian Buruma)</w:t>
      </w:r>
      <w:r>
        <w:tab/>
      </w:r>
    </w:p>
    <w:p w:rsidR="003969F7" w:rsidRDefault="008944C0" w:rsidP="003969F7">
      <w:pPr>
        <w:pStyle w:val="NormalWeb"/>
        <w:jc w:val="both"/>
      </w:pPr>
      <w:r>
        <w:t>Nueva York.-</w:t>
      </w:r>
      <w:r w:rsidR="003969F7">
        <w:t xml:space="preserve"> Una interpretación de las manifestaciones antigubernamentales que ahora agitan algunas ciudades turcas es la de que se trata de una protesta en masa contra el islam político. Lo que comenzó como una concentración contra los planes oficiales de arrasar un pequeño parque en el centro de Estambul a fin de dejar espacio para un centro comercial kitsch no tardó en convertirse en un conflicto de valores.</w:t>
      </w:r>
    </w:p>
    <w:p w:rsidR="003969F7" w:rsidRPr="009237BE" w:rsidRDefault="003969F7" w:rsidP="003969F7">
      <w:pPr>
        <w:pStyle w:val="NormalWeb"/>
        <w:jc w:val="both"/>
        <w:rPr>
          <w:u w:val="single"/>
        </w:rPr>
      </w:pPr>
      <w:r w:rsidRPr="009237BE">
        <w:rPr>
          <w:u w:val="single"/>
        </w:rPr>
        <w:t>Superficialmente, la lucha parece representar dos concepciones diferentes de la Turquía moderna, la secular contra la religiosa, la democrática contra la autoritaria. Se la ha comparado con Occupy Wall Street. Algunos observadores hablan incluso de una “primavera turca”.</w:t>
      </w:r>
    </w:p>
    <w:p w:rsidR="003969F7" w:rsidRDefault="003969F7" w:rsidP="003969F7">
      <w:pPr>
        <w:pStyle w:val="NormalWeb"/>
        <w:jc w:val="both"/>
      </w:pPr>
      <w:r>
        <w:t>Está claro que muchos ciudadanos turcos, en particular en las ciudades grandes, están hartos del estilo cada vez más autoritario del Primer Ministro, Recep Tayyip Erdoğan, su férreo control de la prensa, su gusto por las nuevas mezquitas grandiosas, las restricciones del alcohol, las detenciones de disidentes políticos y ahora la reacción violenta contra las manifestaciones. La gente teme que la ley de la sharia substituya a la legislación secular y que el islamismo acabe con los frutos del impulso modernizador de Kemal Atatürk en la Turquía postotomana.</w:t>
      </w:r>
    </w:p>
    <w:p w:rsidR="003969F7" w:rsidRDefault="003969F7" w:rsidP="003969F7">
      <w:pPr>
        <w:pStyle w:val="NormalWeb"/>
        <w:jc w:val="both"/>
      </w:pPr>
      <w:r>
        <w:lastRenderedPageBreak/>
        <w:t>Además, hay que tener en cuenta la cuestión de los alevis, minoría religiosa vinculada con el sufismo y el chiísmo. Los alevis, que habían estado protegidos por el secular Estado kemalista, desconfían profundamente de Erdoğan, quien los intranquilizó aún más al proponerse bautizar un nuevo puente sobre el Bósforo con el nombre del sultán del siglo XVI que perpetró una matanza contra sus antepasados.</w:t>
      </w:r>
    </w:p>
    <w:p w:rsidR="003969F7" w:rsidRPr="009237BE" w:rsidRDefault="003969F7" w:rsidP="003969F7">
      <w:pPr>
        <w:pStyle w:val="NormalWeb"/>
        <w:jc w:val="both"/>
        <w:rPr>
          <w:u w:val="single"/>
        </w:rPr>
      </w:pPr>
      <w:r w:rsidRPr="009237BE">
        <w:rPr>
          <w:u w:val="single"/>
        </w:rPr>
        <w:t>Así, pues, la religión parece ser el núcleo del problema turco. Los oponentes del islam político lo consideran inherentemente antidemocrático.</w:t>
      </w:r>
    </w:p>
    <w:p w:rsidR="003969F7" w:rsidRPr="009237BE" w:rsidRDefault="003969F7" w:rsidP="003969F7">
      <w:pPr>
        <w:pStyle w:val="NormalWeb"/>
        <w:jc w:val="both"/>
        <w:rPr>
          <w:color w:val="FF0000"/>
          <w:u w:val="single"/>
        </w:rPr>
      </w:pPr>
      <w:r w:rsidRPr="009237BE">
        <w:rPr>
          <w:color w:val="FF0000"/>
          <w:u w:val="single"/>
        </w:rPr>
        <w:t>Pero las cosas no son tan sencillas. El secular Estado kemalista no era menos autoritario que el régimen islamista populista de Erdoğan: si acaso, lo era más. Y también es significativo que el motivo de las primeras protestas en la plaza Taksim de Estambul no fuera el proyecto de una mezquita, sino de un centro comercial. El miedo a la ley de la sharia no va a la zaga de la rabia ante la rapaz vulgaridad de los constructores y empresarios respaldados por el gobierno de Erdoğan. En la “primavera turca” hay una fuerte inclinación izquierdista.</w:t>
      </w:r>
    </w:p>
    <w:p w:rsidR="003969F7" w:rsidRPr="00832B4C" w:rsidRDefault="003969F7" w:rsidP="003969F7">
      <w:pPr>
        <w:pStyle w:val="NormalWeb"/>
        <w:jc w:val="both"/>
        <w:rPr>
          <w:color w:val="FF0000"/>
          <w:u w:val="single"/>
        </w:rPr>
      </w:pPr>
      <w:r>
        <w:t xml:space="preserve">Así, pues, en lugar de explayarnos sobre los problemas del islam político contemporáneo, que son, desde luego, considerables, </w:t>
      </w:r>
      <w:r w:rsidRPr="009237BE">
        <w:rPr>
          <w:color w:val="FF0000"/>
          <w:u w:val="single"/>
        </w:rPr>
        <w:t xml:space="preserve">podría ser más fructífero examinar los conflictos de Turquía desde otra perspectiva, que ahora, claramente, no está de moda: la clase </w:t>
      </w:r>
      <w:r w:rsidRPr="00832B4C">
        <w:rPr>
          <w:color w:val="FF0000"/>
          <w:u w:val="single"/>
        </w:rPr>
        <w:t>social. Los manifestantes, ya sean liberales o izquierdistas, suelen pertenecer a la minoría selecta urbana: occidentalizada, refinada y secular. Por otra parte, Erdoğan sigue siendo muy popular en la Turquía rural y provincial, entre personas menos instruidas, más pobres, más conservadoras y más religiosas.</w:t>
      </w:r>
    </w:p>
    <w:p w:rsidR="003969F7" w:rsidRDefault="003969F7" w:rsidP="003969F7">
      <w:pPr>
        <w:pStyle w:val="NormalWeb"/>
        <w:jc w:val="both"/>
      </w:pPr>
      <w:r>
        <w:t>Pese a las tendencias autoritarias de Erdoğan, que son evidentes, sería engañoso considerar las protestas actuales como un simple conflicto entre la democracia y la autocracia. Al fin y al cabo, el éxito del populista partido Justicia y Desarrollo de Erdoğan, además de la presencia en aumento de símbolos y costumbres religiosos en la vida pública, es consecuencia de más –y no de menos– democracia en Turquía.</w:t>
      </w:r>
    </w:p>
    <w:p w:rsidR="003969F7" w:rsidRPr="00832B4C" w:rsidRDefault="003969F7" w:rsidP="003969F7">
      <w:pPr>
        <w:pStyle w:val="NormalWeb"/>
        <w:jc w:val="both"/>
        <w:rPr>
          <w:u w:val="single"/>
        </w:rPr>
      </w:pPr>
      <w:r w:rsidRPr="00832B4C">
        <w:rPr>
          <w:u w:val="single"/>
        </w:rPr>
        <w:t>Costumbres que el sec</w:t>
      </w:r>
      <w:r w:rsidR="008944C0">
        <w:rPr>
          <w:u w:val="single"/>
        </w:rPr>
        <w:t>ular Estado kemalista suprimió -</w:t>
      </w:r>
      <w:r w:rsidRPr="00832B4C">
        <w:rPr>
          <w:u w:val="single"/>
        </w:rPr>
        <w:t>como, por ejemplo, el uso por parte de las mujeres de pañuelos para la</w:t>
      </w:r>
      <w:r w:rsidR="008944C0">
        <w:rPr>
          <w:u w:val="single"/>
        </w:rPr>
        <w:t xml:space="preserve"> cabeza en los lugares públicos-</w:t>
      </w:r>
      <w:r w:rsidRPr="00832B4C">
        <w:rPr>
          <w:u w:val="single"/>
        </w:rPr>
        <w:t xml:space="preserve"> han reaparecido, porque los turcos rurales tienen más influencia. En las universidades urbanas están apareciendo jóvenes religiosas. Ahora los votos de los turcos de provincias cuentan.</w:t>
      </w:r>
    </w:p>
    <w:p w:rsidR="003969F7" w:rsidRPr="00832B4C" w:rsidRDefault="003969F7" w:rsidP="003969F7">
      <w:pPr>
        <w:pStyle w:val="NormalWeb"/>
        <w:jc w:val="both"/>
        <w:rPr>
          <w:u w:val="single"/>
        </w:rPr>
      </w:pPr>
      <w:r w:rsidRPr="00832B4C">
        <w:rPr>
          <w:u w:val="single"/>
        </w:rPr>
        <w:t>Asimismo, la alianza entre empresarios y populistas religiosos no es exclusiva precisamente de Turquía. Muchos de los nuevos empresarios, como las mujeres con pañuelos en la cabeza, proceden de pueblos de Anatolia. Esos nuevos ricos provincianos sienten rencor de la antigua minoría selecta de Estambul tanto como los empresarios de Texas o Kansas aborrecen a las minorías selectas de la costa oriental: de Nueva York y Washington.</w:t>
      </w:r>
    </w:p>
    <w:p w:rsidR="003969F7" w:rsidRDefault="003969F7" w:rsidP="003969F7">
      <w:pPr>
        <w:pStyle w:val="NormalWeb"/>
        <w:jc w:val="both"/>
      </w:pPr>
      <w:r w:rsidRPr="00832B4C">
        <w:rPr>
          <w:u w:val="single"/>
        </w:rPr>
        <w:t>Pero decir que Turquía se ha vuelto más democrática no es decir que se haya  vuelto más liberal</w:t>
      </w:r>
      <w:r>
        <w:t>. Ése es también uno de los problemas revelados por la “primavera árabe”. Dar voz y voto a todas las personas en el gobierno es esencial para cualquier democraci</w:t>
      </w:r>
      <w:r w:rsidR="008944C0">
        <w:t>a, pero esas voces y votos -</w:t>
      </w:r>
      <w:r>
        <w:t>en parti</w:t>
      </w:r>
      <w:r w:rsidR="008944C0">
        <w:t>cular en épocas revolucionarias-</w:t>
      </w:r>
      <w:r>
        <w:t xml:space="preserve"> raras veces son moderadas.</w:t>
      </w:r>
    </w:p>
    <w:p w:rsidR="003969F7" w:rsidRPr="00832B4C" w:rsidRDefault="003969F7" w:rsidP="003969F7">
      <w:pPr>
        <w:pStyle w:val="NormalWeb"/>
        <w:jc w:val="both"/>
        <w:rPr>
          <w:color w:val="FF0000"/>
          <w:u w:val="single"/>
        </w:rPr>
      </w:pPr>
      <w:r w:rsidRPr="00832B4C">
        <w:rPr>
          <w:color w:val="FF0000"/>
          <w:u w:val="single"/>
        </w:rPr>
        <w:lastRenderedPageBreak/>
        <w:t>Lo que vemos en países como,</w:t>
      </w:r>
      <w:r w:rsidR="008944C0">
        <w:rPr>
          <w:color w:val="FF0000"/>
          <w:u w:val="single"/>
        </w:rPr>
        <w:t xml:space="preserve"> por ejemplo, Egipto y Turquía -e incluso en Siria-</w:t>
      </w:r>
      <w:r w:rsidRPr="00832B4C">
        <w:rPr>
          <w:color w:val="FF0000"/>
          <w:u w:val="single"/>
        </w:rPr>
        <w:t xml:space="preserve"> es lo que el gran filósofo liberal británico Isaiah Berlin denominó la incompatibilidad de bienes iguales. Es un error creer que todos los bienes se armonizan siempre. A veces bienes iguales chocan.</w:t>
      </w:r>
    </w:p>
    <w:p w:rsidR="003969F7" w:rsidRPr="00832B4C" w:rsidRDefault="003969F7" w:rsidP="003969F7">
      <w:pPr>
        <w:pStyle w:val="NormalWeb"/>
        <w:jc w:val="both"/>
        <w:rPr>
          <w:color w:val="FF0000"/>
          <w:u w:val="single"/>
        </w:rPr>
      </w:pPr>
      <w:r>
        <w:t xml:space="preserve">Así es en las dolorosas transiciones políticas de Oriente Medio. </w:t>
      </w:r>
      <w:r w:rsidRPr="00832B4C">
        <w:rPr>
          <w:color w:val="FF0000"/>
          <w:u w:val="single"/>
        </w:rPr>
        <w:t>La democracia es buena y también lo son el liberalismo y la tolerancia. Desde luego, idealmente coinciden, pero ahora mismo, en la mayoría de los países de Oriente Medio, no. Más democracia puede significar en realidad menos liberalismo y más intolerancia.</w:t>
      </w:r>
    </w:p>
    <w:p w:rsidR="003969F7" w:rsidRPr="00832B4C" w:rsidRDefault="003969F7" w:rsidP="003969F7">
      <w:pPr>
        <w:pStyle w:val="NormalWeb"/>
        <w:jc w:val="both"/>
        <w:rPr>
          <w:color w:val="FF0000"/>
          <w:u w:val="single"/>
        </w:rPr>
      </w:pPr>
      <w:r w:rsidRPr="00832B4C">
        <w:rPr>
          <w:color w:val="FF0000"/>
          <w:u w:val="single"/>
        </w:rPr>
        <w:t>Resulta fácil simpatizar con los rebeldes contra la dictadura de Bashar Al Assad en Siria, por ejemplo, pero a las clases altas de Damasco, a los hombres y mujeres seculares que disfrutan con la música y las películas occidentales, algunos de ellos miembros de las minorías religiosas cristiana y alauí, les resultará muy difícil sobrevivir, una vez que Assad haya desaparecido. El baasi</w:t>
      </w:r>
      <w:r w:rsidR="008944C0">
        <w:rPr>
          <w:color w:val="FF0000"/>
          <w:u w:val="single"/>
        </w:rPr>
        <w:t>smo era dictatorial y opresivo -con frecuencia de forma brutal-</w:t>
      </w:r>
      <w:r w:rsidRPr="00832B4C">
        <w:rPr>
          <w:color w:val="FF0000"/>
          <w:u w:val="single"/>
        </w:rPr>
        <w:t>, pero protegía a las minorías y a las minorías selectas seculares.</w:t>
      </w:r>
    </w:p>
    <w:p w:rsidR="003969F7" w:rsidRPr="00832B4C" w:rsidRDefault="003969F7" w:rsidP="003969F7">
      <w:pPr>
        <w:pStyle w:val="NormalWeb"/>
        <w:jc w:val="both"/>
        <w:rPr>
          <w:u w:val="single"/>
        </w:rPr>
      </w:pPr>
      <w:r w:rsidRPr="00832B4C">
        <w:rPr>
          <w:u w:val="single"/>
        </w:rPr>
        <w:t>Pero mantener a raya el islamismo no es una razón para apoyar a los dictadores</w:t>
      </w:r>
      <w:r>
        <w:t xml:space="preserve">. Al fin y al cabo, la violencia del islam político es en gran medida un producto de esos regímenes opresivos. </w:t>
      </w:r>
      <w:r w:rsidRPr="00832B4C">
        <w:rPr>
          <w:u w:val="single"/>
        </w:rPr>
        <w:t>Cuanto más tiempo sigan en el poder, más violentas serán las rebeliones islamistas.</w:t>
      </w:r>
    </w:p>
    <w:p w:rsidR="003969F7" w:rsidRPr="00832B4C" w:rsidRDefault="003969F7" w:rsidP="003969F7">
      <w:pPr>
        <w:pStyle w:val="NormalWeb"/>
        <w:jc w:val="both"/>
        <w:rPr>
          <w:u w:val="single"/>
        </w:rPr>
      </w:pPr>
      <w:r w:rsidRPr="00832B4C">
        <w:rPr>
          <w:u w:val="single"/>
        </w:rPr>
        <w:t>Tampoco es ésa una razón para apoyar a Erdoğan y sus constructores de centros comerciales contra los manifestantes en Turquía. Estos últimos tienen razón en oponerse a su altanera desconsideración para con la opinión pública y su represión de la prensa, pero considerar el conflicto como una lucha justa contra la expresión religiosa sería un error igualmente.</w:t>
      </w:r>
    </w:p>
    <w:p w:rsidR="003969F7" w:rsidRDefault="003969F7" w:rsidP="003969F7">
      <w:pPr>
        <w:pStyle w:val="NormalWeb"/>
        <w:jc w:val="both"/>
        <w:rPr>
          <w:color w:val="FF0000"/>
          <w:u w:val="single"/>
        </w:rPr>
      </w:pPr>
      <w:r w:rsidRPr="006F28FE">
        <w:rPr>
          <w:color w:val="FF0000"/>
          <w:u w:val="single"/>
        </w:rPr>
        <w:t>Un mayor relieve público del islam es el resultado inevitable de más democracia en los países de mayoría musulmana. La de cómo impedir que eso acabe con el liberalismo es la cuestión más importante que afrontan los países de Oriente Medio. Turquía sigue siendo una democracia. Es de esperar que las protestas contra Erdoğan la haga más liberal también.</w:t>
      </w:r>
    </w:p>
    <w:p w:rsidR="003969F7" w:rsidRPr="00322FBA" w:rsidRDefault="003969F7" w:rsidP="003969F7">
      <w:pPr>
        <w:pStyle w:val="NormalWeb"/>
        <w:jc w:val="both"/>
        <w:rPr>
          <w:color w:val="FF0000"/>
          <w:u w:val="single"/>
          <w:lang w:val="en-US"/>
        </w:rPr>
      </w:pPr>
      <w:r w:rsidRPr="006F28FE">
        <w:rPr>
          <w:lang w:val="en-US"/>
        </w:rPr>
        <w:t xml:space="preserve">(Ian Buruma is Professor of Democracy, Human Rights, and Journalism at Bard College. </w:t>
      </w:r>
      <w:r w:rsidRPr="0019420A">
        <w:rPr>
          <w:lang w:val="en-US"/>
        </w:rPr>
        <w:t xml:space="preserve">He is the author of numerous books, including Murder in Amsterdam: The Death of Theo Van Gogh and the Limits </w:t>
      </w:r>
      <w:r w:rsidR="008944C0" w:rsidRPr="0019420A">
        <w:rPr>
          <w:lang w:val="en-US"/>
        </w:rPr>
        <w:t>of</w:t>
      </w:r>
      <w:r w:rsidRPr="0019420A">
        <w:rPr>
          <w:lang w:val="en-US"/>
        </w:rPr>
        <w:t>…</w:t>
      </w:r>
      <w:r>
        <w:rPr>
          <w:lang w:val="en-US"/>
        </w:rPr>
        <w:t>)</w:t>
      </w:r>
    </w:p>
    <w:p w:rsidR="003969F7" w:rsidRDefault="003969F7" w:rsidP="003969F7">
      <w:pPr>
        <w:pStyle w:val="NormalWeb"/>
        <w:jc w:val="both"/>
        <w:rPr>
          <w:color w:val="000000"/>
        </w:rPr>
      </w:pPr>
      <w:r>
        <w:rPr>
          <w:color w:val="000000"/>
        </w:rPr>
        <w:t xml:space="preserve">- </w:t>
      </w:r>
      <w:r w:rsidR="008944C0">
        <w:rPr>
          <w:color w:val="000000"/>
          <w:u w:val="single"/>
        </w:rPr>
        <w:t>Turquía se levanta contra el “sultán”</w:t>
      </w:r>
      <w:r w:rsidRPr="00B557FA">
        <w:rPr>
          <w:color w:val="000000"/>
          <w:u w:val="single"/>
        </w:rPr>
        <w:t xml:space="preserve"> Erdogan</w:t>
      </w:r>
      <w:r>
        <w:rPr>
          <w:color w:val="000000"/>
        </w:rPr>
        <w:t xml:space="preserve"> (El Confidencial - </w:t>
      </w:r>
      <w:r w:rsidRPr="00B557FA">
        <w:rPr>
          <w:b/>
          <w:color w:val="000000"/>
        </w:rPr>
        <w:t>9/6/13</w:t>
      </w:r>
      <w:r>
        <w:rPr>
          <w:color w:val="000000"/>
        </w:rPr>
        <w:t>)</w:t>
      </w:r>
    </w:p>
    <w:p w:rsidR="003969F7" w:rsidRDefault="003969F7" w:rsidP="003969F7">
      <w:pPr>
        <w:pStyle w:val="NormalWeb"/>
        <w:jc w:val="both"/>
        <w:rPr>
          <w:color w:val="000000"/>
        </w:rPr>
      </w:pPr>
      <w:r>
        <w:rPr>
          <w:color w:val="000000"/>
        </w:rPr>
        <w:t>(Por Raquel Benito)</w:t>
      </w:r>
    </w:p>
    <w:p w:rsidR="003969F7" w:rsidRPr="006A3EF3" w:rsidRDefault="003969F7" w:rsidP="003969F7">
      <w:pPr>
        <w:pStyle w:val="NormalWeb"/>
        <w:jc w:val="both"/>
        <w:rPr>
          <w:color w:val="000000"/>
        </w:rPr>
      </w:pPr>
      <w:r w:rsidRPr="00704438">
        <w:rPr>
          <w:color w:val="000000"/>
          <w:u w:val="single"/>
        </w:rPr>
        <w:t>Turquía se ha cansado. Sus habitantes no aguantan más el régimen autoritario de Recep Tayyip Erdogan, que ha ganado en arrogancia a medida que cosechaba triunfos electorales</w:t>
      </w:r>
      <w:r w:rsidRPr="006A3EF3">
        <w:rPr>
          <w:color w:val="000000"/>
        </w:rPr>
        <w:t>. “Las tres victorias consecutivas en las urnas le han endiosado y ha terminado ejerciendo un poder basado en la fuerza y no en la democracia”, explica Beldem, una joven de Estambul, a El Confidencial. Ella es una de los miles de turcos que desde hace una semana claman en</w:t>
      </w:r>
      <w:r>
        <w:rPr>
          <w:color w:val="000000"/>
        </w:rPr>
        <w:t xml:space="preserve"> las calles contra el Gobierno.</w:t>
      </w:r>
    </w:p>
    <w:p w:rsidR="003969F7" w:rsidRPr="006A3EF3" w:rsidRDefault="003969F7" w:rsidP="003969F7">
      <w:pPr>
        <w:pStyle w:val="NormalWeb"/>
        <w:jc w:val="both"/>
        <w:rPr>
          <w:color w:val="000000"/>
        </w:rPr>
      </w:pPr>
      <w:r w:rsidRPr="00704438">
        <w:rPr>
          <w:color w:val="000000"/>
          <w:u w:val="single"/>
        </w:rPr>
        <w:lastRenderedPageBreak/>
        <w:t>La chispa que pretendió la mecha de las protestas fue el último plan urbanístico del ejecutivo de Erdogan, que pretende construir en el pequeño parque Gezi, la única zona verde que queda en la capital del país. “Fue la gota que colmó el vaso</w:t>
      </w:r>
      <w:r w:rsidRPr="006A3EF3">
        <w:rPr>
          <w:color w:val="000000"/>
        </w:rPr>
        <w:t>. El gobierno lleva años primando el ladrillo sobre el medio ambiente y la gente se ha cansado. No pararán con este proyecto, sabemos que su próximo objetivo será el bosque de Belgrado, donde meterán las excavadoras sin piedad y lo más importante, sin permisos. Gobiernan por la fuerza, no lo podemos permitir”, defien</w:t>
      </w:r>
      <w:r>
        <w:rPr>
          <w:color w:val="000000"/>
        </w:rPr>
        <w:t>de esta estudiante de Economía.</w:t>
      </w:r>
    </w:p>
    <w:p w:rsidR="003969F7" w:rsidRPr="006A3EF3" w:rsidRDefault="003969F7" w:rsidP="003969F7">
      <w:pPr>
        <w:pStyle w:val="NormalWeb"/>
        <w:jc w:val="both"/>
        <w:rPr>
          <w:color w:val="000000"/>
        </w:rPr>
      </w:pPr>
      <w:r w:rsidRPr="006A3EF3">
        <w:rPr>
          <w:color w:val="000000"/>
        </w:rPr>
        <w:t xml:space="preserve">Todos indignados, jóvenes y mayores, parados y trabajadores, se han organizado junto a la céntrica plaza Taskim. Allí han pasado de la ocupación a la autogestión y ya tienen una importante cantidad de </w:t>
      </w:r>
      <w:r>
        <w:rPr>
          <w:color w:val="000000"/>
        </w:rPr>
        <w:t xml:space="preserve">comida, biblioteca, </w:t>
      </w:r>
      <w:r w:rsidRPr="006A3EF3">
        <w:rPr>
          <w:color w:val="000000"/>
        </w:rPr>
        <w:t>y hasta un ambulatorio. Como ocurrió en el 15-M, el campamento se ha levantado gracias a la solidaridad de miles de turcos, que han llevado incluso máscaras y bombas de oxígeno para hacer frente a los posibles ataques d</w:t>
      </w:r>
      <w:r>
        <w:rPr>
          <w:color w:val="000000"/>
        </w:rPr>
        <w:t>e la policía.</w:t>
      </w:r>
    </w:p>
    <w:p w:rsidR="003969F7" w:rsidRPr="006A3EF3" w:rsidRDefault="003969F7" w:rsidP="003969F7">
      <w:pPr>
        <w:pStyle w:val="NormalWeb"/>
        <w:jc w:val="both"/>
        <w:rPr>
          <w:color w:val="000000"/>
        </w:rPr>
      </w:pPr>
      <w:r w:rsidRPr="006A3EF3">
        <w:rPr>
          <w:color w:val="000000"/>
        </w:rPr>
        <w:t>La violenta represión ha protagoniza</w:t>
      </w:r>
      <w:r>
        <w:rPr>
          <w:color w:val="000000"/>
        </w:rPr>
        <w:t>do las portadas internacionales</w:t>
      </w:r>
    </w:p>
    <w:p w:rsidR="003969F7" w:rsidRPr="006A3EF3" w:rsidRDefault="003969F7" w:rsidP="003969F7">
      <w:pPr>
        <w:pStyle w:val="NormalWeb"/>
        <w:jc w:val="both"/>
        <w:rPr>
          <w:color w:val="000000"/>
        </w:rPr>
      </w:pPr>
      <w:r w:rsidRPr="00704438">
        <w:rPr>
          <w:color w:val="000000"/>
          <w:u w:val="single"/>
        </w:rPr>
        <w:t>La protesta saltó a las portadas internacionales, cuando ésta derivó en enfrentamientos entre los manifestantes y las fuerzas de seguridad, que reci</w:t>
      </w:r>
      <w:r w:rsidR="008944C0">
        <w:rPr>
          <w:color w:val="000000"/>
          <w:u w:val="single"/>
        </w:rPr>
        <w:t>bieron fuertes críticas por su “excesiva violencia”</w:t>
      </w:r>
      <w:r w:rsidRPr="00704438">
        <w:rPr>
          <w:color w:val="000000"/>
          <w:u w:val="single"/>
        </w:rPr>
        <w:t>.</w:t>
      </w:r>
      <w:r w:rsidRPr="006A3EF3">
        <w:rPr>
          <w:color w:val="000000"/>
        </w:rPr>
        <w:t xml:space="preserve"> </w:t>
      </w:r>
      <w:r w:rsidRPr="00704438">
        <w:rPr>
          <w:color w:val="000000"/>
          <w:u w:val="single"/>
        </w:rPr>
        <w:t>Así calificó el secretario de Estado de Estados Unidos, John</w:t>
      </w:r>
      <w:r w:rsidR="008944C0">
        <w:rPr>
          <w:color w:val="000000"/>
          <w:u w:val="single"/>
        </w:rPr>
        <w:t xml:space="preserve"> Kerry, la represión policial. “</w:t>
      </w:r>
      <w:r w:rsidRPr="00704438">
        <w:rPr>
          <w:color w:val="000000"/>
          <w:u w:val="single"/>
        </w:rPr>
        <w:t>Estados Unidos apoya plenamente la libertad de expresión y de asociación, incluido el derecho de los pueblos a la protesta pacífica, porque eso es fundamental en cualquier democracia</w:t>
      </w:r>
      <w:r w:rsidRPr="006A3EF3">
        <w:rPr>
          <w:color w:val="000000"/>
        </w:rPr>
        <w:t>. Estamos preocupados por las denuncias de uso excesivo de la fuerza por parte de la policía. Evidentemente, esperamos que haya una investigación co</w:t>
      </w:r>
      <w:r w:rsidR="008944C0">
        <w:rPr>
          <w:color w:val="000000"/>
        </w:rPr>
        <w:t>mpleta de los hechos”</w:t>
      </w:r>
      <w:r>
        <w:rPr>
          <w:color w:val="000000"/>
        </w:rPr>
        <w:t>, anunció.</w:t>
      </w:r>
    </w:p>
    <w:p w:rsidR="003969F7" w:rsidRPr="006A3EF3" w:rsidRDefault="003969F7" w:rsidP="003969F7">
      <w:pPr>
        <w:pStyle w:val="NormalWeb"/>
        <w:jc w:val="both"/>
        <w:rPr>
          <w:color w:val="000000"/>
        </w:rPr>
      </w:pPr>
      <w:r w:rsidRPr="006A3EF3">
        <w:rPr>
          <w:color w:val="000000"/>
        </w:rPr>
        <w:t>Como toda revuelta, la de Turquía también tiene sus símbolos. En esta ocasión ha sido la fotografía de la mujer de rojo la que ha llenado las portadas de los medios internacionales. La protagonista de la instantánea es Ceyda Sungur, profesora de planificación urbana en la Universidad Técnica de Estambul que, ataviada con un sencillo vestido rojo y un bolso blanco, planta cara a un policía que le lanza a la cara un chorro de gas lacrimógeno. Una imagen que corrió como la pólvora en las rede</w:t>
      </w:r>
      <w:r w:rsidR="008944C0">
        <w:rPr>
          <w:color w:val="000000"/>
        </w:rPr>
        <w:t>s sociales y que, para Beldem, “</w:t>
      </w:r>
      <w:r w:rsidRPr="006A3EF3">
        <w:rPr>
          <w:color w:val="000000"/>
        </w:rPr>
        <w:t>r</w:t>
      </w:r>
      <w:r w:rsidR="008944C0">
        <w:rPr>
          <w:color w:val="000000"/>
        </w:rPr>
        <w:t>esume la esencia de la protesta”</w:t>
      </w:r>
      <w:r w:rsidRPr="006A3EF3">
        <w:rPr>
          <w:color w:val="000000"/>
        </w:rPr>
        <w:t>.</w:t>
      </w:r>
    </w:p>
    <w:p w:rsidR="003969F7" w:rsidRPr="006A3EF3" w:rsidRDefault="008944C0" w:rsidP="003969F7">
      <w:pPr>
        <w:pStyle w:val="NormalWeb"/>
        <w:jc w:val="both"/>
        <w:rPr>
          <w:color w:val="000000"/>
        </w:rPr>
      </w:pPr>
      <w:r>
        <w:rPr>
          <w:color w:val="000000"/>
          <w:u w:val="single"/>
        </w:rPr>
        <w:t>“</w:t>
      </w:r>
      <w:r w:rsidR="003969F7" w:rsidRPr="00704438">
        <w:rPr>
          <w:color w:val="000000"/>
          <w:u w:val="single"/>
        </w:rPr>
        <w:t>La violencia ha sido sin duda lo peor de estas protestas, aunque también han servido para que mucha más gente se anime a participar.</w:t>
      </w:r>
      <w:r w:rsidR="003969F7" w:rsidRPr="006A3EF3">
        <w:rPr>
          <w:color w:val="000000"/>
        </w:rPr>
        <w:t xml:space="preserve"> Hasta el 31 de mayo no hubo incidentes, tuvimos una resistencia pasiva para impedir que las excavadoras avanzaran, pero esa mañana la policía entró en el parque lanzando gases lacrimógenos</w:t>
      </w:r>
      <w:r>
        <w:rPr>
          <w:color w:val="000000"/>
        </w:rPr>
        <w:t xml:space="preserve"> y disparando balas de plástico”</w:t>
      </w:r>
      <w:r w:rsidR="003969F7" w:rsidRPr="006A3EF3">
        <w:rPr>
          <w:color w:val="000000"/>
        </w:rPr>
        <w:t>, recuerda la joven estudiante de 25 años.</w:t>
      </w:r>
    </w:p>
    <w:p w:rsidR="003969F7" w:rsidRPr="006A3EF3" w:rsidRDefault="003969F7" w:rsidP="003969F7">
      <w:pPr>
        <w:pStyle w:val="NormalWeb"/>
        <w:jc w:val="both"/>
        <w:rPr>
          <w:color w:val="000000"/>
        </w:rPr>
      </w:pPr>
      <w:r w:rsidRPr="006A3EF3">
        <w:rPr>
          <w:color w:val="000000"/>
        </w:rPr>
        <w:t xml:space="preserve">Las redes sociales, </w:t>
      </w:r>
      <w:r w:rsidR="00C853E5" w:rsidRPr="006A3EF3">
        <w:rPr>
          <w:color w:val="000000"/>
        </w:rPr>
        <w:t>la</w:t>
      </w:r>
      <w:r w:rsidRPr="006A3EF3">
        <w:rPr>
          <w:color w:val="000000"/>
        </w:rPr>
        <w:t xml:space="preserve"> </w:t>
      </w:r>
      <w:r>
        <w:rPr>
          <w:color w:val="000000"/>
        </w:rPr>
        <w:t>mayor arma de los manifestantes</w:t>
      </w:r>
    </w:p>
    <w:p w:rsidR="003969F7" w:rsidRPr="006A3EF3" w:rsidRDefault="003969F7" w:rsidP="003969F7">
      <w:pPr>
        <w:pStyle w:val="NormalWeb"/>
        <w:jc w:val="both"/>
        <w:rPr>
          <w:color w:val="000000"/>
        </w:rPr>
      </w:pPr>
      <w:r w:rsidRPr="00704438">
        <w:rPr>
          <w:color w:val="000000"/>
          <w:u w:val="single"/>
        </w:rPr>
        <w:t>El inicio de la violencia supuso el fin de las informaciones. Las actuaciones policiales llegaron acompañadas de la censura del Gobierno a los medios de comunicación nacionales, que dejaron de emitir noticias sobre las protestas</w:t>
      </w:r>
      <w:r w:rsidR="008944C0">
        <w:rPr>
          <w:color w:val="000000"/>
        </w:rPr>
        <w:t>. “</w:t>
      </w:r>
      <w:r w:rsidRPr="006A3EF3">
        <w:rPr>
          <w:color w:val="000000"/>
        </w:rPr>
        <w:t>Las televisiones se llenar</w:t>
      </w:r>
      <w:r w:rsidR="008944C0">
        <w:rPr>
          <w:color w:val="000000"/>
        </w:rPr>
        <w:t>on de documentales de pingüinos”</w:t>
      </w:r>
      <w:r w:rsidRPr="006A3EF3">
        <w:rPr>
          <w:color w:val="000000"/>
        </w:rPr>
        <w:t>, critica irónica Beldem</w:t>
      </w:r>
      <w:r w:rsidRPr="00704438">
        <w:rPr>
          <w:color w:val="FF0000"/>
          <w:u w:val="single"/>
        </w:rPr>
        <w:t>. El apagón empujó a los turcos a las redes sociales, que se convirtieron en la única vía para saber qué estaba pasando en el país, como ya pasó con la revolución egipcia</w:t>
      </w:r>
      <w:r w:rsidR="008944C0">
        <w:rPr>
          <w:color w:val="000000"/>
        </w:rPr>
        <w:t>. “</w:t>
      </w:r>
      <w:r w:rsidRPr="006A3EF3">
        <w:rPr>
          <w:color w:val="000000"/>
        </w:rPr>
        <w:t>A través de Twitter y Facebook tenemos acceso a las foto</w:t>
      </w:r>
      <w:r w:rsidR="008944C0">
        <w:rPr>
          <w:color w:val="000000"/>
        </w:rPr>
        <w:t>s y los vídeos de lo que sucede”</w:t>
      </w:r>
      <w:r w:rsidRPr="006A3EF3">
        <w:rPr>
          <w:color w:val="000000"/>
        </w:rPr>
        <w:t>, apunta la</w:t>
      </w:r>
      <w:r>
        <w:rPr>
          <w:color w:val="000000"/>
        </w:rPr>
        <w:t xml:space="preserve"> joven estudiante de economía. </w:t>
      </w:r>
    </w:p>
    <w:p w:rsidR="003969F7" w:rsidRPr="006A3EF3" w:rsidRDefault="003969F7" w:rsidP="003969F7">
      <w:pPr>
        <w:pStyle w:val="NormalWeb"/>
        <w:jc w:val="both"/>
        <w:rPr>
          <w:color w:val="000000"/>
        </w:rPr>
      </w:pPr>
      <w:r w:rsidRPr="006A3EF3">
        <w:rPr>
          <w:color w:val="000000"/>
        </w:rPr>
        <w:lastRenderedPageBreak/>
        <w:t xml:space="preserve">Además, los manifestantes están encontrando respaldo de los medios internacionales, que están criticando al Gobierno turco. La revista </w:t>
      </w:r>
      <w:r w:rsidRPr="00704438">
        <w:rPr>
          <w:color w:val="000000"/>
          <w:u w:val="single"/>
        </w:rPr>
        <w:t>The Economist ha sido una de las más duras con la figura de Erdogan, al que convirtió en protagonista de una de sus portadas presentándolo como un autoritario sultán.</w:t>
      </w:r>
      <w:r w:rsidRPr="006A3EF3">
        <w:rPr>
          <w:color w:val="000000"/>
        </w:rPr>
        <w:t xml:space="preserve"> Pese a todo, el primer ministro ha </w:t>
      </w:r>
      <w:r w:rsidR="008944C0" w:rsidRPr="006A3EF3">
        <w:rPr>
          <w:color w:val="000000"/>
        </w:rPr>
        <w:t>lanzado</w:t>
      </w:r>
      <w:r w:rsidRPr="006A3EF3">
        <w:rPr>
          <w:color w:val="000000"/>
        </w:rPr>
        <w:t xml:space="preserve"> una batería de mensajes para des</w:t>
      </w:r>
      <w:r w:rsidR="008944C0">
        <w:rPr>
          <w:color w:val="000000"/>
        </w:rPr>
        <w:t>acreditar a los manifestantes: “</w:t>
      </w:r>
      <w:r w:rsidRPr="006A3EF3">
        <w:rPr>
          <w:color w:val="000000"/>
        </w:rPr>
        <w:t>Los ciudadanos que tienen una responsabilidad en la protección del medio ambiente tienen que saber que algunas (personas que participan en las protestas) están con</w:t>
      </w:r>
      <w:r w:rsidR="008944C0">
        <w:rPr>
          <w:color w:val="000000"/>
        </w:rPr>
        <w:t>denadas por actos de terrorismo”</w:t>
      </w:r>
      <w:r w:rsidRPr="006A3EF3">
        <w:rPr>
          <w:color w:val="000000"/>
        </w:rPr>
        <w:t xml:space="preserve">, acusó. Unas declaraciones que ha suavizado en las últimas horas, cuando se ha mostrado dispuesto a escuchar </w:t>
      </w:r>
      <w:r w:rsidR="008944C0">
        <w:rPr>
          <w:color w:val="000000"/>
        </w:rPr>
        <w:t>las “exigencias democráticas”</w:t>
      </w:r>
      <w:r>
        <w:rPr>
          <w:color w:val="000000"/>
        </w:rPr>
        <w:t xml:space="preserve">. </w:t>
      </w:r>
    </w:p>
    <w:p w:rsidR="003969F7" w:rsidRDefault="003969F7" w:rsidP="003969F7">
      <w:pPr>
        <w:pStyle w:val="NormalWeb"/>
        <w:jc w:val="both"/>
        <w:rPr>
          <w:color w:val="000000"/>
        </w:rPr>
      </w:pPr>
      <w:r w:rsidRPr="006A3EF3">
        <w:rPr>
          <w:color w:val="000000"/>
        </w:rPr>
        <w:t>Sin embargo, sus palabras no calan y cada vez son más los que se suman a la protesta de plaza Ta</w:t>
      </w:r>
      <w:r w:rsidR="008944C0">
        <w:rPr>
          <w:color w:val="000000"/>
        </w:rPr>
        <w:t>skim, desde donde le responden:</w:t>
      </w:r>
      <w:r w:rsidR="00C853E5">
        <w:rPr>
          <w:color w:val="000000"/>
        </w:rPr>
        <w:t xml:space="preserve"> “</w:t>
      </w:r>
      <w:r w:rsidRPr="006A3EF3">
        <w:rPr>
          <w:color w:val="000000"/>
        </w:rPr>
        <w:t xml:space="preserve">Erdogan insiste en obviar la verdad, que no es ni más </w:t>
      </w:r>
      <w:r w:rsidR="008944C0">
        <w:rPr>
          <w:color w:val="000000"/>
        </w:rPr>
        <w:t>ni menos que su tiempo se agota”</w:t>
      </w:r>
      <w:r w:rsidRPr="006A3EF3">
        <w:rPr>
          <w:color w:val="000000"/>
        </w:rPr>
        <w:t>.</w:t>
      </w:r>
    </w:p>
    <w:p w:rsidR="008944C0" w:rsidRDefault="008944C0" w:rsidP="008944C0">
      <w:pPr>
        <w:pStyle w:val="NormalWeb"/>
        <w:jc w:val="both"/>
      </w:pPr>
      <w:r>
        <w:t xml:space="preserve"> - </w:t>
      </w:r>
      <w:r w:rsidRPr="00376561">
        <w:rPr>
          <w:u w:val="single"/>
        </w:rPr>
        <w:t>Taksim y la izquierda</w:t>
      </w:r>
      <w:r>
        <w:t xml:space="preserve"> (Project Syndicate - </w:t>
      </w:r>
      <w:r w:rsidRPr="00376561">
        <w:rPr>
          <w:b/>
        </w:rPr>
        <w:t>10/6/13</w:t>
      </w:r>
      <w:r>
        <w:t>)</w:t>
      </w:r>
    </w:p>
    <w:p w:rsidR="008944C0" w:rsidRDefault="008944C0" w:rsidP="008944C0">
      <w:pPr>
        <w:pStyle w:val="NormalWeb"/>
        <w:jc w:val="both"/>
      </w:pPr>
      <w:r>
        <w:t xml:space="preserve">(Por </w:t>
      </w:r>
      <w:r w:rsidRPr="00AA5225">
        <w:t>Kemal Derviş)</w:t>
      </w:r>
      <w:r>
        <w:tab/>
      </w:r>
    </w:p>
    <w:p w:rsidR="008944C0" w:rsidRPr="00B16E33" w:rsidRDefault="008944C0" w:rsidP="008944C0">
      <w:pPr>
        <w:pStyle w:val="NormalWeb"/>
        <w:jc w:val="both"/>
        <w:rPr>
          <w:u w:val="single"/>
        </w:rPr>
      </w:pPr>
      <w:r>
        <w:t xml:space="preserve">Estambul.- </w:t>
      </w:r>
      <w:r w:rsidRPr="00B16E33">
        <w:rPr>
          <w:u w:val="single"/>
        </w:rPr>
        <w:t>El pequeño parque de la plaza Taksim de la metrópolis de Estambul, en constante crecimiento, es uno de los pocos espacios verdes que han quedado en el centro de la ciudad. El 28 de mayo, un puñado de ecologistas turcos inició una protesta pacífica contra un plan de remodelación del parque que substituiría la vegetación por una réplica de un cuartel de la época otomana, un centro comercial y pisos, pero la dura represión policial provocó un movimiento cívico en masa que se ha extendido a todo el país.</w:t>
      </w:r>
    </w:p>
    <w:p w:rsidR="008944C0" w:rsidRPr="00B16E33" w:rsidRDefault="008944C0" w:rsidP="008944C0">
      <w:pPr>
        <w:pStyle w:val="NormalWeb"/>
        <w:jc w:val="both"/>
        <w:rPr>
          <w:u w:val="single"/>
        </w:rPr>
      </w:pPr>
      <w:r w:rsidRPr="00B16E33">
        <w:rPr>
          <w:u w:val="single"/>
        </w:rPr>
        <w:t>El plan de remodelación del parque desencadenó una enorme protesta contra lo que un gran sector del público turco, en particular los jóvenes, considera una dirección política autoritaria y paternalista. A la rápida intensificación del movimiento contribuyó la oposición genera</w:t>
      </w:r>
      <w:r>
        <w:rPr>
          <w:u w:val="single"/>
        </w:rPr>
        <w:t>lizada a las medidas oficiales -como las consideran muchos-</w:t>
      </w:r>
      <w:r w:rsidRPr="00B16E33">
        <w:rPr>
          <w:u w:val="single"/>
        </w:rPr>
        <w:t xml:space="preserve"> para regimentar los estilos de vida, además de por la frustración ante las evidentes desigualdades económicas.</w:t>
      </w:r>
    </w:p>
    <w:p w:rsidR="008944C0" w:rsidRDefault="008944C0" w:rsidP="008944C0">
      <w:pPr>
        <w:pStyle w:val="NormalWeb"/>
        <w:jc w:val="both"/>
      </w:pPr>
      <w:r>
        <w:t>De hecho, aunque fueron jóvenes ecologistas y laicos los que encabezaron el movimiento de protesta, de la noche a la mañana llegó a ser notablemente diverso y nada excluyente. También musulmanes devotos -en particular, los que creen que, gracias al desarrollo urbano de Turquía, han surgido demasiados captadores de rentas y demasiadas fortunas fáciles- se unieron a las manifestaciones, como también algunos grupos de extrema izquierda.</w:t>
      </w:r>
    </w:p>
    <w:p w:rsidR="008944C0" w:rsidRPr="00B16E33" w:rsidRDefault="008944C0" w:rsidP="008944C0">
      <w:pPr>
        <w:pStyle w:val="NormalWeb"/>
        <w:jc w:val="both"/>
        <w:rPr>
          <w:u w:val="single"/>
        </w:rPr>
      </w:pPr>
      <w:r w:rsidRPr="00B16E33">
        <w:rPr>
          <w:u w:val="single"/>
        </w:rPr>
        <w:t>Algunas de las protestas se volvieron violentas. Sin embargo, en conjunto, el movimiento ha seguido siendo pacífico e incluso alegre</w:t>
      </w:r>
      <w:r>
        <w:t xml:space="preserve">. Además, figuras importantes del gobernante partido Justicia y desarrollo o próximos a él expresaron su disposición a dialogar con los manifestantes. </w:t>
      </w:r>
      <w:r w:rsidRPr="00B16E33">
        <w:rPr>
          <w:u w:val="single"/>
        </w:rPr>
        <w:t>El Presidente Abdullah Gül, en particular, desempeñó un papel aplacador, de estadista.</w:t>
      </w:r>
    </w:p>
    <w:p w:rsidR="008944C0" w:rsidRPr="00B16E33" w:rsidRDefault="008944C0" w:rsidP="008944C0">
      <w:pPr>
        <w:pStyle w:val="NormalWeb"/>
        <w:jc w:val="both"/>
        <w:rPr>
          <w:u w:val="single"/>
        </w:rPr>
      </w:pPr>
      <w:r w:rsidRPr="00B16E33">
        <w:rPr>
          <w:u w:val="single"/>
        </w:rPr>
        <w:t xml:space="preserve">Un rasgo sorprendente de las protestas ha sido la distancia que los manifestantes han marcado entre los partidos políticos existentes y ellos, incluido el Partido Popular Republicano (CHP, por sus siglas en turco), la fuerza mayor de la oposición laica de centro izquierda. En ese sentido, la “sentada” de Taksim se parece a las protestas </w:t>
      </w:r>
      <w:r w:rsidRPr="00B16E33">
        <w:rPr>
          <w:u w:val="single"/>
        </w:rPr>
        <w:lastRenderedPageBreak/>
        <w:t>habidas en otros sitios, en particular en las democracias avanzadas, desde el movimiento ”Occupy Wall Street” hasta las protestas en España e Italia.</w:t>
      </w:r>
    </w:p>
    <w:p w:rsidR="008944C0" w:rsidRDefault="008944C0" w:rsidP="008944C0">
      <w:pPr>
        <w:pStyle w:val="NormalWeb"/>
        <w:jc w:val="both"/>
      </w:pPr>
      <w:r>
        <w:t>Desde luego, en dichas protestas hay rasgos propios de cada país, incluida, en el caso de Turquía, la reacción contra el paternalismo en materia de estilos de vida, pero los socialdemócratas deben entender por qué surgieron las protestas de forma totalmente independiente de la política existente y organizada de centro izquierda. Sin ese realismo, el centro izquierda de Europa y de los países en ascenso no puede recuperar el impulso político.</w:t>
      </w:r>
    </w:p>
    <w:p w:rsidR="008944C0" w:rsidRDefault="008944C0" w:rsidP="008944C0">
      <w:pPr>
        <w:pStyle w:val="NormalWeb"/>
        <w:jc w:val="both"/>
      </w:pPr>
      <w:r>
        <w:t>Los sistemas modernos de producción, en los que la tecnología de la información desempeña un papel decisivo, son totalmente distintos de las naves de las grandes fábricas que caracterizaron el nacimiento del sindicalismo y de la democracia social. El modo como se produce ahora gran parte del PIB ha hecho que a la izquierda le resulte mucho más difícil organizarse en las formas tradicionales, cosa que ha debilitado a los partidos de centro izquierda.</w:t>
      </w:r>
    </w:p>
    <w:p w:rsidR="008944C0" w:rsidRDefault="008944C0" w:rsidP="008944C0">
      <w:pPr>
        <w:pStyle w:val="NormalWeb"/>
        <w:jc w:val="both"/>
      </w:pPr>
      <w:r>
        <w:t>Sin embargo, la tecnología de la información y los medios de comunicación social mundiales han dotado de poder a los ciudadanos para superar la fragmentación social conforme a divisorias profesionales, residenciales y nacionales. En los últimos días, las intervenciones en dichos medios sobre la plaza Taksim han ocupado, según las crónicas, una parte enorme del “espacio para tuits” del mundo entero.</w:t>
      </w:r>
    </w:p>
    <w:p w:rsidR="008944C0" w:rsidRDefault="008944C0" w:rsidP="008944C0">
      <w:pPr>
        <w:pStyle w:val="NormalWeb"/>
        <w:jc w:val="both"/>
      </w:pPr>
      <w:r>
        <w:t>En ese rincón del ciberespacio, hay, naturalmente, todo lo existente bajo el Sol, incluidos llamamientos en pro de la peor clase de sectarismo. Aun así, lo que predomina es el deseo de libertad individual, la aceptación de la diversidad, una gran preocupación por el medio ambiente y la negativa a verse “organizados” desde arriba. Kemal Kiliçdaroğlu, el dirigente reformista del CHP, se apresuró a reconocer esa dinámica: “Los manifestantes no quieren que estemos nosotros en las primeras líneas”, dijo, “y tenemos que aprender mucho de esos acontecimientos”.</w:t>
      </w:r>
    </w:p>
    <w:p w:rsidR="008944C0" w:rsidRPr="00B16E33" w:rsidRDefault="008944C0" w:rsidP="008944C0">
      <w:pPr>
        <w:pStyle w:val="NormalWeb"/>
        <w:jc w:val="both"/>
        <w:rPr>
          <w:u w:val="single"/>
        </w:rPr>
      </w:pPr>
      <w:r w:rsidRPr="00B16E33">
        <w:rPr>
          <w:u w:val="single"/>
        </w:rPr>
        <w:t>Y, sin embargo, mientras que la sociedad civil puede ser un disparador, tarde o temprano la política democrática tiene que guiar el proceso de cambio. Ya sea en Nueva York, París, Madrid, Roma, Estambul o Nueva Delhi, una sensación de desasosiego y un deseo de cambio han surgido en sociedades que están volviéndose cada vez más desiguales y en las que la política y los negocios se combinan de formas no transparentes. El aumento del desempleo juvenil y los recortes de las pensiones y del gasto social se producen en un momento en el que muchas grandes multinacionales eluden legalmente los impuestos al trasladar sus beneficios a jurisdicciones favorables. En la zona del euro, los precios de los valores se están poniendo por las nubes, mientras que el desempleo ha alcanzado un nivel sin precedentes del 12,2 por ciento.</w:t>
      </w:r>
    </w:p>
    <w:p w:rsidR="008944C0" w:rsidRDefault="008944C0" w:rsidP="008944C0">
      <w:pPr>
        <w:pStyle w:val="NormalWeb"/>
        <w:jc w:val="both"/>
      </w:pPr>
      <w:r>
        <w:t>Sólo si reconoce la necesidad de formas de movilización muy diferentes de las del pasado, podrá la oposición democrática abordar los defectos del orden existente. Debe reconocer un fuerte deseo popular de autonomía individual, más cargos de dirección para las mujeres y los jóvenes y un mayor apoyo para las iniciativas individuales (junto con reformas de la seguridad social que la vuelvan más eficaz y nada excluyente).</w:t>
      </w:r>
    </w:p>
    <w:p w:rsidR="008944C0" w:rsidRDefault="008944C0" w:rsidP="008944C0">
      <w:pPr>
        <w:pStyle w:val="NormalWeb"/>
        <w:jc w:val="both"/>
      </w:pPr>
      <w:r>
        <w:t xml:space="preserve">Por último, el medio ambiente, el cambio climático y la solidaridad mundial serán temas caracterizadores del siglo XXI. Los Estados-nación, actuando independientemente, no </w:t>
      </w:r>
      <w:r>
        <w:lastRenderedPageBreak/>
        <w:t>pueden abordar con éxito ni la elusión legal de impuestos ni las emisiones de carbono. Se debe conciliar el renovado patriotismo que se ve en muchos sitios –como reacción ante la falta de equidad y los traslados de empresas que puede engendrar la mundialización– con la solidaridad humana, el respeto de la diversidad y la capacidad para la colaboración transfronteriza. El éxito del Partido Verde de Alemania refleja su empeño en centrarse en muchas de esas cuestiones.</w:t>
      </w:r>
    </w:p>
    <w:p w:rsidR="008944C0" w:rsidRPr="00B16E33" w:rsidRDefault="008944C0" w:rsidP="008944C0">
      <w:pPr>
        <w:pStyle w:val="NormalWeb"/>
        <w:jc w:val="both"/>
        <w:rPr>
          <w:u w:val="single"/>
        </w:rPr>
      </w:pPr>
      <w:r w:rsidRPr="00B16E33">
        <w:rPr>
          <w:u w:val="single"/>
        </w:rPr>
        <w:t>Los acontecimientos que se iniciaron en la plaza Taksim son propios de Turquía, pero reflejan aspiraciones universales. Lo mismo se puede decir del imperativo que afronta la izquierda democrática.</w:t>
      </w:r>
    </w:p>
    <w:p w:rsidR="008944C0" w:rsidRDefault="008944C0" w:rsidP="008944C0">
      <w:pPr>
        <w:pStyle w:val="NormalWeb"/>
        <w:jc w:val="both"/>
        <w:rPr>
          <w:lang w:val="en-US"/>
        </w:rPr>
      </w:pPr>
      <w:r>
        <w:rPr>
          <w:lang w:val="en-US"/>
        </w:rPr>
        <w:t>(</w:t>
      </w:r>
      <w:r w:rsidRPr="00376561">
        <w:rPr>
          <w:lang w:val="en-US"/>
        </w:rPr>
        <w:t>Kemal Derviş, former Minister of Economic Affairs of Turkey and former Administrator for the United Nations Development Program (UNDP), is Vice President of the Brookings Inst</w:t>
      </w:r>
      <w:r>
        <w:rPr>
          <w:lang w:val="en-US"/>
        </w:rPr>
        <w:t>itution)</w:t>
      </w:r>
    </w:p>
    <w:p w:rsidR="003969F7" w:rsidRDefault="003969F7" w:rsidP="003969F7">
      <w:pPr>
        <w:shd w:val="clear" w:color="auto" w:fill="FFFFFF"/>
        <w:spacing w:after="0" w:line="240" w:lineRule="auto"/>
        <w:jc w:val="both"/>
        <w:rPr>
          <w:rFonts w:ascii="Times New Roman" w:eastAsia="Times New Roman" w:hAnsi="Times New Roman" w:cs="Times New Roman"/>
          <w:bCs/>
          <w:sz w:val="24"/>
          <w:szCs w:val="24"/>
        </w:rPr>
      </w:pPr>
      <w:r w:rsidRPr="00D938D6">
        <w:rPr>
          <w:rFonts w:ascii="Times New Roman" w:eastAsia="Times New Roman" w:hAnsi="Times New Roman" w:cs="Times New Roman"/>
          <w:bCs/>
          <w:sz w:val="24"/>
          <w:szCs w:val="24"/>
        </w:rPr>
        <w:t xml:space="preserve">- </w:t>
      </w:r>
      <w:r w:rsidRPr="00D938D6">
        <w:rPr>
          <w:rFonts w:ascii="Times New Roman" w:eastAsia="Times New Roman" w:hAnsi="Times New Roman" w:cs="Times New Roman"/>
          <w:bCs/>
          <w:sz w:val="24"/>
          <w:szCs w:val="24"/>
          <w:u w:val="single"/>
        </w:rPr>
        <w:t>Las protestas amenazan el milagro económico turco</w:t>
      </w:r>
      <w:r>
        <w:rPr>
          <w:rFonts w:ascii="Times New Roman" w:eastAsia="Times New Roman" w:hAnsi="Times New Roman" w:cs="Times New Roman"/>
          <w:bCs/>
          <w:sz w:val="24"/>
          <w:szCs w:val="24"/>
        </w:rPr>
        <w:t xml:space="preserve"> (Negocios.com - </w:t>
      </w:r>
      <w:r w:rsidRPr="00D938D6">
        <w:rPr>
          <w:rFonts w:ascii="Times New Roman" w:eastAsia="Times New Roman" w:hAnsi="Times New Roman" w:cs="Times New Roman"/>
          <w:b/>
          <w:bCs/>
          <w:sz w:val="24"/>
          <w:szCs w:val="24"/>
        </w:rPr>
        <w:t>13/6/13</w:t>
      </w:r>
      <w:r>
        <w:rPr>
          <w:rFonts w:ascii="Times New Roman" w:eastAsia="Times New Roman" w:hAnsi="Times New Roman" w:cs="Times New Roman"/>
          <w:bCs/>
          <w:sz w:val="24"/>
          <w:szCs w:val="24"/>
        </w:rPr>
        <w:t>)</w:t>
      </w:r>
    </w:p>
    <w:p w:rsidR="003969F7" w:rsidRPr="00D91CE6"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D91CE6"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D938D6">
        <w:rPr>
          <w:rFonts w:ascii="Times New Roman" w:eastAsia="Times New Roman" w:hAnsi="Times New Roman" w:cs="Times New Roman"/>
          <w:bCs/>
          <w:sz w:val="24"/>
          <w:szCs w:val="24"/>
        </w:rPr>
        <w:t>(Por F</w:t>
      </w:r>
      <w:r>
        <w:rPr>
          <w:rFonts w:ascii="Times New Roman" w:eastAsia="Times New Roman" w:hAnsi="Times New Roman" w:cs="Times New Roman"/>
          <w:bCs/>
          <w:sz w:val="24"/>
          <w:szCs w:val="24"/>
        </w:rPr>
        <w:t>ernando Díaz Villanueva)</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 xml:space="preserve">Las manifestaciones en Estambul ponen en riesgo diez años de crecimiento económico sostenido. De desestabilizarse el país la inversión huiría y la lira se hundiría en el marasmo. </w:t>
      </w:r>
    </w:p>
    <w:p w:rsidR="003969F7" w:rsidRPr="00D91CE6" w:rsidRDefault="003969F7" w:rsidP="003969F7">
      <w:pPr>
        <w:pBdr>
          <w:bottom w:val="single" w:sz="6" w:space="1" w:color="auto"/>
        </w:pBdr>
        <w:spacing w:after="0" w:line="240" w:lineRule="auto"/>
        <w:jc w:val="both"/>
        <w:rPr>
          <w:rFonts w:ascii="Times New Roman" w:eastAsia="Times New Roman" w:hAnsi="Times New Roman" w:cs="Times New Roman"/>
          <w:vanish/>
          <w:sz w:val="24"/>
          <w:szCs w:val="24"/>
        </w:rPr>
      </w:pPr>
      <w:r w:rsidRPr="00D91CE6">
        <w:rPr>
          <w:rFonts w:ascii="Times New Roman" w:eastAsia="Times New Roman" w:hAnsi="Times New Roman" w:cs="Times New Roman"/>
          <w:vanish/>
          <w:sz w:val="24"/>
          <w:szCs w:val="24"/>
        </w:rPr>
        <w:t>Principio del formulario</w:t>
      </w:r>
    </w:p>
    <w:p w:rsidR="003969F7" w:rsidRPr="00D91CE6" w:rsidRDefault="003969F7" w:rsidP="003969F7">
      <w:pPr>
        <w:pBdr>
          <w:top w:val="single" w:sz="6" w:space="1" w:color="auto"/>
        </w:pBdr>
        <w:spacing w:after="0" w:line="240" w:lineRule="auto"/>
        <w:jc w:val="both"/>
        <w:rPr>
          <w:rFonts w:ascii="Times New Roman" w:eastAsia="Times New Roman" w:hAnsi="Times New Roman" w:cs="Times New Roman"/>
          <w:vanish/>
          <w:sz w:val="24"/>
          <w:szCs w:val="24"/>
        </w:rPr>
      </w:pPr>
      <w:r w:rsidRPr="00D91CE6">
        <w:rPr>
          <w:rFonts w:ascii="Times New Roman" w:eastAsia="Times New Roman" w:hAnsi="Times New Roman" w:cs="Times New Roman"/>
          <w:vanish/>
          <w:sz w:val="24"/>
          <w:szCs w:val="24"/>
        </w:rPr>
        <w:t>Final del formulario</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 xml:space="preserve">Si en algo coinciden todos los turcos, sin importar edad, sexo o procedencia geográfica, es en saberse de memoria el cambio del día entre la lira turca y el dólar estadounidense. </w:t>
      </w:r>
      <w:r w:rsidRPr="008944C0">
        <w:rPr>
          <w:rFonts w:ascii="Times New Roman" w:eastAsia="Times New Roman" w:hAnsi="Times New Roman" w:cs="Times New Roman"/>
          <w:bCs/>
          <w:sz w:val="24"/>
          <w:szCs w:val="24"/>
        </w:rPr>
        <w:t xml:space="preserve">Turquía </w:t>
      </w:r>
      <w:r w:rsidRPr="00D91CE6">
        <w:rPr>
          <w:rFonts w:ascii="Times New Roman" w:eastAsia="Times New Roman" w:hAnsi="Times New Roman" w:cs="Times New Roman"/>
          <w:sz w:val="24"/>
          <w:szCs w:val="24"/>
        </w:rPr>
        <w:t>tiene a sus espaldas un doloroso historial de inflación y devaluaciones que nada tiene que envidiar al de Argentina u otras naciones hispanoamericanas. Como consecuencia, los turcos miran siempre de reojo a su divisa, de la que no se terminan nunca de fiar. </w:t>
      </w:r>
    </w:p>
    <w:p w:rsidR="003969F7"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Tras la última crisis económica hace una década, el Gobierno turco recibió</w:t>
      </w:r>
      <w:r w:rsidRPr="00D91CE6">
        <w:rPr>
          <w:rFonts w:ascii="Times New Roman" w:eastAsia="Times New Roman" w:hAnsi="Times New Roman" w:cs="Times New Roman"/>
          <w:b/>
          <w:bCs/>
          <w:sz w:val="24"/>
          <w:szCs w:val="24"/>
        </w:rPr>
        <w:t xml:space="preserve"> </w:t>
      </w:r>
      <w:r w:rsidRPr="008944C0">
        <w:rPr>
          <w:rFonts w:ascii="Times New Roman" w:eastAsia="Times New Roman" w:hAnsi="Times New Roman" w:cs="Times New Roman"/>
          <w:bCs/>
          <w:sz w:val="24"/>
          <w:szCs w:val="24"/>
        </w:rPr>
        <w:t>ayudas directas del FMI</w:t>
      </w:r>
      <w:r w:rsidRPr="00D91CE6">
        <w:rPr>
          <w:rFonts w:ascii="Times New Roman" w:eastAsia="Times New Roman" w:hAnsi="Times New Roman" w:cs="Times New Roman"/>
          <w:sz w:val="24"/>
          <w:szCs w:val="24"/>
        </w:rPr>
        <w:t xml:space="preserve"> a cambio de una serie de reformas económicas, entre las que figuraba velar de una vez por la estabilidad de precios. Esto implicaba abandonar la idea de solucionar todos los problemas con imprenta y tomar una divisa fuerte como guía para evitar tentaciones.</w:t>
      </w:r>
    </w:p>
    <w:p w:rsidR="003969F7"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 xml:space="preserve">Las reformas impulsaron la economía de un modo significativo. Durante unos años Turquía ha sido lo más parecido a China que se podía encontrar en esta parte del mundo. En </w:t>
      </w:r>
      <w:r w:rsidRPr="008944C0">
        <w:rPr>
          <w:rFonts w:ascii="Times New Roman" w:eastAsia="Times New Roman" w:hAnsi="Times New Roman" w:cs="Times New Roman"/>
          <w:bCs/>
          <w:sz w:val="24"/>
          <w:szCs w:val="24"/>
        </w:rPr>
        <w:t>2010 y 2011</w:t>
      </w:r>
      <w:r w:rsidRPr="00D91CE6">
        <w:rPr>
          <w:rFonts w:ascii="Times New Roman" w:eastAsia="Times New Roman" w:hAnsi="Times New Roman" w:cs="Times New Roman"/>
          <w:sz w:val="24"/>
          <w:szCs w:val="24"/>
        </w:rPr>
        <w:t xml:space="preserve">, mientras los cimientos de la economía occidental rechinaban como consecuencia de la crisis financiera, Turquía se apuntaba crecimientos del 8%. Todo con un cuadro macro que a cualquier ministro de Economía del sur de Europa haría la boca agua: un </w:t>
      </w:r>
      <w:r w:rsidRPr="008944C0">
        <w:rPr>
          <w:rFonts w:ascii="Times New Roman" w:eastAsia="Times New Roman" w:hAnsi="Times New Roman" w:cs="Times New Roman"/>
          <w:bCs/>
          <w:sz w:val="24"/>
          <w:szCs w:val="24"/>
        </w:rPr>
        <w:t>desempleo</w:t>
      </w:r>
      <w:r w:rsidRPr="00D91CE6">
        <w:rPr>
          <w:rFonts w:ascii="Times New Roman" w:eastAsia="Times New Roman" w:hAnsi="Times New Roman" w:cs="Times New Roman"/>
          <w:b/>
          <w:bCs/>
          <w:sz w:val="24"/>
          <w:szCs w:val="24"/>
        </w:rPr>
        <w:t xml:space="preserve"> </w:t>
      </w:r>
      <w:r w:rsidRPr="00D91CE6">
        <w:rPr>
          <w:rFonts w:ascii="Times New Roman" w:eastAsia="Times New Roman" w:hAnsi="Times New Roman" w:cs="Times New Roman"/>
          <w:sz w:val="24"/>
          <w:szCs w:val="24"/>
        </w:rPr>
        <w:t xml:space="preserve">por debajo del 10%, un </w:t>
      </w:r>
      <w:r w:rsidRPr="008944C0">
        <w:rPr>
          <w:rFonts w:ascii="Times New Roman" w:eastAsia="Times New Roman" w:hAnsi="Times New Roman" w:cs="Times New Roman"/>
          <w:bCs/>
          <w:sz w:val="24"/>
          <w:szCs w:val="24"/>
        </w:rPr>
        <w:t>déficit</w:t>
      </w:r>
      <w:r w:rsidRPr="00D91CE6">
        <w:rPr>
          <w:rFonts w:ascii="Times New Roman" w:eastAsia="Times New Roman" w:hAnsi="Times New Roman" w:cs="Times New Roman"/>
          <w:b/>
          <w:bCs/>
          <w:sz w:val="24"/>
          <w:szCs w:val="24"/>
        </w:rPr>
        <w:t xml:space="preserve"> </w:t>
      </w:r>
      <w:r w:rsidRPr="00D91CE6">
        <w:rPr>
          <w:rFonts w:ascii="Times New Roman" w:eastAsia="Times New Roman" w:hAnsi="Times New Roman" w:cs="Times New Roman"/>
          <w:sz w:val="24"/>
          <w:szCs w:val="24"/>
        </w:rPr>
        <w:t>en el entorno del 2,5% y una deuda sobre el PIB inferior al 40%.</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 xml:space="preserve">La bonanza turca de estos años, personificada en la soberbia colección de rascacielos del </w:t>
      </w:r>
      <w:r w:rsidRPr="008944C0">
        <w:rPr>
          <w:rFonts w:ascii="Times New Roman" w:eastAsia="Times New Roman" w:hAnsi="Times New Roman" w:cs="Times New Roman"/>
          <w:bCs/>
          <w:sz w:val="24"/>
          <w:szCs w:val="24"/>
        </w:rPr>
        <w:t>distrito de Levent</w:t>
      </w:r>
      <w:r w:rsidRPr="00D91CE6">
        <w:rPr>
          <w:rFonts w:ascii="Times New Roman" w:eastAsia="Times New Roman" w:hAnsi="Times New Roman" w:cs="Times New Roman"/>
          <w:sz w:val="24"/>
          <w:szCs w:val="24"/>
        </w:rPr>
        <w:t xml:space="preserve"> en Estambul, ha venido acompañada de una proyección política en la región que su primer ministro, el ahora cuestionado en la</w:t>
      </w:r>
      <w:r w:rsidRPr="00D91CE6">
        <w:rPr>
          <w:rFonts w:ascii="Times New Roman" w:eastAsia="Times New Roman" w:hAnsi="Times New Roman" w:cs="Times New Roman"/>
          <w:b/>
          <w:bCs/>
          <w:sz w:val="24"/>
          <w:szCs w:val="24"/>
        </w:rPr>
        <w:t xml:space="preserve"> </w:t>
      </w:r>
      <w:r w:rsidRPr="008944C0">
        <w:rPr>
          <w:rFonts w:ascii="Times New Roman" w:eastAsia="Times New Roman" w:hAnsi="Times New Roman" w:cs="Times New Roman"/>
          <w:bCs/>
          <w:sz w:val="24"/>
          <w:szCs w:val="24"/>
        </w:rPr>
        <w:t>calle Tayyip</w:t>
      </w:r>
      <w:r w:rsidRPr="00D91CE6">
        <w:rPr>
          <w:rFonts w:ascii="Times New Roman" w:eastAsia="Times New Roman" w:hAnsi="Times New Roman" w:cs="Times New Roman"/>
          <w:b/>
          <w:bCs/>
          <w:sz w:val="24"/>
          <w:szCs w:val="24"/>
        </w:rPr>
        <w:t xml:space="preserve"> </w:t>
      </w:r>
      <w:r w:rsidRPr="00D91CE6">
        <w:rPr>
          <w:rFonts w:ascii="Times New Roman" w:eastAsia="Times New Roman" w:hAnsi="Times New Roman" w:cs="Times New Roman"/>
          <w:sz w:val="24"/>
          <w:szCs w:val="24"/>
        </w:rPr>
        <w:t xml:space="preserve">Erdogan, ha aprovechado para convertir a su país en potencia hegemónica en Oriente Medio. Tanto en el conflicto palestino-israelí como en la guerra civil siria Turquía ha jugado un papel </w:t>
      </w:r>
      <w:r w:rsidRPr="00D91CE6">
        <w:rPr>
          <w:rFonts w:ascii="Times New Roman" w:eastAsia="Times New Roman" w:hAnsi="Times New Roman" w:cs="Times New Roman"/>
          <w:sz w:val="24"/>
          <w:szCs w:val="24"/>
        </w:rPr>
        <w:lastRenderedPageBreak/>
        <w:t>muy activo y se ha erigido como actor principal con el que cuentan las grandes potencias mundiales.</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noProof/>
          <w:sz w:val="24"/>
          <w:szCs w:val="24"/>
          <w:lang w:eastAsia="es-ES"/>
        </w:rPr>
        <w:drawing>
          <wp:inline distT="0" distB="0" distL="0" distR="0" wp14:anchorId="5D7F6C1B" wp14:editId="7C6335F3">
            <wp:extent cx="4762500" cy="2077720"/>
            <wp:effectExtent l="0" t="0" r="0" b="0"/>
            <wp:docPr id="50" name="Imagen 50" descr="http://www.intereconomia.com/sites/default/files/imagecache/galeria_500/49791/cck_images/191-13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ntereconomia.com/sites/default/files/imagecache/galeria_500/49791/cck_images/191-13061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2500" cy="2077720"/>
                    </a:xfrm>
                    <a:prstGeom prst="rect">
                      <a:avLst/>
                    </a:prstGeom>
                    <a:noFill/>
                    <a:ln>
                      <a:noFill/>
                    </a:ln>
                  </pic:spPr>
                </pic:pic>
              </a:graphicData>
            </a:graphic>
          </wp:inline>
        </w:drawing>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El secreto del crecimiento turco está en las reformas y la estabilidad monetaria sí, pero también en la cercanía y los acuerdos preferenciales con la Unión Europea. Más de la mitad del comercio exterior de la república es con la UE. El balance comercial es, de hecho, positivo para Turquía. Entre 2010 y 2012 Turquía importó de la Unión Europea bienes por valor de 137.000 millones de euros, mientras que exportó por valor de 209.000 millones, un bonito superávit de 37.000 millones que muchos países ya quisieran para sí.</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A la excepcional coyuntura internacional se ha sumado un ambicioso programa de grandes infraestructuras como el tercer puente sobre el Bósforo, la línea de alta velocidad ferro</w:t>
      </w:r>
      <w:r w:rsidR="008944C0">
        <w:rPr>
          <w:rFonts w:ascii="Times New Roman" w:eastAsia="Times New Roman" w:hAnsi="Times New Roman" w:cs="Times New Roman"/>
          <w:sz w:val="24"/>
          <w:szCs w:val="24"/>
        </w:rPr>
        <w:t>viaria entre Ankara y Estambul -</w:t>
      </w:r>
      <w:r w:rsidRPr="00D91CE6">
        <w:rPr>
          <w:rFonts w:ascii="Times New Roman" w:eastAsia="Times New Roman" w:hAnsi="Times New Roman" w:cs="Times New Roman"/>
          <w:sz w:val="24"/>
          <w:szCs w:val="24"/>
        </w:rPr>
        <w:t xml:space="preserve">que emplea trenes de la española </w:t>
      </w:r>
      <w:r w:rsidRPr="00D91CE6">
        <w:rPr>
          <w:rFonts w:ascii="Times New Roman" w:eastAsia="Times New Roman" w:hAnsi="Times New Roman" w:cs="Times New Roman"/>
          <w:b/>
          <w:bCs/>
          <w:sz w:val="24"/>
          <w:szCs w:val="24"/>
        </w:rPr>
        <w:t>CAF</w:t>
      </w:r>
      <w:r w:rsidR="008944C0">
        <w:rPr>
          <w:rFonts w:ascii="Times New Roman" w:eastAsia="Times New Roman" w:hAnsi="Times New Roman" w:cs="Times New Roman"/>
          <w:sz w:val="24"/>
          <w:szCs w:val="24"/>
        </w:rPr>
        <w:t>-</w:t>
      </w:r>
      <w:r w:rsidRPr="00D91CE6">
        <w:rPr>
          <w:rFonts w:ascii="Times New Roman" w:eastAsia="Times New Roman" w:hAnsi="Times New Roman" w:cs="Times New Roman"/>
          <w:sz w:val="24"/>
          <w:szCs w:val="24"/>
        </w:rPr>
        <w:t xml:space="preserve"> o grandes oleoductos como el que conecta Bakú en el mar Caspio con el puerto de Ceyhan en el Mediterráneo. Estas y otras muchas obras han traído inversiones milmillonarias desde el extranjero.</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El crecimiento, sin embargo, ha empezado a ralentizarse. En 2012 la economía tan solo creció un 2,6% y, aunque el FMI prevea que los buenos tiempos todavía durarán, no se espera que vuelvan los espectaculares incrementos del PIB de la década pasada. El bajón en la actividad ha sido el preludio de la aparición del coco por antonomasia para los turcos: la inflación. Aunque todavía contenida, en 2012 estuvo durante todo el año por encima del 8% con picos del 10% en el primer semestre.</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Esto ha afectado directamente a la lira turca, que viene depreciándose de manera sostenida desde hace más de dos años. En junio de 2011</w:t>
      </w:r>
      <w:r w:rsidRPr="00D91CE6">
        <w:rPr>
          <w:rFonts w:ascii="Times New Roman" w:eastAsia="Times New Roman" w:hAnsi="Times New Roman" w:cs="Times New Roman"/>
          <w:b/>
          <w:bCs/>
          <w:sz w:val="24"/>
          <w:szCs w:val="24"/>
        </w:rPr>
        <w:t xml:space="preserve"> </w:t>
      </w:r>
      <w:r w:rsidRPr="008944C0">
        <w:rPr>
          <w:rFonts w:ascii="Times New Roman" w:eastAsia="Times New Roman" w:hAnsi="Times New Roman" w:cs="Times New Roman"/>
          <w:bCs/>
          <w:sz w:val="24"/>
          <w:szCs w:val="24"/>
        </w:rPr>
        <w:t>un dólar</w:t>
      </w:r>
      <w:r w:rsidRPr="00D91CE6">
        <w:rPr>
          <w:rFonts w:ascii="Times New Roman" w:eastAsia="Times New Roman" w:hAnsi="Times New Roman" w:cs="Times New Roman"/>
          <w:b/>
          <w:bCs/>
          <w:sz w:val="24"/>
          <w:szCs w:val="24"/>
        </w:rPr>
        <w:t xml:space="preserve"> </w:t>
      </w:r>
      <w:r w:rsidRPr="00D91CE6">
        <w:rPr>
          <w:rFonts w:ascii="Times New Roman" w:eastAsia="Times New Roman" w:hAnsi="Times New Roman" w:cs="Times New Roman"/>
          <w:sz w:val="24"/>
          <w:szCs w:val="24"/>
        </w:rPr>
        <w:t xml:space="preserve">se cambiaba por </w:t>
      </w:r>
      <w:r w:rsidRPr="008944C0">
        <w:rPr>
          <w:rFonts w:ascii="Times New Roman" w:eastAsia="Times New Roman" w:hAnsi="Times New Roman" w:cs="Times New Roman"/>
          <w:bCs/>
          <w:sz w:val="24"/>
          <w:szCs w:val="24"/>
        </w:rPr>
        <w:t>1,5 liras</w:t>
      </w:r>
      <w:r w:rsidRPr="00D91CE6">
        <w:rPr>
          <w:rFonts w:ascii="Times New Roman" w:eastAsia="Times New Roman" w:hAnsi="Times New Roman" w:cs="Times New Roman"/>
          <w:sz w:val="24"/>
          <w:szCs w:val="24"/>
        </w:rPr>
        <w:t>, hoy lo hace casi por dos, un incremento del 26% que ha encendido todas las alarmas entre los turcos. Lejos están inflaciones históricas como la de 1980, que alcanzó el 138%,</w:t>
      </w:r>
      <w:r w:rsidR="008944C0">
        <w:rPr>
          <w:rFonts w:ascii="Times New Roman" w:eastAsia="Times New Roman" w:hAnsi="Times New Roman" w:cs="Times New Roman"/>
          <w:sz w:val="24"/>
          <w:szCs w:val="24"/>
        </w:rPr>
        <w:t xml:space="preserve"> pero otras mucho más cercanas -como la de 1999 con un 90%-</w:t>
      </w:r>
      <w:r w:rsidRPr="00D91CE6">
        <w:rPr>
          <w:rFonts w:ascii="Times New Roman" w:eastAsia="Times New Roman" w:hAnsi="Times New Roman" w:cs="Times New Roman"/>
          <w:sz w:val="24"/>
          <w:szCs w:val="24"/>
        </w:rPr>
        <w:t xml:space="preserve"> hacen temer lo peor.</w:t>
      </w:r>
    </w:p>
    <w:p w:rsidR="003969F7" w:rsidRPr="00D91CE6"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 xml:space="preserve">Con todo, no hay razones objetivas para que cunda el pánico. Este año la </w:t>
      </w:r>
      <w:r w:rsidRPr="008944C0">
        <w:rPr>
          <w:rFonts w:ascii="Times New Roman" w:eastAsia="Times New Roman" w:hAnsi="Times New Roman" w:cs="Times New Roman"/>
          <w:bCs/>
          <w:sz w:val="24"/>
          <w:szCs w:val="24"/>
        </w:rPr>
        <w:t>inflación</w:t>
      </w:r>
      <w:r w:rsidRPr="00D91CE6">
        <w:rPr>
          <w:rFonts w:ascii="Times New Roman" w:eastAsia="Times New Roman" w:hAnsi="Times New Roman" w:cs="Times New Roman"/>
          <w:sz w:val="24"/>
          <w:szCs w:val="24"/>
        </w:rPr>
        <w:t xml:space="preserve"> se ha moderado sustancialmente quedando en el último mes en el 6,5% y, aunque la zona euro metida en una depresión sin precedentes ya no importa lo que importaba, la economía turca sigue manteniendo cierto vigor y continua teniendo ventajas comparativas como </w:t>
      </w:r>
      <w:r w:rsidRPr="00D91CE6">
        <w:rPr>
          <w:rFonts w:ascii="Times New Roman" w:eastAsia="Times New Roman" w:hAnsi="Times New Roman" w:cs="Times New Roman"/>
          <w:sz w:val="24"/>
          <w:szCs w:val="24"/>
        </w:rPr>
        <w:lastRenderedPageBreak/>
        <w:t>una mano de obra barata y relativamente bien cualificada, cercanía geográfica a grandes mercados, facilidades para la inversión extranjera y seguridad jurídica.</w:t>
      </w:r>
    </w:p>
    <w:p w:rsidR="003969F7" w:rsidRDefault="003969F7" w:rsidP="003969F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91CE6">
        <w:rPr>
          <w:rFonts w:ascii="Times New Roman" w:eastAsia="Times New Roman" w:hAnsi="Times New Roman" w:cs="Times New Roman"/>
          <w:sz w:val="24"/>
          <w:szCs w:val="24"/>
        </w:rPr>
        <w:t>De ahí que las protestas callejeras de la última semana sean tan peligrosas. Un país cuya economía depende en gran medida de la inversión foránea y la exportación no puede permitirse ciertos lujos en cuanto a imagen. El dinero es muy miedoso, en cuanto huele inestabilidad política se esfuma. El Gobierno de Erdogan lo sabe, aunque, una vez más, está siendo peor el remedio que la enfermedad. </w:t>
      </w:r>
    </w:p>
    <w:p w:rsidR="003969F7" w:rsidRPr="00B42D5B" w:rsidRDefault="003969F7" w:rsidP="003969F7">
      <w:pPr>
        <w:pStyle w:val="NormalWeb"/>
        <w:jc w:val="both"/>
        <w:rPr>
          <w:color w:val="000000"/>
        </w:rPr>
      </w:pPr>
      <w:r w:rsidRPr="00B42D5B">
        <w:rPr>
          <w:color w:val="000000"/>
          <w:u w:val="single"/>
        </w:rPr>
        <w:t>- Erdogan y las dos Turquías</w:t>
      </w:r>
      <w:r>
        <w:rPr>
          <w:color w:val="000000"/>
        </w:rPr>
        <w:t xml:space="preserve"> (Libertad Digital - </w:t>
      </w:r>
      <w:r w:rsidRPr="008944C0">
        <w:rPr>
          <w:b/>
          <w:color w:val="000000"/>
        </w:rPr>
        <w:t>23/6/13</w:t>
      </w:r>
      <w:r>
        <w:rPr>
          <w:color w:val="000000"/>
        </w:rPr>
        <w:t>)</w:t>
      </w:r>
    </w:p>
    <w:p w:rsidR="003969F7" w:rsidRDefault="003969F7" w:rsidP="003969F7">
      <w:pPr>
        <w:pStyle w:val="NormalWeb"/>
        <w:jc w:val="both"/>
        <w:rPr>
          <w:color w:val="000000"/>
        </w:rPr>
      </w:pPr>
      <w:r>
        <w:rPr>
          <w:color w:val="000000"/>
        </w:rPr>
        <w:t xml:space="preserve">(Por </w:t>
      </w:r>
      <w:r w:rsidRPr="00B42D5B">
        <w:rPr>
          <w:color w:val="000000"/>
        </w:rPr>
        <w:t>GEES</w:t>
      </w:r>
      <w:r>
        <w:rPr>
          <w:color w:val="000000"/>
        </w:rPr>
        <w:t>)</w:t>
      </w:r>
    </w:p>
    <w:p w:rsidR="003969F7" w:rsidRPr="007A3DF2" w:rsidRDefault="003969F7" w:rsidP="003969F7">
      <w:pPr>
        <w:pStyle w:val="NormalWeb"/>
        <w:jc w:val="both"/>
        <w:rPr>
          <w:u w:val="single"/>
        </w:rPr>
      </w:pPr>
      <w:r w:rsidRPr="007A3DF2">
        <w:rPr>
          <w:u w:val="single"/>
        </w:rPr>
        <w:t xml:space="preserve">Una de las dos Turquías ha de helarte el corazón, podría muy bien decirle un poeta a sus compatriotas. En sus tres victoriosas elecciones en una década, </w:t>
      </w:r>
      <w:r w:rsidRPr="008944C0">
        <w:rPr>
          <w:rStyle w:val="Textoennegrita"/>
          <w:b w:val="0"/>
          <w:u w:val="single"/>
        </w:rPr>
        <w:t>Erdogan</w:t>
      </w:r>
      <w:r w:rsidRPr="007A3DF2">
        <w:rPr>
          <w:rStyle w:val="Textoennegrita"/>
          <w:u w:val="single"/>
        </w:rPr>
        <w:t xml:space="preserve"> </w:t>
      </w:r>
      <w:r w:rsidRPr="007A3DF2">
        <w:rPr>
          <w:u w:val="single"/>
        </w:rPr>
        <w:t xml:space="preserve">y su </w:t>
      </w:r>
      <w:r w:rsidRPr="008944C0">
        <w:rPr>
          <w:rStyle w:val="Textoennegrita"/>
          <w:b w:val="0"/>
          <w:u w:val="single"/>
        </w:rPr>
        <w:t>Partido de la Justicia y el Desarrollo (AKP)</w:t>
      </w:r>
      <w:r w:rsidRPr="007A3DF2">
        <w:rPr>
          <w:rStyle w:val="Textoennegrita"/>
          <w:u w:val="single"/>
        </w:rPr>
        <w:t xml:space="preserve"> </w:t>
      </w:r>
      <w:r w:rsidRPr="007A3DF2">
        <w:rPr>
          <w:u w:val="single"/>
        </w:rPr>
        <w:t xml:space="preserve">han visto ir aumentando su apoyo hasta llegar en las últimas (2011) a situarse a unas centésimas del 50%. Lo han conseguido movilizando una Turquía profunda, rural o de clase baja urbana, islámica, así como muchos descontentos con el </w:t>
      </w:r>
      <w:r w:rsidRPr="008944C0">
        <w:rPr>
          <w:rStyle w:val="nfasis"/>
          <w:b w:val="0"/>
          <w:u w:val="single"/>
        </w:rPr>
        <w:t>establishment</w:t>
      </w:r>
      <w:r w:rsidRPr="008944C0">
        <w:rPr>
          <w:b/>
          <w:u w:val="single"/>
        </w:rPr>
        <w:t xml:space="preserve"> </w:t>
      </w:r>
      <w:r w:rsidRPr="007A3DF2">
        <w:rPr>
          <w:u w:val="single"/>
        </w:rPr>
        <w:t>republicano, de burguesía urbana más o menos secular, instalado en sus privilegios, corrompido. A medida que el país superaba sus problemas económicos de finales del siglo anterior e inicios de este, crecía, agrandaba su imagen internacional, el AKP iba sumando adeptos. Ahora vemos que era un préstamo condicionado, no una arrebatada conversión.</w:t>
      </w:r>
    </w:p>
    <w:p w:rsidR="003969F7" w:rsidRDefault="003969F7" w:rsidP="003969F7">
      <w:pPr>
        <w:pStyle w:val="NormalWeb"/>
        <w:jc w:val="both"/>
      </w:pPr>
      <w:r w:rsidRPr="008944C0">
        <w:rPr>
          <w:rStyle w:val="Textoennegrita"/>
          <w:b w:val="0"/>
        </w:rPr>
        <w:t>El gran Erdogan, internacionalmente admirado</w:t>
      </w:r>
      <w:r>
        <w:rPr>
          <w:rStyle w:val="Textoennegrita"/>
        </w:rPr>
        <w:t xml:space="preserve">, </w:t>
      </w:r>
      <w:r>
        <w:t>idolatrado por su base, tuvo su mejor momento en la única crisis con la que tuvo que enfrentarse antes de la actual. En 2007 había elecciones presidenciales, además de parlamentarias. El AKP presentaba a Gül, cofundador del partido junto con el primer ministro. Los elementos seculares, herederos de Atatürk, veían peligrar las esencias republicanas con un presidente militantemente islámico. Erdogan apeló a los mejores sentimientos democráticos de juego limpio, igualdad de derechos, renovación del país. Ganó la partida y le infligió una dura derrota a los militares, uno de los puntales de la política tradicional, en su proceso de someterlos por completo. Su movimiento no sólo aportaba prosperidad, renovación, también creciente unidad. Pero la oposición, aunque fragmentada e impotente, representaba el otro 50% de los votantes. El Partido Republicano Popular, guardián de la tradición kemalista, obtuvo en 2011 la mitad de los votos del gobernante AKP, un cuarto del total.</w:t>
      </w:r>
    </w:p>
    <w:p w:rsidR="003969F7" w:rsidRPr="007A3DF2" w:rsidRDefault="00C853E5" w:rsidP="003969F7">
      <w:pPr>
        <w:pStyle w:val="NormalWeb"/>
        <w:jc w:val="both"/>
        <w:rPr>
          <w:u w:val="single"/>
        </w:rPr>
      </w:pPr>
      <w:r>
        <w:rPr>
          <w:u w:val="single"/>
        </w:rPr>
        <w:t>E</w:t>
      </w:r>
      <w:r w:rsidR="003969F7" w:rsidRPr="007A3DF2">
        <w:rPr>
          <w:u w:val="single"/>
        </w:rPr>
        <w:t xml:space="preserve">rdogan, </w:t>
      </w:r>
      <w:r w:rsidR="003969F7" w:rsidRPr="008944C0">
        <w:rPr>
          <w:rStyle w:val="Textoennegrita"/>
          <w:b w:val="0"/>
          <w:u w:val="single"/>
        </w:rPr>
        <w:t>un gran luchador, creyente radical, hombre hecho a sí mismo</w:t>
      </w:r>
      <w:r w:rsidR="003969F7" w:rsidRPr="007A3DF2">
        <w:rPr>
          <w:u w:val="single"/>
        </w:rPr>
        <w:t xml:space="preserve"> desde los niveles más humildes, que siempre ha vivido con resentimiento hacia la élite que lo había mirado por encima del hombro y llegó a meterlo en la cárcel por desplantes islamistas, no es ni nunca ha sido un demócrata, ni de corazón ni de cabeza. Susceptible y quisquilloso en extremo, su naturaleza más íntima y el endiosamiento que le han producido sus éxitos lo han llevado a actitudes cada vez más autoritarias e intransigentes, tanto en el gobierno del partido como en el de la nación, incluso en sus relaciones con otros países: véase el caso de Israel, en otros tiempos casi aliado de Turquía.</w:t>
      </w:r>
      <w:r w:rsidR="003969F7" w:rsidRPr="007A3DF2">
        <w:rPr>
          <w:u w:val="single"/>
        </w:rPr>
        <w:br/>
      </w:r>
      <w:r w:rsidR="003969F7">
        <w:br/>
      </w:r>
      <w:r w:rsidR="003969F7" w:rsidRPr="007A3DF2">
        <w:rPr>
          <w:u w:val="single"/>
        </w:rPr>
        <w:t xml:space="preserve">Cuando un puñado de ecologistas se la montaron al alcalde de Estambul por su pretensión de cortar unas pocas docenas de árboles en el centro de la abigarrada ciudad, </w:t>
      </w:r>
      <w:r w:rsidR="003969F7" w:rsidRPr="007A3DF2">
        <w:rPr>
          <w:u w:val="single"/>
        </w:rPr>
        <w:lastRenderedPageBreak/>
        <w:t>la respuesta del jefe del Gobierno fue desatar un</w:t>
      </w:r>
      <w:r w:rsidR="003969F7" w:rsidRPr="007A3DF2">
        <w:rPr>
          <w:rStyle w:val="Textoennegrita"/>
          <w:u w:val="single"/>
        </w:rPr>
        <w:t xml:space="preserve"> </w:t>
      </w:r>
      <w:r w:rsidR="003969F7" w:rsidRPr="008944C0">
        <w:rPr>
          <w:rStyle w:val="Textoennegrita"/>
          <w:b w:val="0"/>
          <w:u w:val="single"/>
        </w:rPr>
        <w:t>violenta represión policial</w:t>
      </w:r>
      <w:r w:rsidR="003969F7" w:rsidRPr="007A3DF2">
        <w:rPr>
          <w:rStyle w:val="Textoennegrita"/>
          <w:u w:val="single"/>
        </w:rPr>
        <w:t xml:space="preserve"> </w:t>
      </w:r>
      <w:r w:rsidR="003969F7" w:rsidRPr="007A3DF2">
        <w:rPr>
          <w:u w:val="single"/>
        </w:rPr>
        <w:t>que convirtió el pequeño y localizado acto inicial en una gran manifestación opositora que se ha extendido a más de 70 ciudades, con varios muertos, cinco mil heridos y miles de arrestados. La violencia verbal no ha tenido nada que envidiar a la física. Esta vez el líder ha apelado abiertamente a los peores instintos de sus masas, dispuestas a creerse devotamente las más grotescas acusaciones. La crisis está en marcha desde la primera represión, el 30 de mayo. Lo único seguro es que ya nada será igual, y Erdogan se ha convertido en un factor de enconada y profunda división.</w:t>
      </w:r>
    </w:p>
    <w:p w:rsidR="003969F7" w:rsidRPr="008944C0" w:rsidRDefault="003969F7" w:rsidP="003969F7">
      <w:pPr>
        <w:pStyle w:val="NormalWeb"/>
        <w:jc w:val="both"/>
        <w:rPr>
          <w:b/>
        </w:rPr>
      </w:pPr>
      <w:r>
        <w:rPr>
          <w:rStyle w:val="Textoennegrita"/>
        </w:rPr>
        <w:t>© </w:t>
      </w:r>
      <w:hyperlink r:id="rId36" w:tgtFrame="_blank" w:history="1">
        <w:r w:rsidRPr="00491864">
          <w:rPr>
            <w:rStyle w:val="Hipervnculo"/>
            <w:bCs/>
            <w:color w:val="auto"/>
          </w:rPr>
          <w:t>GEES</w:t>
        </w:r>
      </w:hyperlink>
      <w:r w:rsidRPr="008944C0">
        <w:rPr>
          <w:rStyle w:val="Textoennegrita"/>
          <w:b w:val="0"/>
        </w:rPr>
        <w:t>, Grupo de Estudios Estratégicos.</w:t>
      </w:r>
    </w:p>
    <w:p w:rsidR="003969F7" w:rsidRPr="003A154E" w:rsidRDefault="003969F7" w:rsidP="003969F7">
      <w:pPr>
        <w:pStyle w:val="NormalWeb"/>
        <w:shd w:val="clear" w:color="auto" w:fill="FFFFFF"/>
        <w:jc w:val="both"/>
        <w:rPr>
          <w:color w:val="000000"/>
        </w:rPr>
      </w:pPr>
      <w:r>
        <w:rPr>
          <w:color w:val="000000"/>
        </w:rPr>
        <w:t xml:space="preserve">- </w:t>
      </w:r>
      <w:r w:rsidRPr="003A154E">
        <w:rPr>
          <w:color w:val="000000"/>
          <w:u w:val="single"/>
        </w:rPr>
        <w:t>La revolución de la clase media</w:t>
      </w:r>
      <w:r>
        <w:rPr>
          <w:color w:val="000000"/>
        </w:rPr>
        <w:t xml:space="preserve"> (The Wall Street Journal - </w:t>
      </w:r>
      <w:r w:rsidRPr="003A154E">
        <w:rPr>
          <w:b/>
          <w:color w:val="000000"/>
        </w:rPr>
        <w:t>3/7/13</w:t>
      </w:r>
      <w:r>
        <w:rPr>
          <w:color w:val="000000"/>
        </w:rPr>
        <w:t>)</w:t>
      </w:r>
    </w:p>
    <w:p w:rsidR="003969F7" w:rsidRDefault="003969F7" w:rsidP="003969F7">
      <w:pPr>
        <w:pStyle w:val="NormalWeb"/>
        <w:shd w:val="clear" w:color="auto" w:fill="FFFFFF"/>
        <w:jc w:val="both"/>
        <w:rPr>
          <w:color w:val="000000"/>
        </w:rPr>
      </w:pPr>
      <w:r>
        <w:rPr>
          <w:color w:val="000000"/>
        </w:rPr>
        <w:t>(Por F</w:t>
      </w:r>
      <w:r w:rsidR="00887DE5">
        <w:rPr>
          <w:color w:val="000000"/>
        </w:rPr>
        <w:t>rancis Fukuyama)</w:t>
      </w:r>
    </w:p>
    <w:p w:rsidR="003969F7" w:rsidRPr="003456BD" w:rsidRDefault="003969F7" w:rsidP="003969F7">
      <w:pPr>
        <w:pStyle w:val="NormalWeb"/>
        <w:shd w:val="clear" w:color="auto" w:fill="FFFFFF"/>
        <w:jc w:val="both"/>
        <w:rPr>
          <w:color w:val="FF0000"/>
          <w:u w:val="single"/>
        </w:rPr>
      </w:pPr>
      <w:r w:rsidRPr="003456BD">
        <w:rPr>
          <w:color w:val="FF0000"/>
          <w:u w:val="single"/>
        </w:rPr>
        <w:t>Durante los últimos diez años, Turquía y Brasil fueron ampliamente celebrados como países con desempeños económicos estelares; mercados emergentes con una creciente influencia en el escenario internacional. Sin embargo, en los últimos tres meses, ambos países se han visto paralizados por enormes protestas que expresan un profundo descontento con el desempeño de sus gobiernos. ¿Qué es lo que está pasando y habrá más países que experimenten convulsiones similares?</w:t>
      </w:r>
    </w:p>
    <w:p w:rsidR="003969F7" w:rsidRPr="003456BD" w:rsidRDefault="003969F7" w:rsidP="003969F7">
      <w:pPr>
        <w:pStyle w:val="NormalWeb"/>
        <w:shd w:val="clear" w:color="auto" w:fill="FFFFFF"/>
        <w:jc w:val="both"/>
        <w:rPr>
          <w:b/>
          <w:color w:val="FF0000"/>
          <w:u w:val="single"/>
        </w:rPr>
      </w:pPr>
      <w:r w:rsidRPr="003456BD">
        <w:rPr>
          <w:b/>
          <w:color w:val="FF0000"/>
          <w:u w:val="single"/>
        </w:rPr>
        <w:t>El tema que conecta estos episodios recientes en Turquía y Brasil, así como con la Primavera Árabe de 2011 y las continuas protestas en China, es el ascenso de una nueva clase media global. Dondequiera que ha surgido, esta clase media moderna causa agitación política, pero rara vez ha podido, por sí misma, provocar un cambio político duradero. Nada de lo que hemos visto últimamente en las calles de Estambul o Rio de Janeiro sugiere que estos casos vayan a ser una excepción.</w:t>
      </w:r>
    </w:p>
    <w:p w:rsidR="003969F7" w:rsidRPr="00F6027C" w:rsidRDefault="003969F7" w:rsidP="003969F7">
      <w:pPr>
        <w:pStyle w:val="NormalWeb"/>
        <w:shd w:val="clear" w:color="auto" w:fill="FFFFFF"/>
        <w:jc w:val="both"/>
        <w:rPr>
          <w:color w:val="000000"/>
          <w:u w:val="single"/>
        </w:rPr>
      </w:pPr>
      <w:r w:rsidRPr="00F6027C">
        <w:rPr>
          <w:color w:val="000000"/>
          <w:u w:val="single"/>
        </w:rPr>
        <w:t>En Turquía y Brasil, así como en Túnez y Egipto antes, las protestas políticas no fueron lideradas por los pobres, sino por los jóvenes con niveles de educación e ingresos mayores al promedio. Dominan la tecnología y usan medios sociales como Facebook FB +0.45%y Twitter para difundir información y organizar protestas. Incluso aquellos que viven en países con sistemas democráticos funcionales, no se sienten representados por la élite política gobernante.</w:t>
      </w:r>
    </w:p>
    <w:p w:rsidR="003969F7" w:rsidRPr="003A154E" w:rsidRDefault="003969F7" w:rsidP="003969F7">
      <w:pPr>
        <w:pStyle w:val="NormalWeb"/>
        <w:shd w:val="clear" w:color="auto" w:fill="FFFFFF"/>
        <w:jc w:val="both"/>
        <w:rPr>
          <w:color w:val="000000"/>
        </w:rPr>
      </w:pPr>
      <w:r w:rsidRPr="00F6027C">
        <w:rPr>
          <w:color w:val="000000"/>
          <w:u w:val="single"/>
        </w:rPr>
        <w:t>En Turquía, se manifiestan en contra de las políticas de desarrollo a cualquier costo y el estilo autoritario del primer ministro Recep Tayyip Erdoğan. En Brasil, se oponen a una élite política muy afianzada y corrupta que se jacta de proyectos glamorosos como el Mundial de Fútbol y los Juegos Olímpicos de Rio pero que no es capaz de brindar servicios básicos de salud y educación</w:t>
      </w:r>
      <w:r w:rsidRPr="003A154E">
        <w:rPr>
          <w:color w:val="000000"/>
        </w:rPr>
        <w:t>. Para ellos, no basta con que la presidenta, Dilma Rousseff, haya sido una activista de izquierda encarcelada por los militares en los años 70 y líder del Partido de los Trabajadores. Desde su punto de vista, el partido se ha visto arrastrado a la</w:t>
      </w:r>
      <w:r w:rsidR="00887DE5">
        <w:rPr>
          <w:color w:val="000000"/>
        </w:rPr>
        <w:t xml:space="preserve"> maraña del “sistema”</w:t>
      </w:r>
      <w:r w:rsidRPr="003A154E">
        <w:rPr>
          <w:color w:val="000000"/>
        </w:rPr>
        <w:t xml:space="preserve"> corrupto, tal como quedó en evidencia con el recient</w:t>
      </w:r>
      <w:r>
        <w:rPr>
          <w:color w:val="000000"/>
        </w:rPr>
        <w:t>e escándalo de compra de votos.</w:t>
      </w:r>
    </w:p>
    <w:p w:rsidR="003969F7" w:rsidRPr="003A154E" w:rsidRDefault="003969F7" w:rsidP="003969F7">
      <w:pPr>
        <w:pStyle w:val="NormalWeb"/>
        <w:shd w:val="clear" w:color="auto" w:fill="FFFFFF"/>
        <w:jc w:val="both"/>
        <w:rPr>
          <w:color w:val="000000"/>
        </w:rPr>
      </w:pPr>
      <w:r w:rsidRPr="00F6027C">
        <w:rPr>
          <w:color w:val="FF0000"/>
          <w:u w:val="single"/>
        </w:rPr>
        <w:t>El mundo de los ne</w:t>
      </w:r>
      <w:r w:rsidR="00887DE5">
        <w:rPr>
          <w:color w:val="FF0000"/>
          <w:u w:val="single"/>
        </w:rPr>
        <w:t>gocios habla del ascenso de la “clase media global”</w:t>
      </w:r>
      <w:r w:rsidRPr="00F6027C">
        <w:rPr>
          <w:color w:val="FF0000"/>
          <w:u w:val="single"/>
        </w:rPr>
        <w:t xml:space="preserve"> desde hace al menos una década.</w:t>
      </w:r>
      <w:r w:rsidRPr="003A154E">
        <w:rPr>
          <w:color w:val="000000"/>
        </w:rPr>
        <w:t xml:space="preserve"> Un in</w:t>
      </w:r>
      <w:r>
        <w:rPr>
          <w:color w:val="000000"/>
        </w:rPr>
        <w:t xml:space="preserve">forme de Goldman Sachs </w:t>
      </w:r>
      <w:r w:rsidRPr="003A154E">
        <w:rPr>
          <w:color w:val="000000"/>
        </w:rPr>
        <w:t>de 2008 definió este grupo como aquellos con ingresos de entre US$</w:t>
      </w:r>
      <w:r w:rsidR="00887DE5">
        <w:rPr>
          <w:color w:val="000000"/>
        </w:rPr>
        <w:t xml:space="preserve"> </w:t>
      </w:r>
      <w:r w:rsidRPr="003A154E">
        <w:rPr>
          <w:color w:val="000000"/>
        </w:rPr>
        <w:t>6.000 y US$</w:t>
      </w:r>
      <w:r w:rsidR="00887DE5">
        <w:rPr>
          <w:color w:val="000000"/>
        </w:rPr>
        <w:t xml:space="preserve"> </w:t>
      </w:r>
      <w:r w:rsidRPr="003A154E">
        <w:rPr>
          <w:color w:val="000000"/>
        </w:rPr>
        <w:t xml:space="preserve">30.000 al año y predijo que crecería hasta sumar </w:t>
      </w:r>
      <w:r w:rsidRPr="00F6027C">
        <w:rPr>
          <w:color w:val="000000"/>
          <w:u w:val="single"/>
        </w:rPr>
        <w:t>2.000 millones de personas para 2030</w:t>
      </w:r>
      <w:r w:rsidRPr="003A154E">
        <w:rPr>
          <w:color w:val="000000"/>
        </w:rPr>
        <w:t xml:space="preserve">. Partiendo de una definición más </w:t>
      </w:r>
      <w:r w:rsidRPr="003A154E">
        <w:rPr>
          <w:color w:val="000000"/>
        </w:rPr>
        <w:lastRenderedPageBreak/>
        <w:t xml:space="preserve">amplia de clase media, un informe del Instituto de la Unión Europea para Estudios de Seguridad de 2012 pronosticó que </w:t>
      </w:r>
      <w:r w:rsidRPr="00F6027C">
        <w:rPr>
          <w:color w:val="000000"/>
          <w:u w:val="single"/>
        </w:rPr>
        <w:t>la cantidad de personas en esa categoría crecería de 1.800 millones en 2009 a 3.200 millones en 2020 y a 4.900 millones en 2030 (sobre una población mundial proyectada de 8.300 millones).</w:t>
      </w:r>
      <w:r w:rsidRPr="003A154E">
        <w:rPr>
          <w:color w:val="000000"/>
        </w:rPr>
        <w:t xml:space="preserve"> </w:t>
      </w:r>
      <w:r w:rsidRPr="00F6027C">
        <w:rPr>
          <w:color w:val="000000"/>
          <w:u w:val="single"/>
        </w:rPr>
        <w:t>La mayor parte de este crecimiento se verá en Asia, especialmente en China e India.</w:t>
      </w:r>
      <w:r w:rsidRPr="003A154E">
        <w:rPr>
          <w:color w:val="000000"/>
        </w:rPr>
        <w:t xml:space="preserve"> Pero todas las regiones del mundo participarán en la tendencia, incluida África, que según el Banco de Desarrollo de África ya tiene una clase media de m</w:t>
      </w:r>
      <w:r>
        <w:rPr>
          <w:color w:val="000000"/>
        </w:rPr>
        <w:t>ás de 300 millones de personas.</w:t>
      </w:r>
    </w:p>
    <w:p w:rsidR="003969F7" w:rsidRPr="00F6027C" w:rsidRDefault="003969F7" w:rsidP="003969F7">
      <w:pPr>
        <w:pStyle w:val="NormalWeb"/>
        <w:shd w:val="clear" w:color="auto" w:fill="FFFFFF"/>
        <w:jc w:val="both"/>
        <w:rPr>
          <w:color w:val="000000"/>
          <w:u w:val="single"/>
        </w:rPr>
      </w:pPr>
      <w:r w:rsidRPr="00F6027C">
        <w:rPr>
          <w:color w:val="FF0000"/>
          <w:u w:val="single"/>
        </w:rPr>
        <w:t>A las empresas se les hace la boca agua ante la promesa de esta clase media emergente porque representa una amplia base de consumidores nuevos</w:t>
      </w:r>
      <w:r w:rsidRPr="003A154E">
        <w:rPr>
          <w:color w:val="000000"/>
        </w:rPr>
        <w:t xml:space="preserve">. Economistas y analistas tienden a definir el estatus de clase media sólo en términos monetarios. Pero se define mejor por la educación, la ocupación y la propiedad de activos, que son mucho más consecuentes a la hora de predecir el comportamiento político. </w:t>
      </w:r>
      <w:r w:rsidRPr="00F6027C">
        <w:rPr>
          <w:color w:val="000000"/>
          <w:u w:val="single"/>
        </w:rPr>
        <w:t>Varios estudios transnacionales, incluyendo recientes encuestas del centro de estudios Pew y datos de la Universidad de Michigan, muestran que los niveles de educación más altos se correlacionan con que las personas adjudiquen mayor importancia a conceptos como la democracia, la libertad individual y la tolerancia a formas de vida alternativas. La clase media ya no quiere solo tener seguridad sino también opciones y oportunidades. Es más probable que opten por la acción si la sociedad no logra cumplir con sus expectativas de mejoras económicas y sociales, que crecen con rapidez.</w:t>
      </w:r>
    </w:p>
    <w:p w:rsidR="003969F7" w:rsidRPr="003A154E" w:rsidRDefault="003969F7" w:rsidP="003969F7">
      <w:pPr>
        <w:pStyle w:val="NormalWeb"/>
        <w:shd w:val="clear" w:color="auto" w:fill="FFFFFF"/>
        <w:jc w:val="both"/>
        <w:rPr>
          <w:color w:val="000000"/>
        </w:rPr>
      </w:pPr>
      <w:r>
        <w:rPr>
          <w:color w:val="000000"/>
        </w:rPr>
        <w:t xml:space="preserve">Divisiones internas </w:t>
      </w:r>
    </w:p>
    <w:p w:rsidR="003969F7" w:rsidRPr="00F6027C" w:rsidRDefault="003969F7" w:rsidP="003969F7">
      <w:pPr>
        <w:pStyle w:val="NormalWeb"/>
        <w:shd w:val="clear" w:color="auto" w:fill="FFFFFF"/>
        <w:jc w:val="both"/>
        <w:rPr>
          <w:color w:val="FF0000"/>
          <w:u w:val="single"/>
        </w:rPr>
      </w:pPr>
      <w:r w:rsidRPr="00F6027C">
        <w:rPr>
          <w:color w:val="FF0000"/>
          <w:u w:val="single"/>
        </w:rPr>
        <w:t>Mientras las protestas, los levantamientos y, ocasionalmente, las revoluciones suelen ser encabezadas por los miembros recién llegados de la clase media, no suelen lograr por sí solos cambios políticos a largo plazo. Esto se debe a que la clase media rara vez representa más que una minoría de la sociedad en los países en desarrollo y está dividida internamente. Si no pueden formar una coalición con otras partes de la sociedad, sus movimientos no suelen producir cambios políticos duraderos.</w:t>
      </w:r>
    </w:p>
    <w:p w:rsidR="003969F7" w:rsidRPr="003A154E" w:rsidRDefault="003969F7" w:rsidP="003969F7">
      <w:pPr>
        <w:pStyle w:val="NormalWeb"/>
        <w:shd w:val="clear" w:color="auto" w:fill="FFFFFF"/>
        <w:jc w:val="both"/>
        <w:rPr>
          <w:color w:val="000000"/>
        </w:rPr>
      </w:pPr>
      <w:r w:rsidRPr="003A154E">
        <w:rPr>
          <w:color w:val="000000"/>
        </w:rPr>
        <w:t>Por eso, los jóvenes manifestantes en Túnez y en la Plaza Tahrir, en El Cairo, a pesar de haber derrocado a sus respectivos dictadores, no lograron organizarse para formar partidos políticos capaces de participar en las elecciones nacionales. Especialmente los estudiantes no tienen ni idea de cómo llevar su mensaje a la clase trabajadora y los pobres para crear una amplia coalición política.</w:t>
      </w:r>
    </w:p>
    <w:p w:rsidR="003969F7" w:rsidRPr="00F6027C" w:rsidRDefault="003969F7" w:rsidP="003969F7">
      <w:pPr>
        <w:pStyle w:val="NormalWeb"/>
        <w:shd w:val="clear" w:color="auto" w:fill="FFFFFF"/>
        <w:jc w:val="both"/>
        <w:rPr>
          <w:color w:val="000000"/>
          <w:u w:val="single"/>
        </w:rPr>
      </w:pPr>
      <w:r w:rsidRPr="00F6027C">
        <w:rPr>
          <w:color w:val="000000"/>
          <w:u w:val="single"/>
        </w:rPr>
        <w:t>En Turquía, el primer ministro Erdoğan sigue siendo popular fuera de las zonas urbanas. La clase media turca, en cambio, está dividida. El notable crecimiento económico del país en la última década ha sido impulsado en gran parte por una nueva clase media religiosa y muy emprendedora que ha apoyado con énfasis el partido de Erdoğan.</w:t>
      </w:r>
    </w:p>
    <w:p w:rsidR="003969F7" w:rsidRDefault="003969F7" w:rsidP="003969F7">
      <w:pPr>
        <w:pStyle w:val="NormalWeb"/>
        <w:shd w:val="clear" w:color="auto" w:fill="FFFFFF"/>
        <w:jc w:val="both"/>
        <w:rPr>
          <w:color w:val="000000"/>
          <w:u w:val="single"/>
        </w:rPr>
      </w:pPr>
      <w:r w:rsidRPr="00F6027C">
        <w:rPr>
          <w:color w:val="000000"/>
          <w:u w:val="single"/>
        </w:rPr>
        <w:t>Este grupo social trabaja duro y ahorra su dinero. Exhiben muchas de las virtudes que el sociólogo Max Weber asociaba con la ética del Cristianismo Puritano de la era moderna de Europa, que según él, fue la base para el desarrollo capitalista. En cambio, los manifestantes urbanos en Turquía son más laicos y están conectados con los valores modernistas de sus pares en Europa y Estados Unidos. Este grupo no sólo enfrenta la represión de los instintos autoritarios del primer ministro, sino también las dificultades para establecer lazos con otras clases sociales.</w:t>
      </w:r>
    </w:p>
    <w:p w:rsidR="00887DE5" w:rsidRPr="00F6027C" w:rsidRDefault="00887DE5" w:rsidP="003969F7">
      <w:pPr>
        <w:pStyle w:val="NormalWeb"/>
        <w:shd w:val="clear" w:color="auto" w:fill="FFFFFF"/>
        <w:jc w:val="both"/>
        <w:rPr>
          <w:color w:val="000000"/>
          <w:u w:val="single"/>
        </w:rPr>
      </w:pPr>
    </w:p>
    <w:p w:rsidR="003969F7" w:rsidRPr="003A154E" w:rsidRDefault="003969F7" w:rsidP="003969F7">
      <w:pPr>
        <w:pStyle w:val="NormalWeb"/>
        <w:shd w:val="clear" w:color="auto" w:fill="FFFFFF"/>
        <w:jc w:val="both"/>
        <w:rPr>
          <w:color w:val="000000"/>
        </w:rPr>
      </w:pPr>
      <w:r>
        <w:rPr>
          <w:color w:val="000000"/>
        </w:rPr>
        <w:lastRenderedPageBreak/>
        <w:t xml:space="preserve">Brasil es diferente </w:t>
      </w:r>
    </w:p>
    <w:p w:rsidR="003969F7" w:rsidRPr="00F6027C" w:rsidRDefault="003969F7" w:rsidP="003969F7">
      <w:pPr>
        <w:pStyle w:val="NormalWeb"/>
        <w:shd w:val="clear" w:color="auto" w:fill="FFFFFF"/>
        <w:jc w:val="both"/>
        <w:rPr>
          <w:color w:val="000000"/>
          <w:u w:val="single"/>
        </w:rPr>
      </w:pPr>
      <w:r w:rsidRPr="00F6027C">
        <w:rPr>
          <w:color w:val="000000"/>
          <w:u w:val="single"/>
        </w:rPr>
        <w:t>La situación en Brasil es bastante distinta. Allí los manifestantes no enfrentarán una dura represión del gobierno. Más bien, el desafío será evitar ser cooptados a largo plazo por el sistema. El estatus de clase media no significa que un individuo apoya automáticamente la democracia o un gobierno transparente. De hecho, una gran parte de la clase media de edad más avanzada era empleada por el sector público, donde dependía de las políticas clientelistas y el control estatal de la economía. Estas clases medias, así como las de países asiáticos como Tailandia y China, han respaldado gobiernos autoritarios cuando parecía que era la mejor manera de asegurar su futuro económico.</w:t>
      </w:r>
    </w:p>
    <w:p w:rsidR="003969F7" w:rsidRPr="00F6027C" w:rsidRDefault="003969F7" w:rsidP="003969F7">
      <w:pPr>
        <w:pStyle w:val="NormalWeb"/>
        <w:shd w:val="clear" w:color="auto" w:fill="FFFFFF"/>
        <w:jc w:val="both"/>
        <w:rPr>
          <w:color w:val="000000"/>
          <w:u w:val="single"/>
        </w:rPr>
      </w:pPr>
      <w:r w:rsidRPr="00F6027C">
        <w:rPr>
          <w:color w:val="000000"/>
          <w:u w:val="single"/>
        </w:rPr>
        <w:t>El reciente crecimiento económico de Brasil produjo una clase media distinta y más emprendedora, afianzada en el sector privado. Pero este grupo podría seguir su propio interés económico en dos direcciones. Por un lado, podría ser la base de una coalición de clase media que busca una reforma integral del sistema político brasileño, presionando para que los políticos corruptos rindan cuentas y para que se cambien las normas para dar lugar a mejores políticas. Por otro lado, los miembros de la clase media urbana podrían disipar sus energías en distracciones como políticas de identidad o ser cooptados individualmente por un sistema que ofrece grandes recompensas a quienes aprenden a jugar dentro del sistema.</w:t>
      </w:r>
    </w:p>
    <w:p w:rsidR="003969F7" w:rsidRPr="003A154E" w:rsidRDefault="003969F7" w:rsidP="003969F7">
      <w:pPr>
        <w:pStyle w:val="NormalWeb"/>
        <w:shd w:val="clear" w:color="auto" w:fill="FFFFFF"/>
        <w:jc w:val="both"/>
        <w:rPr>
          <w:color w:val="000000"/>
        </w:rPr>
      </w:pPr>
      <w:r w:rsidRPr="003A154E">
        <w:rPr>
          <w:color w:val="000000"/>
        </w:rPr>
        <w:t>No hay garantías de que Brasil siga el camino reformista tras las protestas. Mucho dependerá del liderazgo. Rousseff dispone de una enorme oportunidad para usar las manifestaciones como una plataforma para lanzar una reforma sistémica mucho más ambiciosa. Hasta ahora ha sido muy cuidadosa en su intento de desafiar el sistema establecido, frenada por las limitaciones de su propio p</w:t>
      </w:r>
      <w:r>
        <w:rPr>
          <w:color w:val="000000"/>
        </w:rPr>
        <w:t>artido y la coalición política.</w:t>
      </w:r>
    </w:p>
    <w:p w:rsidR="003969F7" w:rsidRPr="00F6027C" w:rsidRDefault="003969F7" w:rsidP="003969F7">
      <w:pPr>
        <w:pStyle w:val="NormalWeb"/>
        <w:shd w:val="clear" w:color="auto" w:fill="FFFFFF"/>
        <w:jc w:val="both"/>
        <w:rPr>
          <w:color w:val="FF0000"/>
          <w:u w:val="single"/>
        </w:rPr>
      </w:pPr>
      <w:r w:rsidRPr="00F6027C">
        <w:rPr>
          <w:color w:val="FF0000"/>
          <w:u w:val="single"/>
        </w:rPr>
        <w:t>El crecimiento económico global que se ha producido desde los años 70 alteró los estratos sociales en todo el mundo. Las clases medias en los llamados "mercados emergentes" son más grandes, ricas, mejor educadas y están más conectadas tecnológicamente que nunca.</w:t>
      </w:r>
    </w:p>
    <w:p w:rsidR="003969F7" w:rsidRPr="00F6027C" w:rsidRDefault="003969F7" w:rsidP="003969F7">
      <w:pPr>
        <w:pStyle w:val="NormalWeb"/>
        <w:shd w:val="clear" w:color="auto" w:fill="FFFFFF"/>
        <w:jc w:val="both"/>
        <w:rPr>
          <w:color w:val="000000"/>
          <w:u w:val="single"/>
        </w:rPr>
      </w:pPr>
      <w:r w:rsidRPr="00F6027C">
        <w:rPr>
          <w:color w:val="000000"/>
          <w:u w:val="single"/>
        </w:rPr>
        <w:t>Esto tiene grandes implicaciones para China, cuya clase media ahora asciende a cientos de millones y constituye quizás un tercio del total de su población. Quieren una sociedad más libre, aunque no está claro que necesariamente deseen una democracia con voto individual a corto plazo.</w:t>
      </w:r>
    </w:p>
    <w:p w:rsidR="003969F7" w:rsidRPr="00F6027C" w:rsidRDefault="003969F7" w:rsidP="003969F7">
      <w:pPr>
        <w:pStyle w:val="NormalWeb"/>
        <w:shd w:val="clear" w:color="auto" w:fill="FFFFFF"/>
        <w:jc w:val="both"/>
        <w:rPr>
          <w:color w:val="000000"/>
          <w:u w:val="single"/>
        </w:rPr>
      </w:pPr>
      <w:r w:rsidRPr="00F6027C">
        <w:rPr>
          <w:color w:val="000000"/>
          <w:u w:val="single"/>
        </w:rPr>
        <w:t>Este grupo se encontrará bajo una mayor presión en la próxima década, a medida que China pasa apuros para pasar del estatus de ingreso medio a alto</w:t>
      </w:r>
      <w:r w:rsidRPr="003A154E">
        <w:rPr>
          <w:color w:val="000000"/>
        </w:rPr>
        <w:t xml:space="preserve">. El crecimiento económico ya ha dado muestras de debilitarse en los últimos dos años y es inevitable que sea más modesto conforme madura su economía. </w:t>
      </w:r>
      <w:r w:rsidRPr="00F6027C">
        <w:rPr>
          <w:color w:val="000000"/>
          <w:u w:val="single"/>
        </w:rPr>
        <w:t>La potencia industrial que el régimen ha creado desde 1978 ya no servirá para satisfacer las aspiraciones de su población. China ya produce unos seis a siete millones de graduados universitarios al año, cuyas perspectivas laborales son más sombrías que las de sus padres de la clase trabajadora. La brecha entre las expectativas que crecen con rapidez y la realidad decepcionante nunca fue tan amenazante como ahora y podría tener amplias consecuencias para la estabilidad del país.</w:t>
      </w:r>
    </w:p>
    <w:p w:rsidR="003969F7" w:rsidRPr="00F6027C" w:rsidRDefault="003969F7" w:rsidP="003969F7">
      <w:pPr>
        <w:pStyle w:val="NormalWeb"/>
        <w:shd w:val="clear" w:color="auto" w:fill="FFFFFF"/>
        <w:jc w:val="both"/>
        <w:rPr>
          <w:color w:val="FF0000"/>
          <w:u w:val="single"/>
        </w:rPr>
      </w:pPr>
      <w:r w:rsidRPr="00F6027C">
        <w:rPr>
          <w:color w:val="FF0000"/>
          <w:u w:val="single"/>
        </w:rPr>
        <w:lastRenderedPageBreak/>
        <w:t xml:space="preserve">Allí, como en otras partes del mundo en desarrollo, el ascenso de una nueva clase media pone de manifiesto el fenómeno descrito por el venezolano </w:t>
      </w:r>
      <w:r w:rsidR="00C853E5" w:rsidRPr="00F6027C">
        <w:rPr>
          <w:color w:val="FF0000"/>
          <w:u w:val="single"/>
        </w:rPr>
        <w:t>Moisés</w:t>
      </w:r>
      <w:r w:rsidRPr="00F6027C">
        <w:rPr>
          <w:color w:val="FF0000"/>
          <w:u w:val="single"/>
        </w:rPr>
        <w:t xml:space="preserve"> Naím </w:t>
      </w:r>
      <w:r w:rsidR="00887DE5">
        <w:rPr>
          <w:color w:val="FF0000"/>
          <w:u w:val="single"/>
        </w:rPr>
        <w:t>del Carnegie Endowment como el “</w:t>
      </w:r>
      <w:r w:rsidRPr="00F6027C">
        <w:rPr>
          <w:color w:val="FF0000"/>
          <w:u w:val="single"/>
        </w:rPr>
        <w:t xml:space="preserve">fin del </w:t>
      </w:r>
      <w:r w:rsidR="00887DE5">
        <w:rPr>
          <w:color w:val="FF0000"/>
          <w:u w:val="single"/>
        </w:rPr>
        <w:t>poder”</w:t>
      </w:r>
      <w:r w:rsidRPr="00F6027C">
        <w:rPr>
          <w:color w:val="FF0000"/>
          <w:u w:val="single"/>
        </w:rPr>
        <w:t>. Las clases medias estuvieron en la primera línea de la oposición a los abusos de poder, independientemente de que fueran cometidos por regímenes autoritarios o democráticos. El desafío para ellos es convertir sus movimientos de protesta en cambios políticos duraderos, expresados en la forma de nuevas instituciones y políticas. En América Latina, Chile ha tenido un excelente desempeño económico y democrático, pero en los últimos años hubo una explosión de manifestaciones estudiantiles que señalaron las fallas de su sistema de educación pública.</w:t>
      </w:r>
    </w:p>
    <w:p w:rsidR="003969F7" w:rsidRPr="00F6027C" w:rsidRDefault="003969F7" w:rsidP="003969F7">
      <w:pPr>
        <w:pStyle w:val="NormalWeb"/>
        <w:shd w:val="clear" w:color="auto" w:fill="FFFFFF"/>
        <w:jc w:val="both"/>
        <w:rPr>
          <w:color w:val="FF0000"/>
          <w:u w:val="single"/>
        </w:rPr>
      </w:pPr>
      <w:r w:rsidRPr="00F6027C">
        <w:rPr>
          <w:color w:val="FF0000"/>
          <w:u w:val="single"/>
        </w:rPr>
        <w:t>La nueva clase media no representa sólo un reto para los regímenes autoritarios o las democracias nuevas. Ninguna democracia establecida debería creer que se puede dormir en los laureles, simplemente porque lleva a cabo elecciones y cuenta con líderes populares en las encuestas. La clase media impulsada por la tecnología exigirá mucho de sus políticos en todos lados.</w:t>
      </w:r>
    </w:p>
    <w:p w:rsidR="003969F7" w:rsidRPr="00F6027C" w:rsidRDefault="00887DE5" w:rsidP="003969F7">
      <w:pPr>
        <w:pStyle w:val="NormalWeb"/>
        <w:shd w:val="clear" w:color="auto" w:fill="FFFFFF"/>
        <w:jc w:val="both"/>
        <w:rPr>
          <w:b/>
          <w:color w:val="FF0000"/>
          <w:u w:val="single"/>
        </w:rPr>
      </w:pPr>
      <w:r>
        <w:rPr>
          <w:color w:val="000000"/>
        </w:rPr>
        <w:t>EEUU</w:t>
      </w:r>
      <w:r w:rsidR="003969F7" w:rsidRPr="003A154E">
        <w:rPr>
          <w:color w:val="000000"/>
        </w:rPr>
        <w:t xml:space="preserve"> y Europa atraviesan un crecimiento débil y un desempleo alto, que en países como España alcanza el 50%. </w:t>
      </w:r>
      <w:r w:rsidR="003969F7" w:rsidRPr="00F6027C">
        <w:rPr>
          <w:b/>
          <w:color w:val="FF0000"/>
          <w:u w:val="single"/>
        </w:rPr>
        <w:t>En el mundo desarrollado, la generación mayor le ha fallado a la más joven al cargarla con pesadas deudas. Ningún político de EE.UU. o Europa debería pensar que está a salvo de lo que está sucediendo en las calles de Estambul o São Paulo.</w:t>
      </w:r>
    </w:p>
    <w:p w:rsidR="003969F7" w:rsidRDefault="003969F7" w:rsidP="003969F7">
      <w:pPr>
        <w:pStyle w:val="NormalWeb"/>
        <w:shd w:val="clear" w:color="auto" w:fill="FFFFFF"/>
        <w:jc w:val="both"/>
        <w:rPr>
          <w:color w:val="000000"/>
        </w:rPr>
      </w:pPr>
      <w:r>
        <w:rPr>
          <w:color w:val="000000"/>
        </w:rPr>
        <w:t>(</w:t>
      </w:r>
      <w:r w:rsidRPr="003A154E">
        <w:rPr>
          <w:color w:val="000000"/>
        </w:rPr>
        <w:t>Fukuyama es investigador sénior del Instituto de Estudios Internacionales Freeman Spogli, de la Universidad de</w:t>
      </w:r>
      <w:r w:rsidR="00887DE5">
        <w:rPr>
          <w:color w:val="000000"/>
        </w:rPr>
        <w:t xml:space="preserve"> Stanford. También es autor de “</w:t>
      </w:r>
      <w:r w:rsidRPr="003A154E">
        <w:rPr>
          <w:color w:val="000000"/>
        </w:rPr>
        <w:t>Los orígenes del orden político: Desde tiempos pre-humano</w:t>
      </w:r>
      <w:r w:rsidR="00887DE5">
        <w:rPr>
          <w:color w:val="000000"/>
        </w:rPr>
        <w:t>s hasta la Revolución Francesa”</w:t>
      </w:r>
      <w:r>
        <w:rPr>
          <w:color w:val="000000"/>
        </w:rPr>
        <w:t>)</w:t>
      </w:r>
    </w:p>
    <w:p w:rsidR="003969F7" w:rsidRPr="007B1757" w:rsidRDefault="003969F7" w:rsidP="003969F7">
      <w:pPr>
        <w:pStyle w:val="NormalWeb"/>
        <w:jc w:val="both"/>
        <w:rPr>
          <w:lang w:val="en-US"/>
        </w:rPr>
      </w:pPr>
      <w:r w:rsidRPr="00627822">
        <w:t xml:space="preserve">- </w:t>
      </w:r>
      <w:r w:rsidRPr="00627822">
        <w:rPr>
          <w:u w:val="single"/>
        </w:rPr>
        <w:t>¿Podrá Turquía capear el temporal de Oriente Próximo?</w:t>
      </w:r>
      <w:r>
        <w:t xml:space="preserve"> </w:t>
      </w:r>
      <w:r w:rsidRPr="007B1757">
        <w:rPr>
          <w:lang w:val="en-US"/>
        </w:rPr>
        <w:t xml:space="preserve">(Project Syndicate - </w:t>
      </w:r>
      <w:r w:rsidRPr="007B1757">
        <w:rPr>
          <w:b/>
          <w:lang w:val="en-US"/>
        </w:rPr>
        <w:t>17/8/13</w:t>
      </w:r>
      <w:r w:rsidRPr="007B1757">
        <w:rPr>
          <w:lang w:val="en-US"/>
        </w:rPr>
        <w:t>)</w:t>
      </w:r>
      <w:r w:rsidRPr="007B1757">
        <w:rPr>
          <w:lang w:val="en-US"/>
        </w:rPr>
        <w:tab/>
      </w:r>
    </w:p>
    <w:p w:rsidR="003969F7" w:rsidRPr="007B1757" w:rsidRDefault="003969F7" w:rsidP="003969F7">
      <w:pPr>
        <w:pStyle w:val="NormalWeb"/>
        <w:jc w:val="both"/>
        <w:rPr>
          <w:lang w:val="en-US"/>
        </w:rPr>
      </w:pPr>
      <w:r w:rsidRPr="007B1757">
        <w:rPr>
          <w:lang w:val="en-US"/>
        </w:rPr>
        <w:t xml:space="preserve">(Por </w:t>
      </w:r>
      <w:r w:rsidRPr="00627822">
        <w:rPr>
          <w:lang w:val="en-US"/>
        </w:rPr>
        <w:t>Kemal Derviş</w:t>
      </w:r>
      <w:r>
        <w:rPr>
          <w:lang w:val="en-US"/>
        </w:rPr>
        <w:t>)</w:t>
      </w:r>
    </w:p>
    <w:p w:rsidR="003969F7" w:rsidRPr="003E38E5" w:rsidRDefault="00887DE5" w:rsidP="003969F7">
      <w:pPr>
        <w:pStyle w:val="NormalWeb"/>
        <w:jc w:val="both"/>
        <w:rPr>
          <w:color w:val="FF0000"/>
          <w:u w:val="single"/>
        </w:rPr>
      </w:pPr>
      <w:r>
        <w:t>Estambul.-</w:t>
      </w:r>
      <w:r w:rsidR="003969F7" w:rsidRPr="00627822">
        <w:t xml:space="preserve"> </w:t>
      </w:r>
      <w:r w:rsidR="003969F7" w:rsidRPr="003E38E5">
        <w:rPr>
          <w:color w:val="FF0000"/>
          <w:u w:val="single"/>
        </w:rPr>
        <w:t>Gran parte de Oriente Próximo ha quedado atrapada en un ciclo de terrible violencia, cuyo centro pasó de Irak (donde últimamente ha vuelto a agravarse la lucha sectaria) a Siria, pero que también incluye a Egipto, Yemen, Libia y Túnez. Más al este, Afganistán sufre su segunda década de conflicto violento, mientras Pakistán parece estar crónicamente al borde de la guerra, la guerra civil o la desintegración social.</w:t>
      </w:r>
    </w:p>
    <w:p w:rsidR="003969F7" w:rsidRPr="00627822" w:rsidRDefault="003969F7" w:rsidP="003969F7">
      <w:pPr>
        <w:pStyle w:val="NormalWeb"/>
        <w:jc w:val="both"/>
      </w:pPr>
      <w:r w:rsidRPr="003E38E5">
        <w:rPr>
          <w:u w:val="single"/>
        </w:rPr>
        <w:t>La amenaza subyacente más preocupante es el incremento de los combates entre musulmanes sunnitas y shiítas</w:t>
      </w:r>
      <w:r w:rsidRPr="00627822">
        <w:t xml:space="preserve">. Al mismo tiempo, los conservadores devotos y la juventud secular de orientación liberal e izquierdista, que en 2010 y 2011 unieron fuerzas en El Cairo y Túnez para desafiar a los dictadores, ahora se han enfrentado: basta ver las horrorosas masacres perpetradas hace poco en El Cairo por las fuerzas de seguridad egipcias contra manifestantes islamistas, después de un golpe militar que tuvo el apoyo de los liberales. </w:t>
      </w:r>
      <w:r w:rsidRPr="003E38E5">
        <w:rPr>
          <w:u w:val="single"/>
        </w:rPr>
        <w:t>Los pueblos de la región están derivando hacia campos enemigos y al hacerlo profundizan las heridas abiertas en sus sociedades</w:t>
      </w:r>
      <w:r>
        <w:t>.</w:t>
      </w:r>
    </w:p>
    <w:p w:rsidR="003969F7" w:rsidRPr="003E38E5" w:rsidRDefault="003969F7" w:rsidP="003969F7">
      <w:pPr>
        <w:pStyle w:val="NormalWeb"/>
        <w:jc w:val="both"/>
        <w:rPr>
          <w:color w:val="FF0000"/>
          <w:u w:val="single"/>
        </w:rPr>
      </w:pPr>
      <w:r w:rsidRPr="003E38E5">
        <w:rPr>
          <w:color w:val="FF0000"/>
          <w:u w:val="single"/>
        </w:rPr>
        <w:t>Muchas veces dije que Turquía no debería intervenir en los asuntos internos de sus vecinos ni adoptar una política centrada en Oriente Próximo. Tanto el gobierno como la oposición deberían mantener la vista firme en Europa, a pesar de los obstáculos que la Unión Europea opuso a Turquía durante las negociaciones de ingreso.</w:t>
      </w:r>
    </w:p>
    <w:p w:rsidR="003969F7" w:rsidRPr="003E38E5" w:rsidRDefault="003969F7" w:rsidP="003969F7">
      <w:pPr>
        <w:pStyle w:val="NormalWeb"/>
        <w:jc w:val="both"/>
        <w:rPr>
          <w:u w:val="single"/>
        </w:rPr>
      </w:pPr>
      <w:r w:rsidRPr="003E38E5">
        <w:rPr>
          <w:u w:val="single"/>
        </w:rPr>
        <w:lastRenderedPageBreak/>
        <w:t>Pero Turquía no puede permanecer indiferente a la tragedia en la que sus vecinos del sur están inmersos</w:t>
      </w:r>
      <w:r w:rsidRPr="00627822">
        <w:t xml:space="preserve">. El sufrimiento del mundo árabe también se hace sentir con mucha fuerza en Turquía, por los lazos históricos, religiosos y emocionales que la unen con aquellos países. </w:t>
      </w:r>
      <w:r w:rsidRPr="003E38E5">
        <w:rPr>
          <w:u w:val="single"/>
        </w:rPr>
        <w:t>Además, los vínculos económicos y la mera proximidad implican que la prosperidad de Turquía depende, al menos hasta cierto punto, de la de Oriente Próximo.</w:t>
      </w:r>
    </w:p>
    <w:p w:rsidR="003969F7" w:rsidRPr="003E38E5" w:rsidRDefault="003969F7" w:rsidP="003969F7">
      <w:pPr>
        <w:pStyle w:val="NormalWeb"/>
        <w:jc w:val="both"/>
        <w:rPr>
          <w:u w:val="single"/>
        </w:rPr>
      </w:pPr>
      <w:r w:rsidRPr="00627822">
        <w:t xml:space="preserve">En años recientes se esperaba que Turquía sirviera como modelo de economía exitosa y democracia en buen funcionamiento, pero los últimos acontecimientos han generado dudas. En la práctica, para mantener el éxito económico, consolidar la democracia y ser un ejemplo convincente para otros países, </w:t>
      </w:r>
      <w:r w:rsidRPr="003E38E5">
        <w:rPr>
          <w:u w:val="single"/>
        </w:rPr>
        <w:t>Turquía debe superar cuatro fuentes de tensión interna.</w:t>
      </w:r>
    </w:p>
    <w:p w:rsidR="003969F7" w:rsidRPr="003E38E5" w:rsidRDefault="003969F7" w:rsidP="003969F7">
      <w:pPr>
        <w:pStyle w:val="NormalWeb"/>
        <w:jc w:val="both"/>
        <w:rPr>
          <w:u w:val="single"/>
        </w:rPr>
      </w:pPr>
      <w:r w:rsidRPr="003E38E5">
        <w:rPr>
          <w:u w:val="single"/>
        </w:rPr>
        <w:t>La primera fuente de tensión (y la más grave) se origina en la necesidad de reconocer la identidad kurda como parte plenamente legítima de la República de Turquía</w:t>
      </w:r>
      <w:r w:rsidRPr="00627822">
        <w:t xml:space="preserve">. Aquellos que deseen expresar una identidad kurda, lo mismo que cualquier otro ciudadano, necesitan confiar en que, sin dejar de mantener un compromiso colectivo con la unidad nacional, </w:t>
      </w:r>
      <w:r w:rsidRPr="003E38E5">
        <w:rPr>
          <w:u w:val="single"/>
        </w:rPr>
        <w:t>Turquía es un país donde hay espacio para la diversidad.</w:t>
      </w:r>
    </w:p>
    <w:p w:rsidR="003969F7" w:rsidRPr="003E38E5" w:rsidRDefault="003969F7" w:rsidP="003969F7">
      <w:pPr>
        <w:pStyle w:val="NormalWeb"/>
        <w:jc w:val="both"/>
        <w:rPr>
          <w:u w:val="single"/>
        </w:rPr>
      </w:pPr>
      <w:r w:rsidRPr="003E38E5">
        <w:rPr>
          <w:u w:val="single"/>
        </w:rPr>
        <w:t xml:space="preserve">En segundo lugar, persiste una tensión histórica entre la numerosa mayoría sunnita y la minoría aleví-bektashi, vagamente emparentada con el Islam shiíta.  </w:t>
      </w:r>
    </w:p>
    <w:p w:rsidR="003969F7" w:rsidRPr="003E38E5" w:rsidRDefault="003969F7" w:rsidP="003969F7">
      <w:pPr>
        <w:pStyle w:val="NormalWeb"/>
        <w:jc w:val="both"/>
        <w:rPr>
          <w:u w:val="single"/>
        </w:rPr>
      </w:pPr>
      <w:r w:rsidRPr="003E38E5">
        <w:rPr>
          <w:u w:val="single"/>
        </w:rPr>
        <w:t>En tercer lugar, está la diferencia entre los que adhieren a la tradición del Islam político y los que sostienen el estricto secularismo que la república trajo consigo. A menudo, esta “divisoria” social se mezcla con la separación entre sunnitas y alevíes, ya que estos últimos se han ido alineando cada vez más con la izquierda política.</w:t>
      </w:r>
    </w:p>
    <w:p w:rsidR="003969F7" w:rsidRPr="003E38E5" w:rsidRDefault="003969F7" w:rsidP="003969F7">
      <w:pPr>
        <w:pStyle w:val="NormalWeb"/>
        <w:jc w:val="both"/>
        <w:rPr>
          <w:u w:val="single"/>
        </w:rPr>
      </w:pPr>
      <w:r w:rsidRPr="003E38E5">
        <w:rPr>
          <w:u w:val="single"/>
        </w:rPr>
        <w:t>Por último, dentro de la administración pública hay señales cada vez más evidentes de partidismo</w:t>
      </w:r>
      <w:r w:rsidRPr="00627822">
        <w:t xml:space="preserve">. Uno de los pilares del programa de reformas de 2001 y 2002 había sido la creación de organismos reguladores independientes y no partidistas, pero hace poco estas reformas se revirtieron, y las autoridades reguladoras independientes volvieron a quedar bajo control de los ministerios del gobierno (aunque el banco central aparentemente conservó gran parte de su autonomía). </w:t>
      </w:r>
      <w:r w:rsidRPr="003E38E5">
        <w:rPr>
          <w:u w:val="single"/>
        </w:rPr>
        <w:t>Al disminuir la percepción de independencia partidaria en la administración pública, la proximidad con el poder se ha vuelto otra fuente de tensión.</w:t>
      </w:r>
    </w:p>
    <w:p w:rsidR="003969F7" w:rsidRPr="003E38E5" w:rsidRDefault="003969F7" w:rsidP="003969F7">
      <w:pPr>
        <w:pStyle w:val="NormalWeb"/>
        <w:jc w:val="both"/>
        <w:rPr>
          <w:u w:val="single"/>
        </w:rPr>
      </w:pPr>
      <w:r w:rsidRPr="003E38E5">
        <w:rPr>
          <w:u w:val="single"/>
        </w:rPr>
        <w:t>Turquía cuenta a su favor con reflejos y valores republicanos formados a lo largo de varias décadas, además de una sabiduría humanista que hunde sus raíces en siglos de historia. Sin embargo, en vista del contexto regional, las tensiones internas de Turquía ahora representan una amenaza seria.</w:t>
      </w:r>
    </w:p>
    <w:p w:rsidR="003969F7" w:rsidRPr="003E38E5" w:rsidRDefault="003969F7" w:rsidP="003969F7">
      <w:pPr>
        <w:pStyle w:val="NormalWeb"/>
        <w:jc w:val="both"/>
        <w:rPr>
          <w:u w:val="single"/>
        </w:rPr>
      </w:pPr>
      <w:r w:rsidRPr="00627822">
        <w:t xml:space="preserve">Todas las partes deben controlar estas tensiones con mucho cuidado y prudencia. El respeto por la diversidad y la libertad individual, así como la preocupación por generar crecimiento y empleo en una atmósfera de paz social, deben ser principios rectores. </w:t>
      </w:r>
      <w:r w:rsidRPr="003E38E5">
        <w:rPr>
          <w:u w:val="single"/>
        </w:rPr>
        <w:t>La consigna del momento debe ser curar las heridas (que todas las partes ayudaron a abrir en uno u otro momento) y ejercitar el perdón. No debe permitirse el desarrollo de una espiral de frustración y antagonismo.</w:t>
      </w:r>
    </w:p>
    <w:p w:rsidR="003969F7" w:rsidRPr="00AB006F" w:rsidRDefault="003969F7" w:rsidP="003969F7">
      <w:pPr>
        <w:pStyle w:val="NormalWeb"/>
        <w:jc w:val="both"/>
        <w:rPr>
          <w:u w:val="single"/>
        </w:rPr>
      </w:pPr>
      <w:r w:rsidRPr="00AB006F">
        <w:rPr>
          <w:u w:val="single"/>
        </w:rPr>
        <w:t>Turquía debe prestar mucha atención a la catástrofe que se desarrolla a su alrededor en Oriente Próximo</w:t>
      </w:r>
      <w:r w:rsidRPr="00627822">
        <w:t xml:space="preserve">. Se necesita ayuda humanitaria, y Turquía la está ofreciendo con generosidad, en formas que deberían servir de ejemplo a los países occidentales. </w:t>
      </w:r>
      <w:r w:rsidRPr="00AB006F">
        <w:rPr>
          <w:u w:val="single"/>
        </w:rPr>
        <w:t xml:space="preserve">Pero </w:t>
      </w:r>
      <w:r w:rsidRPr="00AB006F">
        <w:rPr>
          <w:u w:val="single"/>
        </w:rPr>
        <w:lastRenderedPageBreak/>
        <w:t>los líderes políticos, los formadores de opinión y los ciudadanos turcos también deben reconocer que la única protección contra un desastre similar en Turquía es mantener una democracia vigorosa, una administración pública plenamente profesional y una sociedad tolerante que sea un ejemplo de orgullo y afecto por la diversidad del país.</w:t>
      </w:r>
    </w:p>
    <w:p w:rsidR="003969F7" w:rsidRPr="00AB006F" w:rsidRDefault="003969F7" w:rsidP="003969F7">
      <w:pPr>
        <w:pStyle w:val="NormalWeb"/>
        <w:jc w:val="both"/>
        <w:rPr>
          <w:u w:val="single"/>
        </w:rPr>
      </w:pPr>
      <w:r w:rsidRPr="00AB006F">
        <w:rPr>
          <w:u w:val="single"/>
        </w:rPr>
        <w:t>Turquía no recibirá protección de otros; incluso habrá quienes promuevan el conflicto dentro de sus fronteras (abundan los ejemplos históricos de este tipo de tácticas). Solo Turquía puede protegerse a sí misma, y el único modo que tiene de hacerlo es mantener un comportamiento auténticamente democrático en el frente interno y una política exterior que promueva la paz y la democracia, sin tomar partido en las batallas que se libran en la región, especialmente la que enfrenta a sunnitas y shiítas.</w:t>
      </w:r>
    </w:p>
    <w:p w:rsidR="003969F7" w:rsidRPr="00627822" w:rsidRDefault="003969F7" w:rsidP="003969F7">
      <w:pPr>
        <w:pStyle w:val="NormalWeb"/>
        <w:jc w:val="both"/>
      </w:pPr>
      <w:r w:rsidRPr="00627822">
        <w:t>Afortunadamente hay motivos de esperanza. Los manifestantes que en junio se congregaron en el parque Gezi para protestar pacíficamente (simplemente, quedándose quietos) contra los excesos policiales son los mismos que hace algunos años también protestaron pacíficamente contra la prohibición del velo islámico que entonces regía en las universidades turcas. Este tipo de preocupación por los derechos de todos es una señal distintiv</w:t>
      </w:r>
      <w:r>
        <w:t>a de la generación joven turca.</w:t>
      </w:r>
    </w:p>
    <w:p w:rsidR="003969F7" w:rsidRPr="00627822" w:rsidRDefault="003969F7" w:rsidP="003969F7">
      <w:pPr>
        <w:pStyle w:val="NormalWeb"/>
        <w:jc w:val="both"/>
      </w:pPr>
      <w:r w:rsidRPr="00627822">
        <w:t>Otro ejemplo similar lo dio el gobernador saliente de la provincia sudoriental de Van, cuando el mes pasado se despidió de la población hablando en kurdo (el idioma mayoritario), gesto que se le retribuyó con af</w:t>
      </w:r>
      <w:r>
        <w:t>ectuosas expresiones de deseos.</w:t>
      </w:r>
    </w:p>
    <w:p w:rsidR="003969F7" w:rsidRPr="00AB006F" w:rsidRDefault="003969F7" w:rsidP="003969F7">
      <w:pPr>
        <w:pStyle w:val="NormalWeb"/>
        <w:jc w:val="both"/>
        <w:rPr>
          <w:u w:val="single"/>
        </w:rPr>
      </w:pPr>
      <w:r w:rsidRPr="00AB006F">
        <w:rPr>
          <w:u w:val="single"/>
        </w:rPr>
        <w:t>La gran mayoría de los ciudadanos turcos comparten este espíritu de generosidad. Por eso, a pesar de las serias dificultades que enfrenta, es muy posible que Turquía logre superar sus tensiones internas y convertirse en el ejemplo que sus vecinos de Oriente Próximo (y tal vez algunos pocos de sus vecinos europeos) necesitan con urgencia.</w:t>
      </w:r>
    </w:p>
    <w:p w:rsidR="003969F7" w:rsidRDefault="003969F7" w:rsidP="003969F7">
      <w:pPr>
        <w:pStyle w:val="NormalWeb"/>
        <w:jc w:val="both"/>
        <w:rPr>
          <w:lang w:val="en-US"/>
        </w:rPr>
      </w:pPr>
      <w:r>
        <w:rPr>
          <w:lang w:val="en-US"/>
        </w:rPr>
        <w:t>(</w:t>
      </w:r>
      <w:r w:rsidRPr="00627822">
        <w:rPr>
          <w:lang w:val="en-US"/>
        </w:rPr>
        <w:t>Kemal Derviş, former Minister of Economic Affairs of Turkey and former Administrator for the United Nations Development Program (UNDP), is Vice President of the Brookings Insti</w:t>
      </w:r>
      <w:r>
        <w:rPr>
          <w:lang w:val="en-US"/>
        </w:rPr>
        <w:t>tution)</w:t>
      </w:r>
    </w:p>
    <w:p w:rsidR="003969F7" w:rsidRDefault="003969F7" w:rsidP="003969F7">
      <w:pPr>
        <w:pStyle w:val="NormalWeb"/>
        <w:jc w:val="both"/>
      </w:pPr>
      <w:r>
        <w:t xml:space="preserve">- </w:t>
      </w:r>
      <w:r w:rsidRPr="002478C0">
        <w:rPr>
          <w:u w:val="single"/>
        </w:rPr>
        <w:t>Erdoğan no es el único problema de Turquía</w:t>
      </w:r>
      <w:r>
        <w:t xml:space="preserve"> (Project Syndicate - </w:t>
      </w:r>
      <w:r w:rsidRPr="002478C0">
        <w:rPr>
          <w:b/>
        </w:rPr>
        <w:t>11/9/13</w:t>
      </w:r>
      <w:r>
        <w:t>)</w:t>
      </w:r>
    </w:p>
    <w:p w:rsidR="003969F7" w:rsidRDefault="003969F7" w:rsidP="003969F7">
      <w:pPr>
        <w:pStyle w:val="NormalWeb"/>
        <w:jc w:val="both"/>
      </w:pPr>
      <w:r>
        <w:t xml:space="preserve">(Por </w:t>
      </w:r>
      <w:r w:rsidRPr="00680841">
        <w:t>Dani Rodrik)</w:t>
      </w:r>
      <w:r>
        <w:tab/>
      </w:r>
    </w:p>
    <w:p w:rsidR="003969F7" w:rsidRDefault="00887DE5" w:rsidP="003969F7">
      <w:pPr>
        <w:pStyle w:val="NormalWeb"/>
        <w:jc w:val="both"/>
      </w:pPr>
      <w:r>
        <w:t>Princeton.-</w:t>
      </w:r>
      <w:r w:rsidR="003969F7">
        <w:t xml:space="preserve"> Türkan Saylan fue doctora pionera, una de las primeras mujeres dermatólogas en Turquía, e importante luchadora contra la lepra. También era una secularista convencida y creó una fundación para ofrecer becas a jovencitas con el fin de que pudieran ir a la escuela. En 2009 la policía irrumpió en su casa y confiscó documentos de una investigación que la relacionaba con un supuesto grupo terrorista, llamado “Ergenekon”, presumiblemente decidido a desestabilizar Turquía para provocar un golpe militar.</w:t>
      </w:r>
    </w:p>
    <w:p w:rsidR="003969F7" w:rsidRDefault="003969F7" w:rsidP="003969F7">
      <w:pPr>
        <w:pStyle w:val="NormalWeb"/>
        <w:jc w:val="both"/>
      </w:pPr>
      <w:r>
        <w:t>En ese tiempo Saylan tenía cáncer en fase terminal y murió poco tiempo después. Sin embargo, el caso contra sus allegados siguió y se convirtió en parte de una serie de juicios dirigidos contra oponentes del primer ministro, Recep Tayyip Erdoğan, y sus aliados en el poderoso movimiento Gülen, formado con seguidores del pastor islámico, Fethullah Gülen.</w:t>
      </w:r>
    </w:p>
    <w:p w:rsidR="003969F7" w:rsidRDefault="003969F7" w:rsidP="003969F7">
      <w:pPr>
        <w:pStyle w:val="NormalWeb"/>
        <w:jc w:val="both"/>
      </w:pPr>
      <w:r>
        <w:lastRenderedPageBreak/>
        <w:t xml:space="preserve">La evidencia en este caso, como en muchos otros, consiste en documentos Microsoft Word que se encontraron en una computadora de la fundación de Saylan. Cuando los expertos estadounidenses analizaron hace poco la imagen forense del disco </w:t>
      </w:r>
      <w:r w:rsidR="00887DE5">
        <w:t>duro hicieron un impresionante -</w:t>
      </w:r>
      <w:r>
        <w:t>au</w:t>
      </w:r>
      <w:r w:rsidR="00887DE5">
        <w:t>nque para Turquía, muy familiar-</w:t>
      </w:r>
      <w:r>
        <w:t xml:space="preserve"> descubrimiento. Los archivos que la incriminaban habían sido puestos en el disco duro tiempo después de la última utilización de la computadora en la fundación. Como la policía había incautado la computadora, el descubrimiento indicaba directamente un delito cometido desde niveles oficiales.</w:t>
      </w:r>
    </w:p>
    <w:p w:rsidR="003969F7" w:rsidRPr="00F47755" w:rsidRDefault="003969F7" w:rsidP="003969F7">
      <w:pPr>
        <w:pStyle w:val="NormalWeb"/>
        <w:jc w:val="both"/>
        <w:rPr>
          <w:u w:val="single"/>
        </w:rPr>
      </w:pPr>
      <w:r w:rsidRPr="00F47755">
        <w:rPr>
          <w:u w:val="single"/>
        </w:rPr>
        <w:t>Evidencias falsificadas, testigos secretos e investigaciones fantasiosas son el fundamento de los juicios simulados que la policía y los fiscales turcos han estado montando desde 2007.</w:t>
      </w:r>
      <w:r>
        <w:t xml:space="preserve"> </w:t>
      </w:r>
      <w:r w:rsidRPr="00F47755">
        <w:rPr>
          <w:u w:val="single"/>
        </w:rPr>
        <w:t>En el infame caso Sledgehammer se descubrió que una conspiración de un golpe militar tenía anacronismos flagrantes, incluido el uso de Microsoft Office 2007 en documentos que supuestamente se guardaron por la última vez en 2003. (Mi suegro es uno de los 300 oficiales que fueron encarcelados, y mi esposa y yo hemos estado trabajando para documentar las mentiras del caso.)</w:t>
      </w:r>
    </w:p>
    <w:p w:rsidR="003969F7" w:rsidRPr="00F47755" w:rsidRDefault="003969F7" w:rsidP="003969F7">
      <w:pPr>
        <w:pStyle w:val="NormalWeb"/>
        <w:jc w:val="both"/>
        <w:rPr>
          <w:u w:val="single"/>
        </w:rPr>
      </w:pPr>
      <w:r w:rsidRPr="00F47755">
        <w:rPr>
          <w:u w:val="single"/>
        </w:rPr>
        <w:t>La lista de revelaciones e información absurda continúa. Hay un caso en el que un documento que describía una conspiración contra minorías cristianas resultó estar en poder de la policía antes de que las autoridades declararan que lo habían incautado a un sospechoso. En otro, la policía “descubrió” las evidencias que estaban buscando, a pesar de que fueron al lugar equivocado e irrumpieron en la casa de un oficial de la marina cuyo nombre era parecido al de la persona buscada.</w:t>
      </w:r>
    </w:p>
    <w:p w:rsidR="003969F7" w:rsidRPr="00C75F35" w:rsidRDefault="003969F7" w:rsidP="003969F7">
      <w:pPr>
        <w:pStyle w:val="NormalWeb"/>
        <w:jc w:val="both"/>
        <w:rPr>
          <w:color w:val="FF0000"/>
          <w:u w:val="single"/>
        </w:rPr>
      </w:pPr>
      <w:r w:rsidRPr="00C75F35">
        <w:rPr>
          <w:color w:val="FF0000"/>
          <w:u w:val="single"/>
        </w:rPr>
        <w:t>Con todo, ninguno de estos juicios se ha desmoronado. Gran parte de ellos tienen detrás el apoyo y visto bueno de Erdoğan, que los ha usado para desacreditar a la vieja guardia secular y fortalecer su gobierno. Más importante aún, los juicios han tenido el decisivo respaldo del movimiento Gülen.</w:t>
      </w:r>
    </w:p>
    <w:p w:rsidR="003969F7" w:rsidRDefault="003969F7" w:rsidP="003969F7">
      <w:pPr>
        <w:pStyle w:val="NormalWeb"/>
        <w:jc w:val="both"/>
      </w:pPr>
      <w:r>
        <w:t>Gülen vive en un exilio autoimpuesto en Pensilvania, donde dirige una enorme red informal de escuelas, centros de expertos, empresas y medios de comunicación en cinco continentes. Sus devotos han establecido alrededor de 100 escuelas subsidiadas tan solo en los Estados Unidos, y el movimiento ha ganado fuerza en Europa desde que se fundó la primera escuela Gülen en Stuttgart, Alemania en 1995.</w:t>
      </w:r>
    </w:p>
    <w:p w:rsidR="003969F7" w:rsidRPr="00C75F35" w:rsidRDefault="003969F7" w:rsidP="003969F7">
      <w:pPr>
        <w:pStyle w:val="NormalWeb"/>
        <w:jc w:val="both"/>
        <w:rPr>
          <w:color w:val="FF0000"/>
          <w:u w:val="single"/>
        </w:rPr>
      </w:pPr>
      <w:r w:rsidRPr="00C75F35">
        <w:rPr>
          <w:color w:val="FF0000"/>
          <w:u w:val="single"/>
        </w:rPr>
        <w:t>En su país, los seguidores de Gülen han creado lo que efectivamente es un Estado dentro del Estado turco; y se han afianzado en la fuerza policial, el poder judicial  y la burocracia. Los seguidores de dicho movimiento niegan que controlen la policía turca, pero como señaló en 2009  un embajador estadounidense en Turquía, “nadie lo rebate”.</w:t>
      </w:r>
    </w:p>
    <w:p w:rsidR="003969F7" w:rsidRDefault="003969F7" w:rsidP="003969F7">
      <w:pPr>
        <w:pStyle w:val="NormalWeb"/>
        <w:jc w:val="both"/>
      </w:pPr>
      <w:r>
        <w:t xml:space="preserve">La influencia del movimiento en el poder judicial garantiza a sus miembros que sus transgresiones no se cuestionan. En un caso bien documentado se descubrió a un oficial no comisionado en una base militar, que actuaba en nombre del movimiento Gülen, sembrando documentos con el fin de exponer a oficiales militares. El fiscal militar a cargo de la investigación del caso pronto fue encarcelado bajo acusaciones falsas, mientras que el verdadero autor fue restituido. Asimismo, a un alto comisionado de la policía que era cercano al movimiento y que elaboró un </w:t>
      </w:r>
      <w:r w:rsidR="00C853E5">
        <w:t>exposé</w:t>
      </w:r>
      <w:r>
        <w:t xml:space="preserve"> sobre sus actividades, se le acusó de colaborar con grupos de extrema izquierda, que en realidad había pasado mucho tiempo de su carrera persiguiéndolos. A él también se le encarceló.</w:t>
      </w:r>
    </w:p>
    <w:p w:rsidR="003969F7" w:rsidRPr="00C75F35" w:rsidRDefault="003969F7" w:rsidP="003969F7">
      <w:pPr>
        <w:pStyle w:val="NormalWeb"/>
        <w:jc w:val="both"/>
        <w:rPr>
          <w:u w:val="single"/>
        </w:rPr>
      </w:pPr>
      <w:r w:rsidRPr="00C75F35">
        <w:rPr>
          <w:u w:val="single"/>
        </w:rPr>
        <w:lastRenderedPageBreak/>
        <w:t>El movimiento Gülen usa estos juicios para callar críticos y remover oponentes en puestos gubernamentales importantes. El objetivo final parece ser la redefinición de la sociedad turca de acuerdo con la propia imagen religiosa conservadora del movimiento. Los medios de comunicación a favor de Gülen han sido muy activos en esta causa, pues han diseminado un flujo continuo de desinformación sobre los acusados en los juicios montados por el movimiento, mientras que encubren las fechorías de la policía.</w:t>
      </w:r>
    </w:p>
    <w:p w:rsidR="003969F7" w:rsidRDefault="003969F7" w:rsidP="003969F7">
      <w:pPr>
        <w:pStyle w:val="NormalWeb"/>
        <w:jc w:val="both"/>
      </w:pPr>
      <w:r w:rsidRPr="00C75F35">
        <w:rPr>
          <w:color w:val="FF0000"/>
          <w:u w:val="single"/>
        </w:rPr>
        <w:t>Sin embargo, la relación entre Erdoğan y los seguidores del movimiento Gülen se ha deteriorado. Una que vez que los secularistas, sus enemigos comunes, quedaron eliminados, el movimiento dejó de ser útil para Erdoğan. La fractura se dio en febrero de 2012 cuando los miembros del movimiento trataron de derrocar a su jefe de Inteligencia, uno de sus hombres de confianza y un objetivo peligrosamente cercano al propio Erdoğan. Éste respondió con la remoción de muchos miembros del movimiento de la policía y del poder judicial</w:t>
      </w:r>
      <w:r>
        <w:t>.</w:t>
      </w:r>
    </w:p>
    <w:p w:rsidR="003969F7" w:rsidRDefault="003969F7" w:rsidP="003969F7">
      <w:pPr>
        <w:pStyle w:val="NormalWeb"/>
        <w:jc w:val="both"/>
      </w:pPr>
      <w:r>
        <w:t>No obstante, la capacidad de Erdoğan para encarar al movimiento es limitada. Hace poco se encontraron micrófonos ocultos en su oficina, puestos por la policía, según señalan sus allegados. Con todo, Erdoğan, conocido por su estilo impetuoso, respondió con una ecuanimidad notable. Si no estuviera convencido ya de que el movimiento posee una gran cantidad</w:t>
      </w:r>
      <w:r w:rsidR="00887DE5">
        <w:t xml:space="preserve"> de información comprometedora -y tal vez mucho peor-</w:t>
      </w:r>
      <w:r>
        <w:t xml:space="preserve"> las revelaciones sobre los micrófonos habrían bastado para persuadirlo.</w:t>
      </w:r>
    </w:p>
    <w:p w:rsidR="003969F7" w:rsidRPr="00C75F35" w:rsidRDefault="003969F7" w:rsidP="003969F7">
      <w:pPr>
        <w:pStyle w:val="NormalWeb"/>
        <w:jc w:val="both"/>
        <w:rPr>
          <w:u w:val="single"/>
        </w:rPr>
      </w:pPr>
      <w:r w:rsidRPr="00C75F35">
        <w:rPr>
          <w:u w:val="single"/>
        </w:rPr>
        <w:t>Los medios internacionales se han centrado principalmente en la conducta de Erdoğan en meses recientes. Pero si Turquía se ha convertido en un lodazal kafkiano, una república de juegos sucios y conspiraciones surrealistas, sin duda la culpa es sobre todo de los miembros del movimiento Gülen. Vale la pena tenerlo en mente dados los esfuerzos de dicho movimiento para ataviar su actual oposición contra Erdoğan con el disfraz de democracia y pluralismo.</w:t>
      </w:r>
    </w:p>
    <w:p w:rsidR="003969F7" w:rsidRPr="00C75F35" w:rsidRDefault="003969F7" w:rsidP="003969F7">
      <w:pPr>
        <w:pStyle w:val="NormalWeb"/>
        <w:jc w:val="both"/>
        <w:rPr>
          <w:u w:val="single"/>
        </w:rPr>
      </w:pPr>
      <w:r>
        <w:t xml:space="preserve">Los comentaristas partidarios del movimiento Gülen predican sobre el Estado de derecho y los derechos humanos, y al mismo tiempo los medios de comunicación pro movimiento defienden juicios flagrantemente simulados. </w:t>
      </w:r>
      <w:r w:rsidRPr="00C75F35">
        <w:rPr>
          <w:u w:val="single"/>
        </w:rPr>
        <w:t>El movimiento exhibe a Fethullah Gülen como un modelo de moderación y tolerancia, mientras que su sitio Web en idioma turco, presenta sus sermones antisemitas y antioccidentales. Este doble discurso parece ser ya natural para los líderes del movimiento.</w:t>
      </w:r>
    </w:p>
    <w:p w:rsidR="003969F7" w:rsidRDefault="003969F7" w:rsidP="003969F7">
      <w:pPr>
        <w:pStyle w:val="NormalWeb"/>
        <w:jc w:val="both"/>
      </w:pPr>
      <w:r w:rsidRPr="003969F7">
        <w:rPr>
          <w:color w:val="FF0000"/>
          <w:u w:val="single"/>
        </w:rPr>
        <w:t>La buena noticia es que el resto del mundo está empezando a ver cómo es realmente la república de Erdoğan: un régimen cada vez más autoritario creado en torno a un dirigente popular pero con múltiples fallas</w:t>
      </w:r>
      <w:r w:rsidRPr="003969F7">
        <w:t>. En efecto, la represión de su gobierno contra la disidencia puede haberle costado a Estambul los Juegos Olímpicos de 2020. Lo que</w:t>
      </w:r>
      <w:r>
        <w:t xml:space="preserve"> falta por reconocer es la participación independiente e inquietante del movimiento Gülen en el actual impasse que vive Turquía. Como los estadounidenses y europeos debaten acerca de la participación del movimiento en sus propias sociedades, deberían analizar la experiencia de Turquía más detalladamente.</w:t>
      </w:r>
    </w:p>
    <w:p w:rsidR="003969F7" w:rsidRDefault="003969F7" w:rsidP="003969F7">
      <w:pPr>
        <w:pStyle w:val="NormalWeb"/>
        <w:jc w:val="both"/>
        <w:rPr>
          <w:lang w:val="en-US"/>
        </w:rPr>
      </w:pPr>
      <w:r>
        <w:rPr>
          <w:lang w:val="en-US"/>
        </w:rPr>
        <w:t>(</w:t>
      </w:r>
      <w:r w:rsidRPr="002478C0">
        <w:rPr>
          <w:lang w:val="en-US"/>
        </w:rPr>
        <w:t>Dani Rodrik is Professor of Social Science at the Institute for Advanced Study, Princeton, New Jersey. He is the author of One Economics, Many Recipes: Globalization, Institutions, and Economic …</w:t>
      </w:r>
      <w:r>
        <w:rPr>
          <w:lang w:val="en-US"/>
        </w:rPr>
        <w:t>)</w:t>
      </w:r>
    </w:p>
    <w:p w:rsidR="003969F7" w:rsidRPr="002478C0" w:rsidRDefault="003969F7" w:rsidP="003969F7">
      <w:pPr>
        <w:pStyle w:val="NormalWeb"/>
        <w:jc w:val="both"/>
        <w:rPr>
          <w:lang w:val="en-US"/>
        </w:rPr>
      </w:pPr>
    </w:p>
    <w:p w:rsidR="003969F7"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lastRenderedPageBreak/>
        <w:t xml:space="preserve">- </w:t>
      </w:r>
      <w:r w:rsidRPr="002562F9">
        <w:rPr>
          <w:rFonts w:ascii="Times New Roman" w:hAnsi="Times New Roman" w:cs="Times New Roman"/>
          <w:sz w:val="24"/>
          <w:szCs w:val="24"/>
          <w:u w:val="single"/>
        </w:rPr>
        <w:t>La sabiduría de evitar crisis</w:t>
      </w:r>
      <w:r>
        <w:rPr>
          <w:rFonts w:ascii="Times New Roman" w:hAnsi="Times New Roman" w:cs="Times New Roman"/>
          <w:sz w:val="24"/>
          <w:szCs w:val="24"/>
        </w:rPr>
        <w:t xml:space="preserve"> (Project Syndicate - </w:t>
      </w:r>
      <w:r w:rsidRPr="002562F9">
        <w:rPr>
          <w:rFonts w:ascii="Times New Roman" w:hAnsi="Times New Roman" w:cs="Times New Roman"/>
          <w:b/>
          <w:sz w:val="24"/>
          <w:szCs w:val="24"/>
        </w:rPr>
        <w:t>17/9/13</w:t>
      </w:r>
      <w:r>
        <w:rPr>
          <w:rFonts w:ascii="Times New Roman" w:hAnsi="Times New Roman" w:cs="Times New Roman"/>
          <w:sz w:val="24"/>
          <w:szCs w:val="24"/>
        </w:rPr>
        <w:t>)</w:t>
      </w:r>
      <w:r w:rsidRPr="002562F9">
        <w:rPr>
          <w:rFonts w:ascii="Times New Roman" w:hAnsi="Times New Roman" w:cs="Times New Roman"/>
          <w:sz w:val="24"/>
          <w:szCs w:val="24"/>
        </w:rPr>
        <w:tab/>
      </w:r>
    </w:p>
    <w:p w:rsidR="003969F7" w:rsidRPr="002562F9" w:rsidRDefault="003969F7" w:rsidP="003969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B43D7">
        <w:rPr>
          <w:rFonts w:ascii="Times New Roman" w:hAnsi="Times New Roman" w:cs="Times New Roman"/>
          <w:sz w:val="24"/>
          <w:szCs w:val="24"/>
        </w:rPr>
        <w:t>Mehmet Şimşek)</w:t>
      </w:r>
    </w:p>
    <w:p w:rsidR="003969F7" w:rsidRPr="00103FC6" w:rsidRDefault="00887DE5" w:rsidP="003969F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Ankara.-</w:t>
      </w:r>
      <w:r w:rsidR="003969F7" w:rsidRPr="002562F9">
        <w:rPr>
          <w:rFonts w:ascii="Times New Roman" w:hAnsi="Times New Roman" w:cs="Times New Roman"/>
          <w:sz w:val="24"/>
          <w:szCs w:val="24"/>
        </w:rPr>
        <w:t xml:space="preserve"> </w:t>
      </w:r>
      <w:r w:rsidR="003969F7" w:rsidRPr="00103FC6">
        <w:rPr>
          <w:rFonts w:ascii="Times New Roman" w:hAnsi="Times New Roman" w:cs="Times New Roman"/>
          <w:sz w:val="24"/>
          <w:szCs w:val="24"/>
          <w:u w:val="single"/>
        </w:rPr>
        <w:t>Independientemente de las distintas formas en que los gobiernos diseñan políticas, su responsabilidad común es garantizar la estabilidad financiera. Para ello es necesaria una coordinación política real y efectiva y un marco general de gobernanza macroprudencial a nivel nacional e internacional.</w:t>
      </w:r>
    </w:p>
    <w:p w:rsidR="003969F7" w:rsidRPr="00103FC6" w:rsidRDefault="003969F7" w:rsidP="003969F7">
      <w:pPr>
        <w:spacing w:line="240" w:lineRule="auto"/>
        <w:jc w:val="both"/>
        <w:rPr>
          <w:rFonts w:ascii="Times New Roman" w:hAnsi="Times New Roman" w:cs="Times New Roman"/>
          <w:sz w:val="24"/>
          <w:szCs w:val="24"/>
          <w:u w:val="single"/>
        </w:rPr>
      </w:pPr>
      <w:r w:rsidRPr="00103FC6">
        <w:rPr>
          <w:rFonts w:ascii="Times New Roman" w:hAnsi="Times New Roman" w:cs="Times New Roman"/>
          <w:sz w:val="24"/>
          <w:szCs w:val="24"/>
          <w:u w:val="single"/>
        </w:rPr>
        <w:t>La verdad es que el costo de evitar crisis financieras es mucho más bajo que los costos que conllevan cuando estallan. Después de todo, las crisis financieras están directamente relacionadas con descensos significativos de la producción y alzas en el  desempleo; y no menos  importante es que a menudo dañan gravemente la cohesión social.</w:t>
      </w:r>
    </w:p>
    <w:p w:rsidR="003969F7" w:rsidRPr="00103FC6" w:rsidRDefault="003969F7" w:rsidP="003969F7">
      <w:pPr>
        <w:spacing w:line="240" w:lineRule="auto"/>
        <w:jc w:val="both"/>
        <w:rPr>
          <w:rFonts w:ascii="Times New Roman" w:hAnsi="Times New Roman" w:cs="Times New Roman"/>
          <w:color w:val="FF0000"/>
          <w:sz w:val="24"/>
          <w:szCs w:val="24"/>
          <w:u w:val="single"/>
        </w:rPr>
      </w:pPr>
      <w:r w:rsidRPr="00103FC6">
        <w:rPr>
          <w:rFonts w:ascii="Times New Roman" w:hAnsi="Times New Roman" w:cs="Times New Roman"/>
          <w:color w:val="FF0000"/>
          <w:sz w:val="24"/>
          <w:szCs w:val="24"/>
          <w:u w:val="single"/>
        </w:rPr>
        <w:t>A cinco años del estallido de la crisis financiera, siguen vigentes sus consecuencias, así como la recesión provocada por el colapso del banco de inversión estadounidense, Lehman Brothers. En muchas economías avanzadas el PIB real continúa más bajo que su nivel previo a la crisis. Las tasas de desempleo y los déficits presupuestales son más elevados, y la proporción de la deuda pública respecto el PIB se encuentra en niveles récord.</w:t>
      </w:r>
    </w:p>
    <w:p w:rsidR="003969F7" w:rsidRPr="002562F9" w:rsidRDefault="003969F7" w:rsidP="003969F7">
      <w:pPr>
        <w:spacing w:line="240" w:lineRule="auto"/>
        <w:jc w:val="both"/>
        <w:rPr>
          <w:rFonts w:ascii="Times New Roman" w:hAnsi="Times New Roman" w:cs="Times New Roman"/>
          <w:sz w:val="24"/>
          <w:szCs w:val="24"/>
        </w:rPr>
      </w:pPr>
      <w:r w:rsidRPr="00103FC6">
        <w:rPr>
          <w:rFonts w:ascii="Times New Roman" w:hAnsi="Times New Roman" w:cs="Times New Roman"/>
          <w:sz w:val="24"/>
          <w:szCs w:val="24"/>
          <w:u w:val="single"/>
        </w:rPr>
        <w:t>Las políticas macroprudenciales no sustituyen a las políticas macroeconómicas sólidas;</w:t>
      </w:r>
      <w:r w:rsidRPr="002562F9">
        <w:rPr>
          <w:rFonts w:ascii="Times New Roman" w:hAnsi="Times New Roman" w:cs="Times New Roman"/>
          <w:sz w:val="24"/>
          <w:szCs w:val="24"/>
        </w:rPr>
        <w:t xml:space="preserve"> sin embargo, son esenciales para evitar amplias burbujas de activos y distorsiones en los mercados financieros, y por ende, para reducir el riesgo de fuertes sacudidas en los </w:t>
      </w:r>
      <w:r>
        <w:rPr>
          <w:rFonts w:ascii="Times New Roman" w:hAnsi="Times New Roman" w:cs="Times New Roman"/>
          <w:sz w:val="24"/>
          <w:szCs w:val="24"/>
        </w:rPr>
        <w:t>mercados y en la economía real.</w:t>
      </w:r>
    </w:p>
    <w:p w:rsidR="003969F7" w:rsidRPr="00103FC6" w:rsidRDefault="003969F7" w:rsidP="003969F7">
      <w:pPr>
        <w:spacing w:line="240" w:lineRule="auto"/>
        <w:jc w:val="both"/>
        <w:rPr>
          <w:rFonts w:ascii="Times New Roman" w:hAnsi="Times New Roman" w:cs="Times New Roman"/>
          <w:sz w:val="24"/>
          <w:szCs w:val="24"/>
          <w:u w:val="single"/>
        </w:rPr>
      </w:pPr>
      <w:r w:rsidRPr="00103FC6">
        <w:rPr>
          <w:rFonts w:ascii="Times New Roman" w:hAnsi="Times New Roman" w:cs="Times New Roman"/>
          <w:sz w:val="24"/>
          <w:szCs w:val="24"/>
          <w:u w:val="single"/>
        </w:rPr>
        <w:t>Por ejemplo, la crisis financiera de Turquía en 2001 se derivó principalmente de la falta de un marco regulatorio y de supervisión eficaz para el sector bancario. La crisis condujo a un salto de 30 puntos porcentuales en el coeficiente de deuda pública. El PIB real se contrajo 5.7% y el desempleo aumentó 4.9 puntos porcentuales.</w:t>
      </w:r>
    </w:p>
    <w:p w:rsidR="003969F7" w:rsidRPr="00103FC6" w:rsidRDefault="003969F7" w:rsidP="003969F7">
      <w:pPr>
        <w:spacing w:line="240" w:lineRule="auto"/>
        <w:jc w:val="both"/>
        <w:rPr>
          <w:rFonts w:ascii="Times New Roman" w:hAnsi="Times New Roman" w:cs="Times New Roman"/>
          <w:sz w:val="24"/>
          <w:szCs w:val="24"/>
          <w:u w:val="single"/>
        </w:rPr>
      </w:pPr>
      <w:r w:rsidRPr="00103FC6">
        <w:rPr>
          <w:rFonts w:ascii="Times New Roman" w:hAnsi="Times New Roman" w:cs="Times New Roman"/>
          <w:sz w:val="24"/>
          <w:szCs w:val="24"/>
          <w:u w:val="single"/>
        </w:rPr>
        <w:t>Desde entonces, Turquía se ha estado centrando en la estabilidad financiera y las reformas estructurales, que han fortalecido el desempeño económico y fortalecido la resistencia del país a las sacudidas. En efecto, Turquía no tuvo que gastar un centavo del dinero de los contribuyentes en la recapitalización de la banca o la recuperación durante la crisis financiera global. Sin embargo, el costo de rescates bancarios durante la crisis turca autoinfligida hace doce años alcanzó aproximadamente el 25% del PIB.</w:t>
      </w:r>
    </w:p>
    <w:p w:rsidR="003969F7" w:rsidRPr="00103FC6" w:rsidRDefault="003969F7" w:rsidP="003969F7">
      <w:pPr>
        <w:spacing w:line="240" w:lineRule="auto"/>
        <w:jc w:val="both"/>
        <w:rPr>
          <w:rFonts w:ascii="Times New Roman" w:hAnsi="Times New Roman" w:cs="Times New Roman"/>
          <w:sz w:val="24"/>
          <w:szCs w:val="24"/>
          <w:u w:val="single"/>
        </w:rPr>
      </w:pPr>
      <w:r w:rsidRPr="00103FC6">
        <w:rPr>
          <w:rFonts w:ascii="Times New Roman" w:hAnsi="Times New Roman" w:cs="Times New Roman"/>
          <w:sz w:val="24"/>
          <w:szCs w:val="24"/>
          <w:u w:val="single"/>
        </w:rPr>
        <w:t>Gracias a los fundamentos sólidos de Turquía y el marco macroprudencial de 2008, la crisis financiera global no ha tenido un impacto duradero en la economía de dicho país.</w:t>
      </w:r>
      <w:r w:rsidRPr="002562F9">
        <w:rPr>
          <w:rFonts w:ascii="Times New Roman" w:hAnsi="Times New Roman" w:cs="Times New Roman"/>
          <w:sz w:val="24"/>
          <w:szCs w:val="24"/>
        </w:rPr>
        <w:t xml:space="preserve"> La recuperación fue rápida y sólida, en la que el crecimiento del PIB promedió aproximadamente 9% en 2010 y 2011. </w:t>
      </w:r>
      <w:r w:rsidRPr="00103FC6">
        <w:rPr>
          <w:rFonts w:ascii="Times New Roman" w:hAnsi="Times New Roman" w:cs="Times New Roman"/>
          <w:sz w:val="24"/>
          <w:szCs w:val="24"/>
          <w:u w:val="single"/>
        </w:rPr>
        <w:t>La tasa de desempleo turca actualmente es la más baja que ha tenido en la última década, y el coeficiente de deuda pública es significativamente inferior a los niveles previos a la crisis.</w:t>
      </w:r>
    </w:p>
    <w:p w:rsidR="003969F7" w:rsidRPr="00103FC6" w:rsidRDefault="003969F7" w:rsidP="003969F7">
      <w:pPr>
        <w:spacing w:line="240" w:lineRule="auto"/>
        <w:jc w:val="both"/>
        <w:rPr>
          <w:rFonts w:ascii="Times New Roman" w:hAnsi="Times New Roman" w:cs="Times New Roman"/>
          <w:sz w:val="24"/>
          <w:szCs w:val="24"/>
          <w:u w:val="single"/>
        </w:rPr>
      </w:pPr>
      <w:r w:rsidRPr="00103FC6">
        <w:rPr>
          <w:rFonts w:ascii="Times New Roman" w:hAnsi="Times New Roman" w:cs="Times New Roman"/>
          <w:sz w:val="24"/>
          <w:szCs w:val="24"/>
          <w:u w:val="single"/>
        </w:rPr>
        <w:t>La experiencia de Turquía sugiere que el marco macroprudencial debería tomar en cuenta los vínculos nacionales e internacionales financieros</w:t>
      </w:r>
      <w:r w:rsidRPr="002562F9">
        <w:rPr>
          <w:rFonts w:ascii="Times New Roman" w:hAnsi="Times New Roman" w:cs="Times New Roman"/>
          <w:sz w:val="24"/>
          <w:szCs w:val="24"/>
        </w:rPr>
        <w:t xml:space="preserve">. Sobre todo, el marco internacional debería absorber los riesgos y efectos colaterales que se originan de instituciones financieras de importancia sistémica. </w:t>
      </w:r>
      <w:r w:rsidRPr="00103FC6">
        <w:rPr>
          <w:rFonts w:ascii="Times New Roman" w:hAnsi="Times New Roman" w:cs="Times New Roman"/>
          <w:sz w:val="24"/>
          <w:szCs w:val="24"/>
          <w:u w:val="single"/>
        </w:rPr>
        <w:t>El desarrollo y la aplicación del Marco regulador para bancos, Basilea III es esencial para introducir instrumentos anticíclicos para proteger el capital de sacudidas y fortalecer la capacidad de absorción de pérdidas de estas instituciones.</w:t>
      </w:r>
    </w:p>
    <w:p w:rsidR="003969F7" w:rsidRPr="002562F9"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lastRenderedPageBreak/>
        <w:t xml:space="preserve">En cuanto a medidas nacionales, la arquitectura institucional de un país es un elemento central para garantizar la estabilidad financiera, así como una cooperación y coordinación política efectivas. Turquía ha creado un comité de estabilidad financiera para supervisar la aplicación eficaz y oportuna de políticas que afectan directamente el sector financiero, y una Junta de Coordinación Económica para vigilar y evaluar asuntos relacionados con la estabilidad económica en general. Ambos organismos han servido para fortalecer el diseño operativo y la aplicación </w:t>
      </w:r>
      <w:r>
        <w:rPr>
          <w:rFonts w:ascii="Times New Roman" w:hAnsi="Times New Roman" w:cs="Times New Roman"/>
          <w:sz w:val="24"/>
          <w:szCs w:val="24"/>
        </w:rPr>
        <w:t>de políticas macroprudenciales.</w:t>
      </w:r>
    </w:p>
    <w:p w:rsidR="003969F7" w:rsidRPr="002562F9"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t>Por ejemplo, se ha revisado el régimen de metas de inflación, que puso en aplicación el Banco Central de Turquía, con el fin de incluir estabilidad financiera; también opera un nuevo marco de política monetaria desde fines de 2010. La política monetaria ahora se beneficia de una serie de amplios instrumentos, como la política de tasas de interés, la banda de tasas de interés, los coeficientes de reserva obligatorios y el m</w:t>
      </w:r>
      <w:r>
        <w:rPr>
          <w:rFonts w:ascii="Times New Roman" w:hAnsi="Times New Roman" w:cs="Times New Roman"/>
          <w:sz w:val="24"/>
          <w:szCs w:val="24"/>
        </w:rPr>
        <w:t>ecanismo opcional de reserva.</w:t>
      </w:r>
    </w:p>
    <w:p w:rsidR="003969F7" w:rsidRPr="002562F9"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t xml:space="preserve">La agencia de regulación y supervisión bancaria de Turquía, así como otras autoridades, también han adoptado medidas macroprudenciales. Por ejemplo, en 2011, dicha agencia reguló los créditos sobre el valor de los activos de las hipotecas con el fin de limitar la rápida expansión del crédito derivada del aumento de los créditos al consumo. Antes, en 2009, la misma agencia adoptó otra importante decisión que impedía a los hogares obtener créditos en divisa extranjera, liberándolos así de los efectos de la </w:t>
      </w:r>
      <w:r>
        <w:rPr>
          <w:rFonts w:ascii="Times New Roman" w:hAnsi="Times New Roman" w:cs="Times New Roman"/>
          <w:sz w:val="24"/>
          <w:szCs w:val="24"/>
        </w:rPr>
        <w:t>volatilidad del tipo de cambio.</w:t>
      </w:r>
    </w:p>
    <w:p w:rsidR="003969F7" w:rsidRPr="002562F9"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t xml:space="preserve">En lo que se refiere al sector bancario, desde 2004 se han aplicado pruebas de estrés y desde 2006 se ha mantenido la meta de coeficiente de garantía del 12%. Incluso durante la crisis, los coeficientes de garantía de los bancos fueron superiores a la prescripción del 8% de Basilea II y su distribución de utilidades ha estado estrechamente supervisada por la agencia de regulación y supervisión bancaria turca desde 2008. Como resultado, se han creado amplios fondos de reserva en las hojas de balance de los bancos y las </w:t>
      </w:r>
      <w:r>
        <w:rPr>
          <w:rFonts w:ascii="Times New Roman" w:hAnsi="Times New Roman" w:cs="Times New Roman"/>
          <w:sz w:val="24"/>
          <w:szCs w:val="24"/>
        </w:rPr>
        <w:t>utilidades siguen siendo altas.</w:t>
      </w:r>
    </w:p>
    <w:p w:rsidR="003969F7" w:rsidRPr="002562F9" w:rsidRDefault="003969F7" w:rsidP="003969F7">
      <w:pPr>
        <w:spacing w:line="240" w:lineRule="auto"/>
        <w:jc w:val="both"/>
        <w:rPr>
          <w:rFonts w:ascii="Times New Roman" w:hAnsi="Times New Roman" w:cs="Times New Roman"/>
          <w:sz w:val="24"/>
          <w:szCs w:val="24"/>
        </w:rPr>
      </w:pPr>
      <w:r w:rsidRPr="002562F9">
        <w:rPr>
          <w:rFonts w:ascii="Times New Roman" w:hAnsi="Times New Roman" w:cs="Times New Roman"/>
          <w:sz w:val="24"/>
          <w:szCs w:val="24"/>
        </w:rPr>
        <w:t xml:space="preserve">Turquía también ha modificado sus leyes fiscales para sancionar el endeudamiento externo excesivo de las empresas no financieras y para introducir incentivos significativos destinados a alentar el </w:t>
      </w:r>
      <w:r>
        <w:rPr>
          <w:rFonts w:ascii="Times New Roman" w:hAnsi="Times New Roman" w:cs="Times New Roman"/>
          <w:sz w:val="24"/>
          <w:szCs w:val="24"/>
        </w:rPr>
        <w:t>ahorro doméstico a largo plazo.</w:t>
      </w:r>
    </w:p>
    <w:p w:rsidR="003969F7" w:rsidRPr="00B557E2" w:rsidRDefault="003969F7" w:rsidP="003969F7">
      <w:pPr>
        <w:spacing w:line="240" w:lineRule="auto"/>
        <w:jc w:val="both"/>
        <w:rPr>
          <w:rFonts w:ascii="Times New Roman" w:hAnsi="Times New Roman" w:cs="Times New Roman"/>
          <w:sz w:val="24"/>
          <w:szCs w:val="24"/>
          <w:u w:val="single"/>
        </w:rPr>
      </w:pPr>
      <w:r w:rsidRPr="00B557E2">
        <w:rPr>
          <w:rFonts w:ascii="Times New Roman" w:hAnsi="Times New Roman" w:cs="Times New Roman"/>
          <w:sz w:val="24"/>
          <w:szCs w:val="24"/>
          <w:u w:val="single"/>
        </w:rPr>
        <w:t>No obstante, a pesar de estas medidas la situación sigue siendo preocupante. Al estallar la crisis global, las economías avanzadas más importantes aplicaron políticas monetarias poco convencionales que fomentaron flujos masivos de capital a las economías de mercado emergentes, lo que disminuyó los costos de los préstamos y aumentó el acceso al crédito. Si bien las hojas de balance del sector público de los países de mercados emergentes son más sólidas que nunca –niveles bajos de déficit y deuda acompañados de amplias reservas de divisas– el apalancamiento doméstico y corporativo ha crecido. Esto ha aumentado la vulnerabilidad de muchos mercados emergentes a una inversión brusca de los flujos de capital.</w:t>
      </w:r>
    </w:p>
    <w:p w:rsidR="003969F7" w:rsidRPr="00B557E2" w:rsidRDefault="003969F7" w:rsidP="003969F7">
      <w:pPr>
        <w:spacing w:line="240" w:lineRule="auto"/>
        <w:jc w:val="both"/>
        <w:rPr>
          <w:rFonts w:ascii="Times New Roman" w:hAnsi="Times New Roman" w:cs="Times New Roman"/>
          <w:sz w:val="24"/>
          <w:szCs w:val="24"/>
          <w:u w:val="single"/>
        </w:rPr>
      </w:pPr>
      <w:r w:rsidRPr="00B557E2">
        <w:rPr>
          <w:rFonts w:ascii="Times New Roman" w:hAnsi="Times New Roman" w:cs="Times New Roman"/>
          <w:sz w:val="24"/>
          <w:szCs w:val="24"/>
          <w:u w:val="single"/>
        </w:rPr>
        <w:t>Este es particularmente el caso de países emergentes que, como Turquía, tienen importantes déficits de cuenta corriente. Ante el déficit externo del 6% del PIB, las autoridades de Turquía han adoptado un marco macroprudencial que combina políticas orientadas a reducir la volatilidad del tipo de cambio a muy corto plazo con medidas para aumentar el ahorro interno y promover la competitividad internacional del sector inmobiliario a largo plazo. Es un modelo que otras economías emergentes también deberían considerar.</w:t>
      </w:r>
    </w:p>
    <w:p w:rsidR="003969F7" w:rsidRDefault="003969F7" w:rsidP="003969F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r w:rsidRPr="002562F9">
        <w:rPr>
          <w:rFonts w:ascii="Times New Roman" w:hAnsi="Times New Roman" w:cs="Times New Roman"/>
          <w:sz w:val="24"/>
          <w:szCs w:val="24"/>
          <w:lang w:val="en-US"/>
        </w:rPr>
        <w:t>Mehmet Şimşek i</w:t>
      </w:r>
      <w:r>
        <w:rPr>
          <w:rFonts w:ascii="Times New Roman" w:hAnsi="Times New Roman" w:cs="Times New Roman"/>
          <w:sz w:val="24"/>
          <w:szCs w:val="24"/>
          <w:lang w:val="en-US"/>
        </w:rPr>
        <w:t>s Minister of Finance of Turkey)</w:t>
      </w:r>
    </w:p>
    <w:p w:rsidR="003969F7"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 xml:space="preserve">- </w:t>
      </w:r>
      <w:r w:rsidRPr="003A73DA">
        <w:rPr>
          <w:rFonts w:ascii="Times New Roman" w:eastAsia="Times New Roman" w:hAnsi="Times New Roman" w:cs="Times New Roman"/>
          <w:sz w:val="24"/>
          <w:szCs w:val="24"/>
          <w:u w:val="single"/>
        </w:rPr>
        <w:t>Las ilusiones perdidas de Turquía</w:t>
      </w:r>
      <w:r>
        <w:rPr>
          <w:rFonts w:ascii="Times New Roman" w:eastAsia="Times New Roman" w:hAnsi="Times New Roman" w:cs="Times New Roman"/>
          <w:sz w:val="24"/>
          <w:szCs w:val="24"/>
        </w:rPr>
        <w:t xml:space="preserve"> (Project Syndicate - </w:t>
      </w:r>
      <w:r w:rsidRPr="003A73DA">
        <w:rPr>
          <w:rFonts w:ascii="Times New Roman" w:eastAsia="Times New Roman" w:hAnsi="Times New Roman" w:cs="Times New Roman"/>
          <w:b/>
          <w:sz w:val="24"/>
          <w:szCs w:val="24"/>
        </w:rPr>
        <w:t>24/10/13</w:t>
      </w:r>
      <w:r>
        <w:rPr>
          <w:rFonts w:ascii="Times New Roman" w:eastAsia="Times New Roman" w:hAnsi="Times New Roman" w:cs="Times New Roman"/>
          <w:sz w:val="24"/>
          <w:szCs w:val="24"/>
        </w:rPr>
        <w:t>)</w:t>
      </w:r>
      <w:r w:rsidRPr="000931D5">
        <w:rPr>
          <w:rFonts w:ascii="Times New Roman" w:eastAsia="Times New Roman" w:hAnsi="Times New Roman" w:cs="Times New Roman"/>
          <w:sz w:val="24"/>
          <w:szCs w:val="24"/>
        </w:rPr>
        <w:tab/>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3A73DA">
        <w:rPr>
          <w:rFonts w:ascii="Times New Roman" w:eastAsia="Times New Roman" w:hAnsi="Times New Roman" w:cs="Times New Roman"/>
          <w:sz w:val="24"/>
          <w:szCs w:val="24"/>
        </w:rPr>
        <w:t>Dominique Moisi)</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A8511F" w:rsidRDefault="00887DE5" w:rsidP="003969F7">
      <w:pPr>
        <w:shd w:val="clear" w:color="auto" w:fill="FFFFFF"/>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París.-</w:t>
      </w:r>
      <w:r w:rsidR="003969F7" w:rsidRPr="000931D5">
        <w:rPr>
          <w:rFonts w:ascii="Times New Roman" w:eastAsia="Times New Roman" w:hAnsi="Times New Roman" w:cs="Times New Roman"/>
          <w:sz w:val="24"/>
          <w:szCs w:val="24"/>
        </w:rPr>
        <w:t xml:space="preserve"> </w:t>
      </w:r>
      <w:r w:rsidR="003969F7" w:rsidRPr="00A8511F">
        <w:rPr>
          <w:rFonts w:ascii="Times New Roman" w:eastAsia="Times New Roman" w:hAnsi="Times New Roman" w:cs="Times New Roman"/>
          <w:color w:val="FF0000"/>
          <w:sz w:val="24"/>
          <w:szCs w:val="24"/>
          <w:u w:val="single"/>
        </w:rPr>
        <w:t>“Día tras día Europa se va distanciando de Turquía”, declaró la semana pasada el ministro turco para Asuntos de la Unión Europea, Egemen Bağış. Pero también sucede lo contrario: con una mezcla de desilusión y desafío Turquía se ha estado alejando por sí sola de Europa en años recientes. “Si no nos quieren” parece ser que dicen los turcos, “nosotros realmente no te queremos.”</w:t>
      </w:r>
    </w:p>
    <w:p w:rsidR="003969F7"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A8511F"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r w:rsidRPr="00A8511F">
        <w:rPr>
          <w:rFonts w:ascii="Times New Roman" w:eastAsia="Times New Roman" w:hAnsi="Times New Roman" w:cs="Times New Roman"/>
          <w:sz w:val="24"/>
          <w:szCs w:val="24"/>
          <w:u w:val="single"/>
        </w:rPr>
        <w:t xml:space="preserve">En realidad, casi tres años después del comienzo de la “primavera árabe”, Turquía está más en la búsqueda de sí misma que de Europa, incluso si los turcos no están dispuestos a admitir que necesitan más a Europa que esta a ellos. ¿Quién es Turquía actualmente? ¿Cuáles son sus valores? y ¿Cuál es su destino en un ambiente regional tan inestable? </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 xml:space="preserve">La primavera árabe fue vista al principio como una gran oportunidad para Turquía, un escenario ideal en el que se podía poner de relieve el éxito económico del país, el modelo político democrático y su papel estratégico esencial en la región. Los herederos de uno de los grandes imperios del mundo estaban mostrando a todos que el Islam y la modernidad </w:t>
      </w:r>
      <w:r w:rsidR="00887DE5">
        <w:rPr>
          <w:rFonts w:ascii="Times New Roman" w:eastAsia="Times New Roman" w:hAnsi="Times New Roman" w:cs="Times New Roman"/>
          <w:sz w:val="24"/>
          <w:szCs w:val="24"/>
        </w:rPr>
        <w:t>eran perfectamente compatibles -</w:t>
      </w:r>
      <w:r w:rsidRPr="000931D5">
        <w:rPr>
          <w:rFonts w:ascii="Times New Roman" w:eastAsia="Times New Roman" w:hAnsi="Times New Roman" w:cs="Times New Roman"/>
          <w:sz w:val="24"/>
          <w:szCs w:val="24"/>
        </w:rPr>
        <w:t>y un ejemplo en el que se podían inspirar los países árabes como Egipto.</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En cambio, el papel de Turquía provocaba reservas en los egipcios; después de todo, el imperio otomano los gobernó. Además, en lo que se refiere a los turcos, tenían un sentimiento de superioridad frente al mundo árabe.</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El colapso de la Unión Soviética despertó ambiciones neo</w:t>
      </w:r>
      <w:r w:rsidR="00C853E5">
        <w:rPr>
          <w:rFonts w:ascii="Times New Roman" w:eastAsia="Times New Roman" w:hAnsi="Times New Roman" w:cs="Times New Roman"/>
          <w:sz w:val="24"/>
          <w:szCs w:val="24"/>
        </w:rPr>
        <w:t xml:space="preserve"> o</w:t>
      </w:r>
      <w:r w:rsidRPr="000931D5">
        <w:rPr>
          <w:rFonts w:ascii="Times New Roman" w:eastAsia="Times New Roman" w:hAnsi="Times New Roman" w:cs="Times New Roman"/>
          <w:sz w:val="24"/>
          <w:szCs w:val="24"/>
        </w:rPr>
        <w:t>tomanas en los turcos en lo que se refiere al Cáucaso y Asia Central, y las revoluciones en Medio Oriente parecían ofrecer a los herederos (si no es que huérfanos) de un imperio que había caído desde hace mucho la oportunidad de vengar su pérdida. Si una Europa floja y temerosa no quería a Turquía, peor para ella; la historia estaba ofreciendo  alternativas mucho más gloriosas a los turcos.</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 xml:space="preserve">Si bien, vista desde Bruselas o París, Turquía podía parecer demasiado oriental o </w:t>
      </w:r>
      <w:r w:rsidR="00C853E5" w:rsidRPr="000931D5">
        <w:rPr>
          <w:rFonts w:ascii="Times New Roman" w:eastAsia="Times New Roman" w:hAnsi="Times New Roman" w:cs="Times New Roman"/>
          <w:sz w:val="24"/>
          <w:szCs w:val="24"/>
        </w:rPr>
        <w:t>demasiada</w:t>
      </w:r>
      <w:r w:rsidRPr="000931D5">
        <w:rPr>
          <w:rFonts w:ascii="Times New Roman" w:eastAsia="Times New Roman" w:hAnsi="Times New Roman" w:cs="Times New Roman"/>
          <w:sz w:val="24"/>
          <w:szCs w:val="24"/>
        </w:rPr>
        <w:t xml:space="preserve"> religiosa, desde el Cairo o Túnez parecía como un puente ideal musulmán entre el Occidente democrático y </w:t>
      </w:r>
      <w:r w:rsidR="00C853E5" w:rsidRPr="000931D5">
        <w:rPr>
          <w:rFonts w:ascii="Times New Roman" w:eastAsia="Times New Roman" w:hAnsi="Times New Roman" w:cs="Times New Roman"/>
          <w:sz w:val="24"/>
          <w:szCs w:val="24"/>
        </w:rPr>
        <w:t>el</w:t>
      </w:r>
      <w:r w:rsidRPr="000931D5">
        <w:rPr>
          <w:rFonts w:ascii="Times New Roman" w:eastAsia="Times New Roman" w:hAnsi="Times New Roman" w:cs="Times New Roman"/>
          <w:sz w:val="24"/>
          <w:szCs w:val="24"/>
        </w:rPr>
        <w:t xml:space="preserve"> Asia económicamente dinámica. Además, Turquía podía usar dos hechos poderosos debido a su política de “buen vecino” con dos países socios y rivales, Irán y Siria, así como su respaldo a la presidencia de corta duración de Mohamed Morsi en Egipto.</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Por desgracia, las esperanzas de las élites turcas (o más bien las expectativas) no se cumplieron. El fin de las revoluciones árabes</w:t>
      </w:r>
      <w:r w:rsidR="00887DE5">
        <w:rPr>
          <w:rFonts w:ascii="Times New Roman" w:eastAsia="Times New Roman" w:hAnsi="Times New Roman" w:cs="Times New Roman"/>
          <w:sz w:val="24"/>
          <w:szCs w:val="24"/>
        </w:rPr>
        <w:t>,</w:t>
      </w:r>
      <w:r w:rsidRPr="000931D5">
        <w:rPr>
          <w:rFonts w:ascii="Times New Roman" w:eastAsia="Times New Roman" w:hAnsi="Times New Roman" w:cs="Times New Roman"/>
          <w:sz w:val="24"/>
          <w:szCs w:val="24"/>
        </w:rPr>
        <w:t xml:space="preserve"> acabaron por exponer las propias debilidades y contradicciones de Turquía, que empeoraron con las políticas represivas y estilo político arrogante del primer ministro Recep Tayyip Erdoğan. Esto se hizo evidente en las manifestaciones que se propagaron esta primavera empezando por la Plaza Taksim de Estambul hasta el resto del país (aunque las manifestaciones tenían más en común con las revueltas recientes en Brasil o las de París en 1968 que con los movimientos populares de Egipto o Túnez.</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A8511F"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r w:rsidRPr="00A8511F">
        <w:rPr>
          <w:rFonts w:ascii="Times New Roman" w:eastAsia="Times New Roman" w:hAnsi="Times New Roman" w:cs="Times New Roman"/>
          <w:sz w:val="24"/>
          <w:szCs w:val="24"/>
          <w:u w:val="single"/>
        </w:rPr>
        <w:lastRenderedPageBreak/>
        <w:t xml:space="preserve">Actualmente los turcos se caracterizan más por el temor a una desintegración que por su esperanza y orgullo por la influencia en aumento del país. El asunto kurdo inquieta a los turcos, al igual que la sensación creciente de que están perdiendo control en dos cuestiones esenciales –las crisis en Siria y en Irán. </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r w:rsidRPr="000931D5">
        <w:rPr>
          <w:rFonts w:ascii="Times New Roman" w:eastAsia="Times New Roman" w:hAnsi="Times New Roman" w:cs="Times New Roman"/>
          <w:sz w:val="24"/>
          <w:szCs w:val="24"/>
        </w:rPr>
        <w:t>En meses recientes, el gobierno turco ha adoptado una postura cada vez más dura hacia el régimen del presidente sirio, Bashar al-Assad, convencido de que va caer. El acuerdo recientemente concluido entre los Estados Unidos y Rusia, es, visto desde este contexto, un asunto que causa frustración: por el precio de destruir su propio arsenal químico, el régimen puede haberse salvado.</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A8511F"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r w:rsidRPr="00A8511F">
        <w:rPr>
          <w:rFonts w:ascii="Times New Roman" w:eastAsia="Times New Roman" w:hAnsi="Times New Roman" w:cs="Times New Roman"/>
          <w:sz w:val="24"/>
          <w:szCs w:val="24"/>
          <w:u w:val="single"/>
        </w:rPr>
        <w:t>Así pues, Turquía debe preguntarse cuál es el beneficio de cortejar a Occidente. ¿Por qué reanudar, bajo la presión de los Estados Unidos, un diálogo casi normal con Israel si no se cumplirán los resultados o peor, si la política estadounidense los traicionará?</w:t>
      </w:r>
    </w:p>
    <w:p w:rsidR="003969F7" w:rsidRPr="00A8511F"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p>
    <w:p w:rsidR="003969F7" w:rsidRPr="00A8511F"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r w:rsidRPr="000931D5">
        <w:rPr>
          <w:rFonts w:ascii="Times New Roman" w:eastAsia="Times New Roman" w:hAnsi="Times New Roman" w:cs="Times New Roman"/>
          <w:sz w:val="24"/>
          <w:szCs w:val="24"/>
        </w:rPr>
        <w:t xml:space="preserve">De igual manera, la retórica moderada del presidente iraní, Hassan Rouhani, junto con el posible avance de la disputa entre Occidente e Irán sobre el programa nuclear de este último, ha provocado en Turquía la sensación de inutilidad o aislamiento. </w:t>
      </w:r>
      <w:r w:rsidRPr="00A8511F">
        <w:rPr>
          <w:rFonts w:ascii="Times New Roman" w:eastAsia="Times New Roman" w:hAnsi="Times New Roman" w:cs="Times New Roman"/>
          <w:sz w:val="24"/>
          <w:szCs w:val="24"/>
          <w:u w:val="single"/>
        </w:rPr>
        <w:t>¿Cómo puede un país percibirse o ser percibido por otros como un actor regional clave si está marginalizado en un momento crítico?</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Pr="00D46B11" w:rsidRDefault="003969F7" w:rsidP="003969F7">
      <w:pPr>
        <w:shd w:val="clear" w:color="auto" w:fill="FFFFFF"/>
        <w:spacing w:after="0" w:line="240" w:lineRule="auto"/>
        <w:jc w:val="both"/>
        <w:rPr>
          <w:rFonts w:ascii="Times New Roman" w:eastAsia="Times New Roman" w:hAnsi="Times New Roman" w:cs="Times New Roman"/>
          <w:sz w:val="24"/>
          <w:szCs w:val="24"/>
          <w:u w:val="single"/>
        </w:rPr>
      </w:pPr>
      <w:r w:rsidRPr="00D46B11">
        <w:rPr>
          <w:rFonts w:ascii="Times New Roman" w:eastAsia="Times New Roman" w:hAnsi="Times New Roman" w:cs="Times New Roman"/>
          <w:sz w:val="24"/>
          <w:szCs w:val="24"/>
          <w:u w:val="single"/>
        </w:rPr>
        <w:t>La historia sigue su curso en Medio Oriente, pero no en la dirección que Turquía quisiera. Además, como el crecimiento económico del país está perdiendo dinamismo, su gobierno se endurece y su actuación diplomática se convierte en una razón de decepción creciente, muchos turcos ahora se preguntan abiertamente qué sucedió. Sin embargo, en lugar de hacer un ejercicio de introspección positivo, se repliegan en un nacionalismo estridente, tan defensivo al grado de mostrar una falta de seguridad en sí mismos.</w:t>
      </w:r>
    </w:p>
    <w:p w:rsidR="003969F7" w:rsidRPr="000931D5" w:rsidRDefault="003969F7" w:rsidP="003969F7">
      <w:pPr>
        <w:shd w:val="clear" w:color="auto" w:fill="FFFFFF"/>
        <w:spacing w:after="0" w:line="240" w:lineRule="auto"/>
        <w:jc w:val="both"/>
        <w:rPr>
          <w:rFonts w:ascii="Times New Roman" w:eastAsia="Times New Roman" w:hAnsi="Times New Roman" w:cs="Times New Roman"/>
          <w:sz w:val="24"/>
          <w:szCs w:val="24"/>
        </w:rPr>
      </w:pPr>
    </w:p>
    <w:p w:rsidR="003969F7" w:rsidRDefault="003969F7" w:rsidP="003969F7">
      <w:pPr>
        <w:shd w:val="clear" w:color="auto" w:fill="FFFFFF"/>
        <w:spacing w:after="0" w:line="240" w:lineRule="auto"/>
        <w:jc w:val="both"/>
        <w:rPr>
          <w:rFonts w:ascii="Times New Roman" w:eastAsia="Times New Roman" w:hAnsi="Times New Roman" w:cs="Times New Roman"/>
          <w:color w:val="FF0000"/>
          <w:sz w:val="24"/>
          <w:szCs w:val="24"/>
          <w:u w:val="single"/>
        </w:rPr>
      </w:pPr>
      <w:r w:rsidRPr="00D46B11">
        <w:rPr>
          <w:rFonts w:ascii="Times New Roman" w:eastAsia="Times New Roman" w:hAnsi="Times New Roman" w:cs="Times New Roman"/>
          <w:color w:val="FF0000"/>
          <w:sz w:val="24"/>
          <w:szCs w:val="24"/>
          <w:u w:val="single"/>
        </w:rPr>
        <w:t>El desafío actual para Turquía es superar las ilusiones perdidas. Y esto significa que los turcos pueden necesitar a Europa más de lo que están dispuestos a admitir, incluso ante sí mismos. Sin embargo, ¿Está lista Europa y dispuesta hoy más de lo que lo ha estado antes para emprender conversaciones serias con Turquía?</w:t>
      </w:r>
    </w:p>
    <w:p w:rsidR="003969F7" w:rsidRPr="00D46B11" w:rsidRDefault="003969F7" w:rsidP="003969F7">
      <w:pPr>
        <w:shd w:val="clear" w:color="auto" w:fill="FFFFFF"/>
        <w:spacing w:after="0" w:line="240" w:lineRule="auto"/>
        <w:jc w:val="both"/>
        <w:rPr>
          <w:rFonts w:ascii="Times New Roman" w:eastAsia="Times New Roman" w:hAnsi="Times New Roman" w:cs="Times New Roman"/>
          <w:color w:val="FF0000"/>
          <w:sz w:val="24"/>
          <w:szCs w:val="24"/>
          <w:u w:val="single"/>
        </w:rPr>
      </w:pPr>
    </w:p>
    <w:p w:rsidR="003969F7" w:rsidRDefault="003969F7" w:rsidP="003969F7">
      <w:pPr>
        <w:shd w:val="clear" w:color="auto" w:fill="FFFFFF"/>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3A73DA">
        <w:rPr>
          <w:rFonts w:ascii="Times New Roman" w:eastAsia="Times New Roman" w:hAnsi="Times New Roman" w:cs="Times New Roman"/>
          <w:sz w:val="24"/>
          <w:szCs w:val="24"/>
          <w:lang w:val="en-US"/>
        </w:rPr>
        <w:t>Dominique Moisi, Senior Adviser at The French Institute for International Affairs (IFRI) and a professor at L'Institut d’études polit</w:t>
      </w:r>
      <w:r w:rsidR="00491864">
        <w:rPr>
          <w:rFonts w:ascii="Times New Roman" w:eastAsia="Times New Roman" w:hAnsi="Times New Roman" w:cs="Times New Roman"/>
          <w:sz w:val="24"/>
          <w:szCs w:val="24"/>
          <w:lang w:val="en-US"/>
        </w:rPr>
        <w:t>iques de Paris (Sciences Po)</w:t>
      </w:r>
      <w:r w:rsidRPr="003A73DA">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lang w:val="en-US"/>
        </w:rPr>
        <w:t>)</w:t>
      </w:r>
    </w:p>
    <w:p w:rsidR="003969F7" w:rsidRPr="00887DE5" w:rsidRDefault="003969F7" w:rsidP="003969F7">
      <w:pPr>
        <w:pStyle w:val="Ttulo1"/>
        <w:rPr>
          <w:rFonts w:ascii="Times New Roman" w:hAnsi="Times New Roman" w:cs="Times New Roman"/>
          <w:b w:val="0"/>
          <w:color w:val="000000"/>
          <w:sz w:val="24"/>
          <w:szCs w:val="24"/>
        </w:rPr>
      </w:pPr>
      <w:r w:rsidRPr="00887DE5">
        <w:rPr>
          <w:rFonts w:ascii="Times New Roman" w:hAnsi="Times New Roman" w:cs="Times New Roman"/>
          <w:b w:val="0"/>
          <w:color w:val="000000"/>
          <w:sz w:val="24"/>
          <w:szCs w:val="24"/>
        </w:rPr>
        <w:t xml:space="preserve">- </w:t>
      </w:r>
      <w:r w:rsidR="00887DE5" w:rsidRPr="00887DE5">
        <w:rPr>
          <w:rFonts w:ascii="Times New Roman" w:hAnsi="Times New Roman" w:cs="Times New Roman"/>
          <w:b w:val="0"/>
          <w:color w:val="000000"/>
          <w:sz w:val="24"/>
          <w:szCs w:val="24"/>
          <w:u w:val="single"/>
        </w:rPr>
        <w:t>México y los países “MINT”</w:t>
      </w:r>
      <w:r w:rsidRPr="00887DE5">
        <w:rPr>
          <w:rFonts w:ascii="Times New Roman" w:hAnsi="Times New Roman" w:cs="Times New Roman"/>
          <w:b w:val="0"/>
          <w:color w:val="000000"/>
          <w:sz w:val="24"/>
          <w:szCs w:val="24"/>
          <w:u w:val="single"/>
        </w:rPr>
        <w:t>, ¿nuevos gigantes económicos?</w:t>
      </w:r>
      <w:r w:rsidRPr="00887DE5">
        <w:rPr>
          <w:rFonts w:ascii="Times New Roman" w:hAnsi="Times New Roman" w:cs="Times New Roman"/>
          <w:b w:val="0"/>
          <w:color w:val="000000"/>
          <w:sz w:val="24"/>
          <w:szCs w:val="24"/>
        </w:rPr>
        <w:t xml:space="preserve"> (BBCMundo - </w:t>
      </w:r>
      <w:r w:rsidRPr="00887DE5">
        <w:rPr>
          <w:rFonts w:ascii="Times New Roman" w:hAnsi="Times New Roman" w:cs="Times New Roman"/>
          <w:color w:val="000000"/>
          <w:sz w:val="24"/>
          <w:szCs w:val="24"/>
        </w:rPr>
        <w:t>6/1/14</w:t>
      </w:r>
      <w:r w:rsidRPr="00887DE5">
        <w:rPr>
          <w:rFonts w:ascii="Times New Roman" w:hAnsi="Times New Roman" w:cs="Times New Roman"/>
          <w:b w:val="0"/>
          <w:color w:val="000000"/>
          <w:sz w:val="24"/>
          <w:szCs w:val="24"/>
        </w:rPr>
        <w:t>)</w:t>
      </w:r>
    </w:p>
    <w:p w:rsidR="003969F7" w:rsidRPr="00BA2FE3" w:rsidRDefault="003969F7" w:rsidP="003969F7">
      <w:pPr>
        <w:pStyle w:val="name"/>
        <w:rPr>
          <w:color w:val="000000"/>
        </w:rPr>
      </w:pPr>
      <w:r>
        <w:rPr>
          <w:color w:val="000000"/>
        </w:rPr>
        <w:t xml:space="preserve">(Por </w:t>
      </w:r>
      <w:r w:rsidRPr="00BA2FE3">
        <w:rPr>
          <w:color w:val="000000"/>
        </w:rPr>
        <w:t>Jim O'Neill</w:t>
      </w:r>
      <w:r>
        <w:rPr>
          <w:color w:val="000000"/>
        </w:rPr>
        <w:t>)</w:t>
      </w:r>
    </w:p>
    <w:p w:rsidR="003969F7" w:rsidRPr="00BA2FE3" w:rsidRDefault="003969F7" w:rsidP="003969F7">
      <w:pPr>
        <w:pStyle w:val="ingress"/>
        <w:jc w:val="both"/>
        <w:rPr>
          <w:color w:val="000000"/>
        </w:rPr>
      </w:pPr>
      <w:r w:rsidRPr="00BA2FE3">
        <w:rPr>
          <w:rStyle w:val="nfasis"/>
          <w:color w:val="000000"/>
        </w:rPr>
        <w:t xml:space="preserve">En 2001 el mundo </w:t>
      </w:r>
      <w:r w:rsidR="00887DE5" w:rsidRPr="00BA2FE3">
        <w:rPr>
          <w:rStyle w:val="nfasis"/>
          <w:color w:val="000000"/>
        </w:rPr>
        <w:t>comenzó</w:t>
      </w:r>
      <w:r w:rsidRPr="00BA2FE3">
        <w:rPr>
          <w:rStyle w:val="nfasis"/>
          <w:color w:val="000000"/>
        </w:rPr>
        <w:t xml:space="preserve"> a hablar de los BRIC: Brasil, Rusia, India y China. Se los mencionaba como potenciales motores de la economía mundial. El término fue inventado por el economista Jim O'Neill, quien ahora ha acuñado uno nuevo: </w:t>
      </w:r>
      <w:r w:rsidRPr="00E25B6C">
        <w:rPr>
          <w:rStyle w:val="nfasis"/>
          <w:color w:val="FF0000"/>
        </w:rPr>
        <w:t xml:space="preserve">MINT </w:t>
      </w:r>
      <w:r w:rsidRPr="00BA2FE3">
        <w:rPr>
          <w:rStyle w:val="nfasis"/>
          <w:color w:val="000000"/>
        </w:rPr>
        <w:t>(que es tam</w:t>
      </w:r>
      <w:r w:rsidR="00887DE5">
        <w:rPr>
          <w:rStyle w:val="nfasis"/>
          <w:color w:val="000000"/>
        </w:rPr>
        <w:t>bién la palabra en inglés para “menta”</w:t>
      </w:r>
      <w:r w:rsidRPr="00BA2FE3">
        <w:rPr>
          <w:rStyle w:val="nfasis"/>
          <w:color w:val="000000"/>
        </w:rPr>
        <w:t xml:space="preserve">), para agrupar a </w:t>
      </w:r>
      <w:r w:rsidRPr="00E25B6C">
        <w:rPr>
          <w:rStyle w:val="nfasis"/>
          <w:color w:val="FF0000"/>
        </w:rPr>
        <w:t>México, Indonesia, Nigeria y Turquía</w:t>
      </w:r>
      <w:r w:rsidRPr="00BA2FE3">
        <w:rPr>
          <w:rStyle w:val="nfasis"/>
          <w:color w:val="000000"/>
        </w:rPr>
        <w:t>. O'Neill los considera las nuevas promesas de la economía mundial y aquí explica por qué.</w:t>
      </w:r>
    </w:p>
    <w:p w:rsidR="003969F7" w:rsidRPr="00BA2FE3" w:rsidRDefault="003969F7" w:rsidP="003969F7">
      <w:pPr>
        <w:pStyle w:val="NormalWeb"/>
        <w:jc w:val="both"/>
        <w:rPr>
          <w:color w:val="000000"/>
        </w:rPr>
      </w:pPr>
      <w:r w:rsidRPr="00BA2FE3">
        <w:rPr>
          <w:color w:val="000000"/>
        </w:rPr>
        <w:t>¿Qué es lo que hace tan especiales a los MINT? ¿Por qué elegir a estos cuatro países?</w:t>
      </w:r>
    </w:p>
    <w:p w:rsidR="003969F7" w:rsidRPr="00E25B6C" w:rsidRDefault="003969F7" w:rsidP="003969F7">
      <w:pPr>
        <w:pStyle w:val="NormalWeb"/>
        <w:jc w:val="both"/>
        <w:rPr>
          <w:color w:val="000000"/>
          <w:u w:val="single"/>
        </w:rPr>
      </w:pPr>
      <w:r w:rsidRPr="00BA2FE3">
        <w:rPr>
          <w:color w:val="000000"/>
        </w:rPr>
        <w:lastRenderedPageBreak/>
        <w:t>Un amigo que ha seguido la historia de los BRIC comentó con sarcasmo que los del nuev</w:t>
      </w:r>
      <w:r w:rsidR="00887DE5">
        <w:rPr>
          <w:color w:val="000000"/>
        </w:rPr>
        <w:t>o grupo probablemente sean más “frescos”</w:t>
      </w:r>
      <w:r w:rsidRPr="00BA2FE3">
        <w:rPr>
          <w:color w:val="000000"/>
        </w:rPr>
        <w:t xml:space="preserve"> que los agrupados en ese acrónimo. </w:t>
      </w:r>
      <w:r w:rsidRPr="00E25B6C">
        <w:rPr>
          <w:color w:val="000000"/>
          <w:u w:val="single"/>
        </w:rPr>
        <w:t>Lo que de verdad comparten, además de tener grandes poblaciones, es que al menos durante los próximos 20 años tendrán una buena constitución demográfica: todos verán un crecimiento de la población en condiciones de trabajar en relación a aquellos que no trabajan.</w:t>
      </w:r>
    </w:p>
    <w:p w:rsidR="003969F7" w:rsidRPr="00E25B6C" w:rsidRDefault="003969F7" w:rsidP="003969F7">
      <w:pPr>
        <w:pStyle w:val="NormalWeb"/>
        <w:jc w:val="both"/>
        <w:rPr>
          <w:color w:val="000000"/>
          <w:u w:val="single"/>
        </w:rPr>
      </w:pPr>
      <w:r w:rsidRPr="00E25B6C">
        <w:rPr>
          <w:color w:val="000000"/>
          <w:u w:val="single"/>
        </w:rPr>
        <w:t>Esto es la envidia de muchos países desarrollados, pero también de dos de los países BRIC: China y Rusia.</w:t>
      </w:r>
    </w:p>
    <w:p w:rsidR="003969F7" w:rsidRPr="00E25B6C" w:rsidRDefault="003969F7" w:rsidP="003969F7">
      <w:pPr>
        <w:pStyle w:val="NormalWeb"/>
        <w:jc w:val="both"/>
        <w:rPr>
          <w:color w:val="FF0000"/>
          <w:u w:val="single"/>
        </w:rPr>
      </w:pPr>
      <w:r w:rsidRPr="00E25B6C">
        <w:rPr>
          <w:color w:val="FF0000"/>
          <w:u w:val="single"/>
        </w:rPr>
        <w:t>Si México, Indonesia, Nigeria y Turquía son capaces de poner la casa en orden, algunos podrían alcanzar el crecimiento anual de dos dígitos que China experimentó entre 2003 y 2008.</w:t>
      </w:r>
    </w:p>
    <w:p w:rsidR="003969F7" w:rsidRPr="00E25B6C" w:rsidRDefault="003969F7" w:rsidP="003969F7">
      <w:pPr>
        <w:pStyle w:val="NormalWeb"/>
        <w:jc w:val="both"/>
        <w:rPr>
          <w:color w:val="000000"/>
          <w:u w:val="single"/>
        </w:rPr>
      </w:pPr>
      <w:r w:rsidRPr="00E25B6C">
        <w:rPr>
          <w:color w:val="000000"/>
          <w:u w:val="single"/>
        </w:rPr>
        <w:t>Otra cosa que tres de ellos comparten</w:t>
      </w:r>
      <w:r w:rsidRPr="00BA2FE3">
        <w:rPr>
          <w:color w:val="000000"/>
        </w:rPr>
        <w:t xml:space="preserve"> es algo que me hizo notar el canciller de México, José Antonio Meade Kuribreña: </w:t>
      </w:r>
      <w:r w:rsidRPr="00E25B6C">
        <w:rPr>
          <w:color w:val="000000"/>
          <w:u w:val="single"/>
        </w:rPr>
        <w:t>tienen ventajosas ubicaciones geográficas en un contexto de comercio mundial cambiante.</w:t>
      </w:r>
    </w:p>
    <w:p w:rsidR="003969F7" w:rsidRPr="00E7088B" w:rsidRDefault="003969F7" w:rsidP="003969F7">
      <w:pPr>
        <w:pStyle w:val="NormalWeb"/>
        <w:jc w:val="both"/>
        <w:rPr>
          <w:color w:val="FF0000"/>
          <w:u w:val="single"/>
        </w:rPr>
      </w:pPr>
      <w:r w:rsidRPr="00E7088B">
        <w:rPr>
          <w:color w:val="FF0000"/>
          <w:u w:val="single"/>
        </w:rPr>
        <w:t xml:space="preserve">México mismo, </w:t>
      </w:r>
      <w:r w:rsidR="00887DE5">
        <w:rPr>
          <w:color w:val="FF0000"/>
          <w:u w:val="single"/>
        </w:rPr>
        <w:t>por ejemplo, está al lado de EEUU</w:t>
      </w:r>
      <w:r w:rsidRPr="00E7088B">
        <w:rPr>
          <w:color w:val="FF0000"/>
          <w:u w:val="single"/>
        </w:rPr>
        <w:t>, pero también es parte de América Latina. Indonesia está en el corazón del Sudeste Asiático, pero también tiene profundas conexiones con China.</w:t>
      </w:r>
    </w:p>
    <w:p w:rsidR="003969F7" w:rsidRPr="00E7088B" w:rsidRDefault="003969F7" w:rsidP="003969F7">
      <w:pPr>
        <w:pStyle w:val="NormalWeb"/>
        <w:jc w:val="both"/>
        <w:rPr>
          <w:color w:val="FF0000"/>
          <w:u w:val="single"/>
        </w:rPr>
      </w:pPr>
      <w:r w:rsidRPr="00E7088B">
        <w:rPr>
          <w:color w:val="FF0000"/>
          <w:u w:val="single"/>
        </w:rPr>
        <w:t>Y como es sabido, Turquía está tanto en Oriente como en Occidente.</w:t>
      </w:r>
    </w:p>
    <w:p w:rsidR="003969F7" w:rsidRPr="00E7088B" w:rsidRDefault="003969F7" w:rsidP="003969F7">
      <w:pPr>
        <w:pStyle w:val="NormalWeb"/>
        <w:jc w:val="both"/>
        <w:rPr>
          <w:color w:val="FF0000"/>
          <w:u w:val="single"/>
        </w:rPr>
      </w:pPr>
      <w:r w:rsidRPr="00E7088B">
        <w:rPr>
          <w:color w:val="FF0000"/>
          <w:u w:val="single"/>
        </w:rPr>
        <w:t>Nigeria es el único de los cuatro que no cumple con este criterio, en parte por la falta de desarrollo de África. Pero podría cumplirlo en el futuro si los países de África dejan de pelear y comienzan a comerciar entre sí.</w:t>
      </w:r>
    </w:p>
    <w:p w:rsidR="003969F7" w:rsidRPr="00BA2FE3" w:rsidRDefault="003969F7" w:rsidP="003969F7">
      <w:pPr>
        <w:spacing w:line="240" w:lineRule="auto"/>
        <w:jc w:val="both"/>
        <w:rPr>
          <w:rFonts w:ascii="Times New Roman" w:hAnsi="Times New Roman"/>
          <w:color w:val="000000"/>
          <w:sz w:val="24"/>
          <w:szCs w:val="24"/>
        </w:rPr>
      </w:pPr>
      <w:r w:rsidRPr="00BA2FE3">
        <w:rPr>
          <w:rFonts w:ascii="Times New Roman" w:hAnsi="Times New Roman"/>
          <w:noProof/>
          <w:color w:val="000000"/>
          <w:sz w:val="24"/>
          <w:szCs w:val="24"/>
          <w:lang w:eastAsia="es-ES"/>
        </w:rPr>
        <w:drawing>
          <wp:inline distT="0" distB="0" distL="0" distR="0" wp14:anchorId="0519ABEF" wp14:editId="44E59EA8">
            <wp:extent cx="5943600" cy="3683000"/>
            <wp:effectExtent l="0" t="0" r="0" b="0"/>
            <wp:docPr id="13" name="Imagen 13" descr="Las economías de los MINT en el contexto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s economías de los MINT en el contexto mundial"/>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7410" cy="3685361"/>
                    </a:xfrm>
                    <a:prstGeom prst="rect">
                      <a:avLst/>
                    </a:prstGeom>
                    <a:noFill/>
                    <a:ln>
                      <a:noFill/>
                    </a:ln>
                  </pic:spPr>
                </pic:pic>
              </a:graphicData>
            </a:graphic>
          </wp:inline>
        </w:drawing>
      </w:r>
    </w:p>
    <w:p w:rsidR="003969F7" w:rsidRPr="00BA2FE3" w:rsidRDefault="003969F7" w:rsidP="003969F7">
      <w:pPr>
        <w:pStyle w:val="Ttulo2"/>
        <w:jc w:val="both"/>
        <w:rPr>
          <w:color w:val="000000"/>
          <w:sz w:val="24"/>
          <w:szCs w:val="24"/>
        </w:rPr>
      </w:pPr>
      <w:r w:rsidRPr="00BA2FE3">
        <w:rPr>
          <w:color w:val="000000"/>
          <w:sz w:val="24"/>
          <w:szCs w:val="24"/>
        </w:rPr>
        <w:lastRenderedPageBreak/>
        <w:t>Crecimiento proyectado del ingreso per cápita (en miles de dólares)</w:t>
      </w:r>
    </w:p>
    <w:tbl>
      <w:tblPr>
        <w:tblW w:w="0" w:type="auto"/>
        <w:tblCellMar>
          <w:top w:w="15" w:type="dxa"/>
          <w:left w:w="15" w:type="dxa"/>
          <w:bottom w:w="15" w:type="dxa"/>
          <w:right w:w="15" w:type="dxa"/>
        </w:tblCellMar>
        <w:tblLook w:val="04A0" w:firstRow="1" w:lastRow="0" w:firstColumn="1" w:lastColumn="0" w:noHBand="0" w:noVBand="1"/>
      </w:tblPr>
      <w:tblGrid>
        <w:gridCol w:w="2140"/>
        <w:gridCol w:w="1132"/>
        <w:gridCol w:w="1132"/>
        <w:gridCol w:w="1132"/>
      </w:tblGrid>
      <w:tr w:rsidR="003969F7" w:rsidRPr="00BA2FE3" w:rsidTr="00FE115D">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2000</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2012</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2050</w:t>
            </w:r>
          </w:p>
        </w:tc>
      </w:tr>
      <w:tr w:rsidR="003969F7" w:rsidRPr="00BA2FE3" w:rsidTr="00FE115D">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México</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7,0</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10,6</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48</w:t>
            </w:r>
          </w:p>
        </w:tc>
      </w:tr>
      <w:tr w:rsidR="003969F7" w:rsidRPr="00BA2FE3" w:rsidTr="00FE115D">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Indonesia</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0,8</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3,6</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21</w:t>
            </w:r>
          </w:p>
        </w:tc>
      </w:tr>
      <w:tr w:rsidR="003969F7" w:rsidRPr="00BA2FE3" w:rsidTr="00FE115D">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Nigeria</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0,2</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1,4</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12,6</w:t>
            </w:r>
          </w:p>
        </w:tc>
      </w:tr>
      <w:tr w:rsidR="003969F7" w:rsidRPr="00BA2FE3" w:rsidTr="00FE115D">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Turquía</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4,1</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10,6</w:t>
            </w:r>
          </w:p>
        </w:tc>
        <w:tc>
          <w:tcPr>
            <w:tcW w:w="0" w:type="auto"/>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48,5</w:t>
            </w:r>
          </w:p>
        </w:tc>
      </w:tr>
      <w:tr w:rsidR="003969F7" w:rsidRPr="00BA2FE3" w:rsidTr="00FE115D">
        <w:tc>
          <w:tcPr>
            <w:tcW w:w="0" w:type="auto"/>
            <w:gridSpan w:val="4"/>
            <w:vAlign w:val="center"/>
            <w:hideMark/>
          </w:tcPr>
          <w:p w:rsidR="003969F7" w:rsidRPr="00BA2FE3" w:rsidRDefault="003969F7" w:rsidP="00FE115D">
            <w:pPr>
              <w:spacing w:line="240" w:lineRule="auto"/>
              <w:jc w:val="both"/>
              <w:rPr>
                <w:rFonts w:ascii="Times New Roman" w:hAnsi="Times New Roman"/>
                <w:color w:val="000000"/>
                <w:sz w:val="24"/>
                <w:szCs w:val="24"/>
              </w:rPr>
            </w:pPr>
            <w:r w:rsidRPr="00BA2FE3">
              <w:rPr>
                <w:rFonts w:ascii="Times New Roman" w:hAnsi="Times New Roman"/>
                <w:color w:val="000000"/>
                <w:sz w:val="24"/>
                <w:szCs w:val="24"/>
              </w:rPr>
              <w:t>Fuentes: Fondo Monetario Internacional, Goldman Sachs</w:t>
            </w:r>
          </w:p>
        </w:tc>
      </w:tr>
    </w:tbl>
    <w:p w:rsidR="003969F7" w:rsidRPr="00491864" w:rsidRDefault="003969F7" w:rsidP="003969F7">
      <w:pPr>
        <w:pStyle w:val="Ttulo2"/>
        <w:jc w:val="both"/>
        <w:rPr>
          <w:b w:val="0"/>
          <w:color w:val="000000"/>
          <w:sz w:val="24"/>
          <w:szCs w:val="24"/>
        </w:rPr>
      </w:pPr>
      <w:r w:rsidRPr="00491864">
        <w:rPr>
          <w:b w:val="0"/>
          <w:color w:val="000000"/>
          <w:sz w:val="24"/>
          <w:szCs w:val="24"/>
        </w:rPr>
        <w:t>¿El nacimiento de un nuevo club?</w:t>
      </w:r>
    </w:p>
    <w:p w:rsidR="003969F7" w:rsidRPr="00BA2FE3" w:rsidRDefault="003969F7" w:rsidP="003969F7">
      <w:pPr>
        <w:pStyle w:val="NormalWeb"/>
        <w:jc w:val="both"/>
        <w:rPr>
          <w:color w:val="000000"/>
        </w:rPr>
      </w:pPr>
      <w:r w:rsidRPr="00BA2FE3">
        <w:rPr>
          <w:color w:val="000000"/>
        </w:rPr>
        <w:t>Estas podrían ser las bases para que los MINT establezcan su propio club económico-político, tal como hicieron los BRIC (una de las cosas que más me han sorprendido de toda la saga de los BRIC). De hecho, ya comienzo a intuir un club MINT.</w:t>
      </w:r>
    </w:p>
    <w:p w:rsidR="003969F7" w:rsidRPr="00BA2FE3" w:rsidRDefault="003969F7" w:rsidP="003969F7">
      <w:pPr>
        <w:pStyle w:val="NormalWeb"/>
        <w:jc w:val="both"/>
        <w:rPr>
          <w:color w:val="000000"/>
        </w:rPr>
      </w:pPr>
      <w:r w:rsidRPr="00BA2FE3">
        <w:rPr>
          <w:color w:val="000000"/>
        </w:rPr>
        <w:t xml:space="preserve">En mi conversación con Meade Kuribreña me </w:t>
      </w:r>
      <w:r w:rsidR="00887DE5" w:rsidRPr="00BA2FE3">
        <w:rPr>
          <w:color w:val="000000"/>
        </w:rPr>
        <w:t>di</w:t>
      </w:r>
      <w:r w:rsidRPr="00BA2FE3">
        <w:rPr>
          <w:color w:val="000000"/>
        </w:rPr>
        <w:t xml:space="preserve"> cuenta de algo más: la creación del acrónimo MINT podría estimular la incorporación de Nigeria al G20, grupo al que ya pertenecen los otros países MINT.</w:t>
      </w:r>
    </w:p>
    <w:p w:rsidR="003969F7" w:rsidRPr="00BA2FE3" w:rsidRDefault="003969F7" w:rsidP="003969F7">
      <w:pPr>
        <w:pStyle w:val="NormalWeb"/>
        <w:jc w:val="both"/>
        <w:rPr>
          <w:color w:val="000000"/>
        </w:rPr>
      </w:pPr>
      <w:r w:rsidRPr="00BA2FE3">
        <w:rPr>
          <w:color w:val="000000"/>
        </w:rPr>
        <w:t>Es algo de lo que la carismática ministra de Finanzas de Nigeria, Ngozi Okonjo-Iw</w:t>
      </w:r>
      <w:r w:rsidR="00887DE5">
        <w:rPr>
          <w:color w:val="000000"/>
        </w:rPr>
        <w:t>eala, tenía interés en hablar: “Sabemos que nuestro día llegará”, dijo. “</w:t>
      </w:r>
      <w:r w:rsidRPr="00BA2FE3">
        <w:rPr>
          <w:color w:val="000000"/>
        </w:rPr>
        <w:t xml:space="preserve">Creemos que se están </w:t>
      </w:r>
      <w:r w:rsidR="00887DE5">
        <w:rPr>
          <w:color w:val="000000"/>
        </w:rPr>
        <w:t>perdiendo algo al no incluirnos”</w:t>
      </w:r>
      <w:r w:rsidRPr="00BA2FE3">
        <w:rPr>
          <w:color w:val="000000"/>
        </w:rPr>
        <w:t>.</w:t>
      </w:r>
    </w:p>
    <w:p w:rsidR="003969F7" w:rsidRPr="00BA2FE3" w:rsidRDefault="003969F7" w:rsidP="003969F7">
      <w:pPr>
        <w:pStyle w:val="NormalWeb"/>
        <w:jc w:val="both"/>
        <w:rPr>
          <w:color w:val="000000"/>
        </w:rPr>
      </w:pPr>
      <w:r w:rsidRPr="00BA2FE3">
        <w:rPr>
          <w:color w:val="000000"/>
        </w:rPr>
        <w:t>Meade Kuribreña llegó a sugerir que, como grupo, los MINT tienen más cosas en común entre sí que los BRIC. De eso no estoy tan seguro, pero es una idea interesante.</w:t>
      </w:r>
    </w:p>
    <w:p w:rsidR="003969F7" w:rsidRPr="00491864" w:rsidRDefault="003969F7" w:rsidP="003969F7">
      <w:pPr>
        <w:pStyle w:val="Ttulo3"/>
        <w:spacing w:line="240" w:lineRule="auto"/>
        <w:jc w:val="both"/>
        <w:rPr>
          <w:rFonts w:ascii="Times New Roman" w:hAnsi="Times New Roman" w:cs="Times New Roman"/>
          <w:b w:val="0"/>
          <w:color w:val="000000"/>
          <w:sz w:val="24"/>
          <w:szCs w:val="24"/>
        </w:rPr>
      </w:pPr>
      <w:r w:rsidRPr="00491864">
        <w:rPr>
          <w:rFonts w:ascii="Times New Roman" w:hAnsi="Times New Roman" w:cs="Times New Roman"/>
          <w:b w:val="0"/>
          <w:color w:val="000000"/>
          <w:sz w:val="24"/>
          <w:szCs w:val="24"/>
        </w:rPr>
        <w:t>México y el costo la violencia</w:t>
      </w:r>
    </w:p>
    <w:p w:rsidR="003969F7" w:rsidRPr="00E7088B" w:rsidRDefault="003969F7" w:rsidP="003969F7">
      <w:pPr>
        <w:pStyle w:val="NormalWeb"/>
        <w:jc w:val="both"/>
        <w:rPr>
          <w:color w:val="FF0000"/>
          <w:u w:val="single"/>
        </w:rPr>
      </w:pPr>
      <w:r w:rsidRPr="00E7088B">
        <w:rPr>
          <w:rStyle w:val="Textoennegrita"/>
          <w:color w:val="FF0000"/>
          <w:u w:val="single"/>
        </w:rPr>
        <w:t>Entre los problemas que afectan a la economía mexicana y pueden comprometer su desarrollo se cuentan la violencia y el narcotráfico.</w:t>
      </w:r>
    </w:p>
    <w:p w:rsidR="003969F7" w:rsidRPr="00887DE5" w:rsidRDefault="003969F7" w:rsidP="003969F7">
      <w:pPr>
        <w:pStyle w:val="NormalWeb"/>
        <w:jc w:val="both"/>
        <w:rPr>
          <w:b/>
          <w:color w:val="000000"/>
        </w:rPr>
      </w:pPr>
      <w:r w:rsidRPr="00887DE5">
        <w:rPr>
          <w:rStyle w:val="Textoennegrita"/>
          <w:b w:val="0"/>
          <w:color w:val="000000"/>
        </w:rPr>
        <w:t>En noviembre de 2013 Alberto Nájar, periodista de BBC Mundo en México, escribió acerca de su impacto:</w:t>
      </w:r>
    </w:p>
    <w:p w:rsidR="003969F7" w:rsidRPr="00BA2FE3" w:rsidRDefault="003969F7" w:rsidP="003969F7">
      <w:pPr>
        <w:pStyle w:val="NormalWeb"/>
        <w:jc w:val="both"/>
        <w:rPr>
          <w:color w:val="000000"/>
        </w:rPr>
      </w:pPr>
      <w:r w:rsidRPr="00BA2FE3">
        <w:rPr>
          <w:color w:val="000000"/>
        </w:rPr>
        <w:t>El gubernamental Instituto Nacional de Estadísticas (Inegi) revela que en los últimos tres años al menos 40.000 empresas pequeñas y medianas cerraron sus puertas debido a la inseguridad.</w:t>
      </w:r>
    </w:p>
    <w:p w:rsidR="003969F7" w:rsidRPr="00BA2FE3" w:rsidRDefault="003969F7" w:rsidP="003969F7">
      <w:pPr>
        <w:pStyle w:val="NormalWeb"/>
        <w:jc w:val="both"/>
        <w:rPr>
          <w:color w:val="000000"/>
        </w:rPr>
      </w:pPr>
      <w:r w:rsidRPr="00BA2FE3">
        <w:rPr>
          <w:color w:val="000000"/>
        </w:rPr>
        <w:t>Muchas no pudieron pagar las extorsion</w:t>
      </w:r>
      <w:r w:rsidR="00887DE5">
        <w:rPr>
          <w:color w:val="000000"/>
        </w:rPr>
        <w:t>es, lo que aquí se conoce como “derecho de piso”</w:t>
      </w:r>
      <w:r w:rsidRPr="00BA2FE3">
        <w:rPr>
          <w:color w:val="000000"/>
        </w:rPr>
        <w:t>, que frecuentemente aplican bandas vinculadas a carteles de narcotráfico. Otras fueron incapaces de sobrevivir a los frecuentes robos.</w:t>
      </w:r>
    </w:p>
    <w:p w:rsidR="003969F7" w:rsidRPr="00BA2FE3" w:rsidRDefault="003969F7" w:rsidP="003969F7">
      <w:pPr>
        <w:pStyle w:val="NormalWeb"/>
        <w:jc w:val="both"/>
        <w:rPr>
          <w:color w:val="000000"/>
        </w:rPr>
      </w:pPr>
      <w:r w:rsidRPr="00BA2FE3">
        <w:rPr>
          <w:color w:val="000000"/>
        </w:rPr>
        <w:t>(...)</w:t>
      </w:r>
    </w:p>
    <w:p w:rsidR="003969F7" w:rsidRPr="00BA2FE3" w:rsidRDefault="003969F7" w:rsidP="003969F7">
      <w:pPr>
        <w:pStyle w:val="NormalWeb"/>
        <w:jc w:val="both"/>
        <w:rPr>
          <w:color w:val="000000"/>
        </w:rPr>
      </w:pPr>
      <w:r w:rsidRPr="00BA2FE3">
        <w:rPr>
          <w:color w:val="000000"/>
        </w:rPr>
        <w:lastRenderedPageBreak/>
        <w:t>Para las empresas la violencia es cara. En algunos casos contratan policías o guardias privados para cuidar todos sus vehículos de reparto y evitar robos; otros asignan guardaespaldas a sus directivos y la mayoría invierte en sistemas de alarma para sus instalaciones.</w:t>
      </w:r>
    </w:p>
    <w:p w:rsidR="003969F7" w:rsidRPr="00BA2FE3" w:rsidRDefault="003969F7" w:rsidP="003969F7">
      <w:pPr>
        <w:pStyle w:val="NormalWeb"/>
        <w:jc w:val="both"/>
        <w:rPr>
          <w:color w:val="000000"/>
        </w:rPr>
      </w:pPr>
      <w:r w:rsidRPr="00BA2FE3">
        <w:rPr>
          <w:color w:val="000000"/>
        </w:rPr>
        <w:t>Según el Inegi, el año pasado el costo de la inseguridad para el sector privado fue de unos US$</w:t>
      </w:r>
      <w:r w:rsidR="00887DE5">
        <w:rPr>
          <w:color w:val="000000"/>
        </w:rPr>
        <w:t xml:space="preserve"> </w:t>
      </w:r>
      <w:r w:rsidRPr="00BA2FE3">
        <w:rPr>
          <w:color w:val="000000"/>
        </w:rPr>
        <w:t>8.800 millones, equivalentes a 0,75% del Producto Interno Bruto.</w:t>
      </w:r>
    </w:p>
    <w:p w:rsidR="003969F7" w:rsidRPr="00E7088B" w:rsidRDefault="003969F7" w:rsidP="003969F7">
      <w:pPr>
        <w:pStyle w:val="NormalWeb"/>
        <w:jc w:val="both"/>
        <w:rPr>
          <w:color w:val="FF0000"/>
          <w:u w:val="single"/>
        </w:rPr>
      </w:pPr>
      <w:r w:rsidRPr="00E7088B">
        <w:rPr>
          <w:color w:val="FF0000"/>
          <w:u w:val="single"/>
        </w:rPr>
        <w:t>En términos económicos, tres de ellos, México, Indonesia y Nigeria, son productores de materias primas; no es el caso de Turquía. Es un contraste con los BRIC, donde dos países, Brasil y Rusia, son productores de materias primas y los otros dos, China e India, no.</w:t>
      </w:r>
    </w:p>
    <w:p w:rsidR="003969F7" w:rsidRPr="00E7088B" w:rsidRDefault="003969F7" w:rsidP="003969F7">
      <w:pPr>
        <w:pStyle w:val="NormalWeb"/>
        <w:jc w:val="both"/>
        <w:rPr>
          <w:color w:val="FF0000"/>
          <w:u w:val="single"/>
        </w:rPr>
      </w:pPr>
      <w:r w:rsidRPr="00E7088B">
        <w:rPr>
          <w:color w:val="FF0000"/>
          <w:u w:val="single"/>
        </w:rPr>
        <w:t>En términos de riqueza México y Turquía están más o menos al mismo nivel, con un ingreso anual per cápita de unos US$</w:t>
      </w:r>
      <w:r w:rsidR="00887DE5">
        <w:rPr>
          <w:color w:val="FF0000"/>
          <w:u w:val="single"/>
        </w:rPr>
        <w:t xml:space="preserve"> </w:t>
      </w:r>
      <w:r w:rsidRPr="00E7088B">
        <w:rPr>
          <w:color w:val="FF0000"/>
          <w:u w:val="single"/>
        </w:rPr>
        <w:t>10.000. Bastante más que los US$</w:t>
      </w:r>
      <w:r w:rsidR="00887DE5">
        <w:rPr>
          <w:color w:val="FF0000"/>
          <w:u w:val="single"/>
        </w:rPr>
        <w:t xml:space="preserve"> </w:t>
      </w:r>
      <w:r w:rsidRPr="00E7088B">
        <w:rPr>
          <w:color w:val="FF0000"/>
          <w:u w:val="single"/>
        </w:rPr>
        <w:t>3.600 de Indonesia y US$</w:t>
      </w:r>
      <w:r w:rsidR="00887DE5">
        <w:rPr>
          <w:color w:val="FF0000"/>
          <w:u w:val="single"/>
        </w:rPr>
        <w:t xml:space="preserve"> </w:t>
      </w:r>
      <w:r w:rsidRPr="00E7088B">
        <w:rPr>
          <w:color w:val="FF0000"/>
          <w:u w:val="single"/>
        </w:rPr>
        <w:t>1.400 per cápita de Nigeria, que está a la par de India; pero un tanto por detrás de Rusia (US$</w:t>
      </w:r>
      <w:r w:rsidR="00887DE5">
        <w:rPr>
          <w:color w:val="FF0000"/>
          <w:u w:val="single"/>
        </w:rPr>
        <w:t xml:space="preserve"> </w:t>
      </w:r>
      <w:r w:rsidRPr="00E7088B">
        <w:rPr>
          <w:color w:val="FF0000"/>
          <w:u w:val="single"/>
        </w:rPr>
        <w:t>14.000) y Brasil (US$</w:t>
      </w:r>
      <w:r w:rsidR="00887DE5">
        <w:rPr>
          <w:color w:val="FF0000"/>
          <w:u w:val="single"/>
        </w:rPr>
        <w:t xml:space="preserve"> </w:t>
      </w:r>
      <w:r w:rsidRPr="00E7088B">
        <w:rPr>
          <w:color w:val="FF0000"/>
          <w:u w:val="single"/>
        </w:rPr>
        <w:t xml:space="preserve">11.300). Siguen adelante de China, donde el ingreso per </w:t>
      </w:r>
      <w:r w:rsidR="00C853E5" w:rsidRPr="00E7088B">
        <w:rPr>
          <w:color w:val="FF0000"/>
          <w:u w:val="single"/>
        </w:rPr>
        <w:t>cápita</w:t>
      </w:r>
      <w:r w:rsidRPr="00E7088B">
        <w:rPr>
          <w:color w:val="FF0000"/>
          <w:u w:val="single"/>
        </w:rPr>
        <w:t xml:space="preserve"> es de US$</w:t>
      </w:r>
      <w:r w:rsidR="00887DE5">
        <w:rPr>
          <w:color w:val="FF0000"/>
          <w:u w:val="single"/>
        </w:rPr>
        <w:t xml:space="preserve"> </w:t>
      </w:r>
      <w:r w:rsidRPr="00E7088B">
        <w:rPr>
          <w:color w:val="FF0000"/>
          <w:u w:val="single"/>
        </w:rPr>
        <w:t>6.000 por año.</w:t>
      </w:r>
    </w:p>
    <w:p w:rsidR="003969F7" w:rsidRPr="00491864" w:rsidRDefault="003969F7" w:rsidP="003969F7">
      <w:pPr>
        <w:pStyle w:val="Ttulo2"/>
        <w:jc w:val="both"/>
        <w:rPr>
          <w:b w:val="0"/>
          <w:color w:val="000000"/>
          <w:sz w:val="24"/>
          <w:szCs w:val="24"/>
        </w:rPr>
      </w:pPr>
      <w:r w:rsidRPr="00491864">
        <w:rPr>
          <w:b w:val="0"/>
          <w:color w:val="000000"/>
          <w:sz w:val="24"/>
          <w:szCs w:val="24"/>
        </w:rPr>
        <w:t>La experiencia en el terreno</w:t>
      </w:r>
    </w:p>
    <w:p w:rsidR="003969F7" w:rsidRPr="00BA2FE3" w:rsidRDefault="003969F7" w:rsidP="003969F7">
      <w:pPr>
        <w:pStyle w:val="NormalWeb"/>
        <w:jc w:val="both"/>
        <w:rPr>
          <w:color w:val="000000"/>
        </w:rPr>
      </w:pPr>
      <w:r w:rsidRPr="00BA2FE3">
        <w:rPr>
          <w:color w:val="000000"/>
        </w:rPr>
        <w:t>En las visitas que hice para la BBC a estos países tenía una pregu</w:t>
      </w:r>
      <w:r w:rsidR="00887DE5">
        <w:rPr>
          <w:color w:val="000000"/>
        </w:rPr>
        <w:t>nta que me guiaba: “</w:t>
      </w:r>
      <w:r w:rsidRPr="00BA2FE3">
        <w:rPr>
          <w:color w:val="000000"/>
        </w:rPr>
        <w:t>¿Cómo se siente la vida real, cotidiana, en el terreno, comparada con mis expectativas y el consenso general a</w:t>
      </w:r>
      <w:r w:rsidR="00887DE5">
        <w:rPr>
          <w:color w:val="000000"/>
        </w:rPr>
        <w:t>cerca del estado de los países?”</w:t>
      </w:r>
      <w:r w:rsidRPr="00BA2FE3">
        <w:rPr>
          <w:color w:val="000000"/>
        </w:rPr>
        <w:t>.</w:t>
      </w:r>
    </w:p>
    <w:p w:rsidR="003969F7" w:rsidRPr="00BA2FE3" w:rsidRDefault="003969F7" w:rsidP="003969F7">
      <w:pPr>
        <w:pStyle w:val="NormalWeb"/>
        <w:jc w:val="both"/>
        <w:rPr>
          <w:color w:val="000000"/>
        </w:rPr>
      </w:pPr>
      <w:r w:rsidRPr="00BA2FE3">
        <w:rPr>
          <w:color w:val="000000"/>
        </w:rPr>
        <w:t>Cuando las expectativas son bajas es fácil sorprenderse en forma positiva, como uno podría decir en general de Nigeria, por ejemplo (aunque inversores especializados en África no estarían sorprendidos en los últimos años).</w:t>
      </w:r>
    </w:p>
    <w:p w:rsidR="003969F7" w:rsidRPr="00BA2FE3" w:rsidRDefault="003969F7" w:rsidP="003969F7">
      <w:pPr>
        <w:pStyle w:val="NormalWeb"/>
        <w:jc w:val="both"/>
        <w:rPr>
          <w:color w:val="000000"/>
        </w:rPr>
      </w:pPr>
      <w:r w:rsidRPr="00BA2FE3">
        <w:rPr>
          <w:color w:val="000000"/>
        </w:rPr>
        <w:t>Pero lo contrario también es cierto, y esto podría representar un problema para México, país por el que muestran verdadero entusiasmo los inversores financieros.</w:t>
      </w:r>
    </w:p>
    <w:p w:rsidR="003969F7" w:rsidRPr="00BA2FE3" w:rsidRDefault="003969F7" w:rsidP="003969F7">
      <w:pPr>
        <w:pStyle w:val="NormalWeb"/>
        <w:jc w:val="both"/>
        <w:rPr>
          <w:color w:val="000000"/>
        </w:rPr>
      </w:pPr>
      <w:r w:rsidRPr="00BA2FE3">
        <w:rPr>
          <w:color w:val="000000"/>
        </w:rPr>
        <w:t>Regresé de mis viajes pensando que no sería muy difícil que la gente se viera sorprendida por Nigeria o Turquía, ya que en general reciben mucho peso las cuestiones negativas que son bien conocidas, como el crimen y la corrupción en Nigeria, por ejemplo, o la mano dura del gobierno turco.</w:t>
      </w:r>
    </w:p>
    <w:p w:rsidR="003969F7" w:rsidRPr="00491864" w:rsidRDefault="003969F7" w:rsidP="003969F7">
      <w:pPr>
        <w:pStyle w:val="Ttulo2"/>
        <w:jc w:val="both"/>
        <w:rPr>
          <w:b w:val="0"/>
          <w:color w:val="000000"/>
          <w:sz w:val="24"/>
          <w:szCs w:val="24"/>
        </w:rPr>
      </w:pPr>
      <w:r w:rsidRPr="00491864">
        <w:rPr>
          <w:b w:val="0"/>
          <w:color w:val="000000"/>
          <w:sz w:val="24"/>
          <w:szCs w:val="24"/>
        </w:rPr>
        <w:t>Los desafíos</w:t>
      </w:r>
    </w:p>
    <w:p w:rsidR="003969F7" w:rsidRPr="00BA2FE3" w:rsidRDefault="003969F7" w:rsidP="003969F7">
      <w:pPr>
        <w:pStyle w:val="NormalWeb"/>
        <w:jc w:val="both"/>
        <w:rPr>
          <w:color w:val="000000"/>
        </w:rPr>
      </w:pPr>
      <w:r w:rsidRPr="00BA2FE3">
        <w:rPr>
          <w:color w:val="000000"/>
        </w:rPr>
        <w:t>Menos seguro estoy de Indonesia. Los desafíos del país son tan grandes como lo que esperaba. No hubo nada que me sorp</w:t>
      </w:r>
      <w:r w:rsidR="00887DE5">
        <w:rPr>
          <w:color w:val="000000"/>
        </w:rPr>
        <w:t>rendiera, que me hiciera decir “¡oh!”</w:t>
      </w:r>
      <w:r w:rsidRPr="00BA2FE3">
        <w:rPr>
          <w:color w:val="000000"/>
        </w:rPr>
        <w:t>. Indonesia necesita definir mejor su visión comercial, más allá de las materias primas, y debe mejorar su infraestructura.</w:t>
      </w:r>
    </w:p>
    <w:p w:rsidR="003969F7" w:rsidRPr="00BA2FE3" w:rsidRDefault="00887DE5" w:rsidP="003969F7">
      <w:pPr>
        <w:pStyle w:val="NormalWeb"/>
        <w:jc w:val="both"/>
        <w:rPr>
          <w:color w:val="000000"/>
        </w:rPr>
      </w:pPr>
      <w:r>
        <w:rPr>
          <w:color w:val="000000"/>
        </w:rPr>
        <w:t>Sí dije “¡oh!”</w:t>
      </w:r>
      <w:r w:rsidR="003969F7" w:rsidRPr="00BA2FE3">
        <w:rPr>
          <w:color w:val="000000"/>
        </w:rPr>
        <w:t xml:space="preserve"> en Turquía cuando visité al fabricante de electrodomésticos Beko y a Turkish Airlines, la aerolínea que más rápido está creciendo en el mundo. Y en Nigeria lo decía todo el tiempo.</w:t>
      </w:r>
    </w:p>
    <w:p w:rsidR="003969F7" w:rsidRPr="00BA2FE3" w:rsidRDefault="003969F7" w:rsidP="003969F7">
      <w:pPr>
        <w:pStyle w:val="NormalWeb"/>
        <w:jc w:val="both"/>
        <w:rPr>
          <w:color w:val="000000"/>
        </w:rPr>
      </w:pPr>
      <w:r w:rsidRPr="00BA2FE3">
        <w:rPr>
          <w:color w:val="000000"/>
        </w:rPr>
        <w:t>Es muy fácil entusiasmarse con la creatividad del lugar. Lo fue al menos para mí. Y partí lleno de emoción acerca de varias inversiones personales a las que les eché el ojo.</w:t>
      </w:r>
    </w:p>
    <w:p w:rsidR="003969F7" w:rsidRPr="00BA2FE3" w:rsidRDefault="003969F7" w:rsidP="003969F7">
      <w:pPr>
        <w:pStyle w:val="NormalWeb"/>
        <w:jc w:val="both"/>
        <w:rPr>
          <w:color w:val="000000"/>
        </w:rPr>
      </w:pPr>
      <w:r w:rsidRPr="00BA2FE3">
        <w:rPr>
          <w:color w:val="000000"/>
        </w:rPr>
        <w:lastRenderedPageBreak/>
        <w:t>A México llegué preparado para ser defraudado, ya que las expectativas son tan altas. Pero el joven presidente y sus también jóvenes colegas están determinados a cambiar el lugar.</w:t>
      </w:r>
    </w:p>
    <w:p w:rsidR="003969F7" w:rsidRPr="00BA2FE3" w:rsidRDefault="003969F7" w:rsidP="003969F7">
      <w:pPr>
        <w:pStyle w:val="NormalWeb"/>
        <w:jc w:val="both"/>
        <w:rPr>
          <w:color w:val="000000"/>
        </w:rPr>
      </w:pPr>
      <w:r w:rsidRPr="00BA2FE3">
        <w:rPr>
          <w:color w:val="000000"/>
        </w:rPr>
        <w:t>Si uno, como británico, cree que Margaret Thatcher es el arquetipo del titán de las reformas profundas estos muchachos la hacen quedar como un bebé. Están reformando todo: educación, energía, política fiscal y las propias instituciones de gobierno.</w:t>
      </w:r>
    </w:p>
    <w:p w:rsidR="003969F7" w:rsidRPr="00BA2FE3" w:rsidRDefault="003969F7" w:rsidP="003969F7">
      <w:pPr>
        <w:pStyle w:val="NormalWeb"/>
        <w:jc w:val="both"/>
        <w:rPr>
          <w:color w:val="000000"/>
        </w:rPr>
      </w:pPr>
      <w:r w:rsidRPr="00BA2FE3">
        <w:rPr>
          <w:color w:val="000000"/>
        </w:rPr>
        <w:t>¿Y qué sucede con los desafíos y cosas que usualmente asustan a la gente? Bueno, la corrupción es uno que los cuatro parecen compartir, y tuve varias discusiones interesantes sobre el tema en cada país.</w:t>
      </w:r>
    </w:p>
    <w:p w:rsidR="003969F7" w:rsidRPr="00BA2FE3" w:rsidRDefault="003969F7" w:rsidP="003969F7">
      <w:pPr>
        <w:pStyle w:val="NormalWeb"/>
        <w:jc w:val="both"/>
        <w:rPr>
          <w:color w:val="000000"/>
        </w:rPr>
      </w:pPr>
      <w:r w:rsidRPr="00BA2FE3">
        <w:rPr>
          <w:color w:val="000000"/>
        </w:rPr>
        <w:t>Para el jefe del Banco Central de Nigeria, Lamido Sanusi, es inusual que la corrupción impida el desarrollo económico. También cree que el crecimiento de la economía, sumado a avances en educación mejorarán el gobierno y la transparencia.</w:t>
      </w:r>
    </w:p>
    <w:p w:rsidR="003969F7" w:rsidRPr="00BA2FE3" w:rsidRDefault="003969F7" w:rsidP="003969F7">
      <w:pPr>
        <w:pStyle w:val="NormalWeb"/>
        <w:jc w:val="both"/>
        <w:rPr>
          <w:color w:val="000000"/>
        </w:rPr>
      </w:pPr>
      <w:r w:rsidRPr="00BA2FE3">
        <w:rPr>
          <w:color w:val="000000"/>
        </w:rPr>
        <w:t>Es importante escuchar estos puntos de vista, una alternativa a nuestra</w:t>
      </w:r>
      <w:r>
        <w:rPr>
          <w:color w:val="000000"/>
        </w:rPr>
        <w:t>,</w:t>
      </w:r>
      <w:r w:rsidRPr="00BA2FE3">
        <w:rPr>
          <w:color w:val="000000"/>
        </w:rPr>
        <w:t xml:space="preserve"> muchas veces simplista forma de ver las cosas en Occidente. Para muchas personas dignas de crédito en los MINT la corrupción es la consecuencia de un pasado de fr</w:t>
      </w:r>
      <w:r>
        <w:rPr>
          <w:color w:val="000000"/>
        </w:rPr>
        <w:t xml:space="preserve">agilidad y no la causa de </w:t>
      </w:r>
      <w:r w:rsidRPr="00BA2FE3">
        <w:rPr>
          <w:color w:val="000000"/>
        </w:rPr>
        <w:t>un frágil futuro. Y no es ciertamente el primer problema a resolver; queda bastante relegada cuando se la compara con los costos, alcance y disponibilidad de la energía y claro está, la infraestructura.</w:t>
      </w:r>
    </w:p>
    <w:p w:rsidR="003969F7" w:rsidRPr="00491864" w:rsidRDefault="003969F7" w:rsidP="003969F7">
      <w:pPr>
        <w:pStyle w:val="Ttulo2"/>
        <w:jc w:val="both"/>
        <w:rPr>
          <w:b w:val="0"/>
          <w:color w:val="000000"/>
          <w:sz w:val="24"/>
          <w:szCs w:val="24"/>
        </w:rPr>
      </w:pPr>
      <w:r w:rsidRPr="00491864">
        <w:rPr>
          <w:b w:val="0"/>
          <w:color w:val="000000"/>
          <w:sz w:val="24"/>
          <w:szCs w:val="24"/>
        </w:rPr>
        <w:t>Prioridades</w:t>
      </w:r>
    </w:p>
    <w:p w:rsidR="003969F7" w:rsidRPr="00BA2FE3" w:rsidRDefault="003969F7" w:rsidP="003969F7">
      <w:pPr>
        <w:pStyle w:val="NormalWeb"/>
        <w:jc w:val="both"/>
        <w:rPr>
          <w:color w:val="000000"/>
        </w:rPr>
      </w:pPr>
      <w:r w:rsidRPr="00BA2FE3">
        <w:rPr>
          <w:color w:val="000000"/>
        </w:rPr>
        <w:t>Resolver la política energética es prioridad tanto para los mexicanos como para los nigerianos para poder ejecutar este año nuevas iniciativas que permitan acelerar los ritmos de crecimiento.</w:t>
      </w:r>
    </w:p>
    <w:p w:rsidR="003969F7" w:rsidRPr="00664EB9" w:rsidRDefault="003969F7" w:rsidP="003969F7">
      <w:pPr>
        <w:pStyle w:val="NormalWeb"/>
        <w:jc w:val="both"/>
        <w:rPr>
          <w:color w:val="000000"/>
          <w:u w:val="single"/>
        </w:rPr>
      </w:pPr>
      <w:r w:rsidRPr="00664EB9">
        <w:rPr>
          <w:color w:val="000000"/>
          <w:u w:val="single"/>
        </w:rPr>
        <w:t>Ahora, una estadística sorprendente: unos 170 millones de personas en Nigeria usan la misma cantidad de energía eléctrica que un 1,5 millones en Reino Unido. Casi todos los negocios generan su propia energía y los costos son enormes.</w:t>
      </w:r>
    </w:p>
    <w:p w:rsidR="003969F7" w:rsidRPr="00664EB9" w:rsidRDefault="009B6E26" w:rsidP="003969F7">
      <w:pPr>
        <w:pStyle w:val="NormalWeb"/>
        <w:jc w:val="both"/>
        <w:rPr>
          <w:color w:val="000000"/>
          <w:u w:val="single"/>
        </w:rPr>
      </w:pPr>
      <w:r>
        <w:rPr>
          <w:color w:val="000000"/>
          <w:u w:val="single"/>
        </w:rPr>
        <w:t>“</w:t>
      </w:r>
      <w:r w:rsidR="003969F7" w:rsidRPr="00664EB9">
        <w:rPr>
          <w:color w:val="000000"/>
          <w:u w:val="single"/>
        </w:rPr>
        <w:t>¿Puedes imaginar, puedes creer, que este país ha estado creciendo al 7% anual sin energía,</w:t>
      </w:r>
      <w:r>
        <w:rPr>
          <w:color w:val="000000"/>
          <w:u w:val="single"/>
        </w:rPr>
        <w:t xml:space="preserve"> con cero energía? Es un chiste”</w:t>
      </w:r>
      <w:r w:rsidR="003969F7" w:rsidRPr="00664EB9">
        <w:rPr>
          <w:color w:val="000000"/>
          <w:u w:val="single"/>
        </w:rPr>
        <w:t>, dice el hombre más rico de África, Aliko Dangote.</w:t>
      </w:r>
    </w:p>
    <w:p w:rsidR="003969F7" w:rsidRPr="00664EB9" w:rsidRDefault="003969F7" w:rsidP="003969F7">
      <w:pPr>
        <w:pStyle w:val="NormalWeb"/>
        <w:jc w:val="both"/>
        <w:rPr>
          <w:color w:val="000000"/>
          <w:u w:val="single"/>
        </w:rPr>
      </w:pPr>
      <w:r w:rsidRPr="00664EB9">
        <w:rPr>
          <w:color w:val="000000"/>
          <w:u w:val="single"/>
        </w:rPr>
        <w:t>Tiene razón. Calculo que Nigeria podría crecer al 10-12% anual si resolviera tan solo ese problema; y en seis o siete años habría duplicado el tamaño de su economía.</w:t>
      </w:r>
    </w:p>
    <w:p w:rsidR="003969F7" w:rsidRPr="00BA2FE3" w:rsidRDefault="003969F7" w:rsidP="003969F7">
      <w:pPr>
        <w:pStyle w:val="NormalWeb"/>
        <w:jc w:val="both"/>
        <w:rPr>
          <w:color w:val="000000"/>
        </w:rPr>
      </w:pPr>
      <w:r w:rsidRPr="00BA2FE3">
        <w:rPr>
          <w:color w:val="000000"/>
        </w:rPr>
        <w:t>Para Indonesia, el cuarto país más poblado del mundo, diría que los principales desafíos son el liderazgo y la infraestructura, aunque puede haber muchos más. Pero los desafíos y las oportunidades están juntos.</w:t>
      </w:r>
    </w:p>
    <w:p w:rsidR="003969F7" w:rsidRDefault="003969F7" w:rsidP="003969F7">
      <w:pPr>
        <w:pStyle w:val="NormalWeb"/>
        <w:jc w:val="both"/>
        <w:rPr>
          <w:color w:val="000000"/>
        </w:rPr>
      </w:pPr>
      <w:r w:rsidRPr="00BA2FE3">
        <w:rPr>
          <w:color w:val="000000"/>
        </w:rPr>
        <w:t>En Pluit, un barrio pobre de Yakarta, el suelo se hunde 20 cm por año por la sobreexplotación del agua, pero los precios de las propiedades en otras partes de la ciudad se han disparado.</w:t>
      </w:r>
    </w:p>
    <w:p w:rsidR="009B6E26" w:rsidRPr="00BA2FE3" w:rsidRDefault="009B6E26" w:rsidP="003969F7">
      <w:pPr>
        <w:pStyle w:val="NormalWeb"/>
        <w:jc w:val="both"/>
        <w:rPr>
          <w:color w:val="000000"/>
        </w:rPr>
      </w:pPr>
    </w:p>
    <w:p w:rsidR="003969F7" w:rsidRPr="00491864" w:rsidRDefault="009B6E26" w:rsidP="003969F7">
      <w:pPr>
        <w:pStyle w:val="Ttulo2"/>
        <w:jc w:val="both"/>
        <w:rPr>
          <w:b w:val="0"/>
          <w:color w:val="000000"/>
          <w:sz w:val="24"/>
          <w:szCs w:val="24"/>
        </w:rPr>
      </w:pPr>
      <w:r w:rsidRPr="00491864">
        <w:rPr>
          <w:b w:val="0"/>
          <w:color w:val="000000"/>
          <w:sz w:val="24"/>
          <w:szCs w:val="24"/>
        </w:rPr>
        <w:lastRenderedPageBreak/>
        <w:t>“Sabemos que va a funcionar”</w:t>
      </w:r>
    </w:p>
    <w:p w:rsidR="003969F7" w:rsidRPr="00664EB9" w:rsidRDefault="003969F7" w:rsidP="003969F7">
      <w:pPr>
        <w:pStyle w:val="NormalWeb"/>
        <w:jc w:val="both"/>
        <w:rPr>
          <w:color w:val="000000"/>
          <w:u w:val="single"/>
        </w:rPr>
      </w:pPr>
      <w:r w:rsidRPr="00664EB9">
        <w:rPr>
          <w:color w:val="000000"/>
          <w:u w:val="single"/>
        </w:rPr>
        <w:t>Hablé con el hombre que está construyendo la primera tienda de Ikea del país, quien admite que un tercio de la población de 28 millones de personas de la gran Jakarta (el tercer conurbano más grande del mundo) estaría en condiciones de co</w:t>
      </w:r>
      <w:r w:rsidR="009B6E26">
        <w:rPr>
          <w:color w:val="000000"/>
          <w:u w:val="single"/>
        </w:rPr>
        <w:t>mprar en su tienda. Como dijo: “</w:t>
      </w:r>
      <w:r w:rsidRPr="00664EB9">
        <w:rPr>
          <w:color w:val="000000"/>
          <w:u w:val="single"/>
        </w:rPr>
        <w:t>Simplem</w:t>
      </w:r>
      <w:r w:rsidR="009B6E26">
        <w:rPr>
          <w:color w:val="000000"/>
          <w:u w:val="single"/>
        </w:rPr>
        <w:t>ente sabemos que va a funcionar”</w:t>
      </w:r>
      <w:r w:rsidRPr="00664EB9">
        <w:rPr>
          <w:color w:val="000000"/>
          <w:u w:val="single"/>
        </w:rPr>
        <w:t>.</w:t>
      </w:r>
    </w:p>
    <w:p w:rsidR="003969F7" w:rsidRPr="00BA2FE3" w:rsidRDefault="003969F7" w:rsidP="003969F7">
      <w:pPr>
        <w:pStyle w:val="NormalWeb"/>
        <w:jc w:val="both"/>
        <w:rPr>
          <w:color w:val="000000"/>
        </w:rPr>
      </w:pPr>
      <w:r w:rsidRPr="00664EB9">
        <w:rPr>
          <w:color w:val="000000"/>
          <w:u w:val="single"/>
        </w:rPr>
        <w:t>En Turquía, por supuesto, su política y la combinación de la fe musulmana con cierta intención de hacer cosas al modo occidental presenta su propio tipo de desafío.</w:t>
      </w:r>
      <w:r w:rsidRPr="00BA2FE3">
        <w:rPr>
          <w:color w:val="000000"/>
        </w:rPr>
        <w:t xml:space="preserve"> Algunos podrían decir lo mismo de Indonesia, pero de allí regresé creyendo que no era así. Al menos en Yakarta, el estilo occidental de hacer las cosas está generalmente aceptado, en claro contraste con Turquía.</w:t>
      </w:r>
    </w:p>
    <w:p w:rsidR="003969F7" w:rsidRPr="00664EB9" w:rsidRDefault="003969F7" w:rsidP="003969F7">
      <w:pPr>
        <w:pStyle w:val="NormalWeb"/>
        <w:jc w:val="both"/>
        <w:rPr>
          <w:color w:val="FF0000"/>
          <w:u w:val="single"/>
        </w:rPr>
      </w:pPr>
      <w:r w:rsidRPr="00664EB9">
        <w:rPr>
          <w:color w:val="FF0000"/>
          <w:u w:val="single"/>
        </w:rPr>
        <w:t>Dicho todo esto, ¿pueden los MINT sumarse a las diez economías más grandes del mundo, tras EE.UU., China, los BRIC y tal vez Japón?</w:t>
      </w:r>
    </w:p>
    <w:p w:rsidR="003969F7" w:rsidRPr="00664EB9" w:rsidRDefault="003969F7" w:rsidP="003969F7">
      <w:pPr>
        <w:pStyle w:val="NormalWeb"/>
        <w:jc w:val="both"/>
        <w:rPr>
          <w:color w:val="FF0000"/>
          <w:u w:val="single"/>
        </w:rPr>
      </w:pPr>
      <w:r w:rsidRPr="00664EB9">
        <w:rPr>
          <w:color w:val="FF0000"/>
          <w:u w:val="single"/>
        </w:rPr>
        <w:t>Yo creo que sí, aunque puede llevar 30 años.</w:t>
      </w:r>
    </w:p>
    <w:p w:rsidR="003969F7" w:rsidRDefault="003969F7" w:rsidP="003969F7">
      <w:pPr>
        <w:pStyle w:val="NormalWeb"/>
        <w:jc w:val="both"/>
        <w:rPr>
          <w:color w:val="000000"/>
        </w:rPr>
      </w:pPr>
      <w:r w:rsidRPr="00BA2FE3">
        <w:rPr>
          <w:color w:val="000000"/>
        </w:rPr>
        <w:t>Espero con ansias volver a cada uno de ellos más seguido, ahora que estoy ayudando a que se los reconozca, como hice con los BRIC hace 12 años.</w:t>
      </w:r>
    </w:p>
    <w:p w:rsidR="003969F7" w:rsidRDefault="003969F7" w:rsidP="003969F7">
      <w:pPr>
        <w:pStyle w:val="NormalWeb"/>
        <w:rPr>
          <w:color w:val="000000"/>
        </w:rPr>
      </w:pPr>
      <w:r>
        <w:rPr>
          <w:color w:val="000000"/>
        </w:rPr>
        <w:t xml:space="preserve">- </w:t>
      </w:r>
      <w:r w:rsidRPr="003E45A8">
        <w:rPr>
          <w:color w:val="000000"/>
          <w:u w:val="single"/>
        </w:rPr>
        <w:t>Los mercados emergentes serán una oportunidad</w:t>
      </w:r>
      <w:r>
        <w:rPr>
          <w:color w:val="000000"/>
        </w:rPr>
        <w:t xml:space="preserve"> (El Economista - </w:t>
      </w:r>
      <w:r>
        <w:rPr>
          <w:b/>
          <w:color w:val="000000"/>
        </w:rPr>
        <w:t>7</w:t>
      </w:r>
      <w:r w:rsidRPr="003E45A8">
        <w:rPr>
          <w:b/>
          <w:color w:val="000000"/>
        </w:rPr>
        <w:t>/1/14</w:t>
      </w:r>
      <w:r>
        <w:rPr>
          <w:color w:val="000000"/>
        </w:rPr>
        <w:t>)</w:t>
      </w:r>
    </w:p>
    <w:p w:rsidR="003969F7" w:rsidRDefault="003969F7" w:rsidP="003969F7">
      <w:pPr>
        <w:pStyle w:val="NormalWeb"/>
        <w:rPr>
          <w:color w:val="000000"/>
        </w:rPr>
      </w:pPr>
      <w:r>
        <w:rPr>
          <w:color w:val="000000"/>
        </w:rPr>
        <w:t xml:space="preserve">(Por </w:t>
      </w:r>
      <w:r w:rsidRPr="003E45A8">
        <w:rPr>
          <w:bCs/>
          <w:iCs/>
          <w:color w:val="000000"/>
        </w:rPr>
        <w:t>Matthew Lynn</w:t>
      </w:r>
      <w:r>
        <w:rPr>
          <w:bCs/>
          <w:iCs/>
          <w:color w:val="000000"/>
        </w:rPr>
        <w:t>)</w:t>
      </w:r>
    </w:p>
    <w:p w:rsidR="003969F7" w:rsidRPr="00664EB9" w:rsidRDefault="003969F7" w:rsidP="003969F7">
      <w:pPr>
        <w:pStyle w:val="NormalWeb"/>
        <w:shd w:val="clear" w:color="auto" w:fill="FFFFFF"/>
        <w:jc w:val="both"/>
        <w:rPr>
          <w:color w:val="FF0000"/>
          <w:u w:val="single"/>
        </w:rPr>
      </w:pPr>
      <w:r w:rsidRPr="00664EB9">
        <w:rPr>
          <w:color w:val="FF0000"/>
          <w:u w:val="single"/>
        </w:rPr>
        <w:t>El Gobierno está enfangado en un escándalo de corrupción. Hay revueltas en las calles. Una brutal guerra civil amenaza con arrastrar a sus vecinos. No han faltado razones para vender valores turcos durante el periodo navideño.</w:t>
      </w:r>
    </w:p>
    <w:p w:rsidR="003969F7" w:rsidRPr="00D73A80" w:rsidRDefault="003969F7" w:rsidP="003969F7">
      <w:pPr>
        <w:pStyle w:val="NormalWeb"/>
        <w:shd w:val="clear" w:color="auto" w:fill="FFFFFF"/>
        <w:jc w:val="both"/>
        <w:rPr>
          <w:color w:val="FF0000"/>
          <w:u w:val="single"/>
        </w:rPr>
      </w:pPr>
      <w:r w:rsidRPr="00D73A80">
        <w:rPr>
          <w:color w:val="000000"/>
          <w:u w:val="single"/>
        </w:rPr>
        <w:t>Mientras que la mayoría de inversores estaban ocupados con compras de última hora, el índice de Estambul se desplomaba, cayendo de los cerca de 75.000 de mediados de diciembre a 63.000 justo después de Navidad. Para los inversores extranjeros, fue aún peor, con la lira turca en caída libre. Habrá que acostumbrarse</w:t>
      </w:r>
      <w:r>
        <w:rPr>
          <w:color w:val="000000"/>
        </w:rPr>
        <w:t xml:space="preserve">. </w:t>
      </w:r>
      <w:r w:rsidRPr="00D73A80">
        <w:rPr>
          <w:b/>
          <w:bCs/>
          <w:color w:val="FF0000"/>
          <w:u w:val="single"/>
        </w:rPr>
        <w:t>En los próximos seis meses habrá probablemente una serie de mercados emergentes entrando de lleno en la confusión</w:t>
      </w:r>
      <w:r w:rsidRPr="00D73A80">
        <w:rPr>
          <w:color w:val="FF0000"/>
          <w:u w:val="single"/>
        </w:rPr>
        <w:t>.</w:t>
      </w:r>
      <w:r>
        <w:rPr>
          <w:color w:val="000000"/>
        </w:rPr>
        <w:t xml:space="preserve"> </w:t>
      </w:r>
      <w:r w:rsidRPr="00D73A80">
        <w:rPr>
          <w:color w:val="FF0000"/>
          <w:u w:val="single"/>
        </w:rPr>
        <w:t>A medida que la Reserva Federal empiece a reducir -la flexibilización cuantitativa-, y a medida que crezcan las rentabilidades en el mundo desarrollado, el dinero que ha estado inundando nuevos mercados en busca de mejores rendimientos empezará a dirigirse a casa de nuevo. Desde Turquía hasta Sudáfrica, Rusia e India, podemos esperar ver una serie de mercados sumergidos en pánicos financieros.</w:t>
      </w:r>
    </w:p>
    <w:p w:rsidR="003969F7" w:rsidRPr="00D73A80" w:rsidRDefault="003969F7" w:rsidP="003969F7">
      <w:pPr>
        <w:pStyle w:val="NormalWeb"/>
        <w:shd w:val="clear" w:color="auto" w:fill="FFFFFF"/>
        <w:jc w:val="both"/>
        <w:rPr>
          <w:b/>
          <w:color w:val="FF0000"/>
          <w:u w:val="single"/>
        </w:rPr>
      </w:pPr>
      <w:r w:rsidRPr="00D73A80">
        <w:rPr>
          <w:b/>
          <w:color w:val="FF0000"/>
          <w:u w:val="single"/>
        </w:rPr>
        <w:t xml:space="preserve">Y sin embargo, hay que tener en cuenta que esto es sólo ruido a corto plazo. Un país como Turquía tiene una excelente demografía, bajo endeudamiento, una base industrial en expansión, y está situado en la unión de dos grandes bloques comerciales. Lo mismo puede decirse de la mayoría de mercados emergentes. Habrá una oleada de ventas y cada una de ellas será una oportunidad de comprar activos a precio de ganga. </w:t>
      </w:r>
    </w:p>
    <w:p w:rsidR="003969F7" w:rsidRPr="00D73A80" w:rsidRDefault="003969F7" w:rsidP="003969F7">
      <w:pPr>
        <w:pStyle w:val="NormalWeb"/>
        <w:shd w:val="clear" w:color="auto" w:fill="FFFFFF"/>
        <w:jc w:val="both"/>
        <w:rPr>
          <w:color w:val="000000"/>
          <w:u w:val="single"/>
        </w:rPr>
      </w:pPr>
      <w:r w:rsidRPr="00D73A80">
        <w:rPr>
          <w:color w:val="000000"/>
          <w:u w:val="single"/>
        </w:rPr>
        <w:t xml:space="preserve">Desde luego que Turquía no carece de problemas ahora mismo. La última crisis comenzó el 17 de diciembre, cuando el gobierno arrestó a los hijos de tres ministros del gabinete acusados de corrupción, junto con algunos importantes empresarios. Eso </w:t>
      </w:r>
      <w:r w:rsidRPr="00D73A80">
        <w:rPr>
          <w:color w:val="000000"/>
          <w:u w:val="single"/>
        </w:rPr>
        <w:lastRenderedPageBreak/>
        <w:t xml:space="preserve">provocó revueltas en las calles contra el Gobierno del primer ministro Recap Erdogan. Ha habido rumores de golpe militar y el conflicto ha sido ampliamente interpretado como parte de una batalla más grande entre el régimen modernizador, pero cada vez más autoritario, de Erdogan y los activistas musulmanes. Difícilmente podría enfrentarse a un contexto peor, con la economía ralentizándose y una guerra civil desarrollándose en la vecina Siria, a la que el país puede acabar viéndose arrastrada. Turquía ya había sido sacudida el pasado verano por protestas políticas. </w:t>
      </w:r>
    </w:p>
    <w:p w:rsidR="003969F7" w:rsidRPr="00D73A80" w:rsidRDefault="003969F7" w:rsidP="003969F7">
      <w:pPr>
        <w:pStyle w:val="NormalWeb"/>
        <w:shd w:val="clear" w:color="auto" w:fill="FFFFFF"/>
        <w:jc w:val="both"/>
        <w:rPr>
          <w:color w:val="000000"/>
          <w:u w:val="single"/>
        </w:rPr>
      </w:pPr>
      <w:r w:rsidRPr="00D73A80">
        <w:rPr>
          <w:color w:val="000000"/>
          <w:u w:val="single"/>
        </w:rPr>
        <w:t>Ante el presagio de aún más disturbios, no sorprende que los inversores hayan ido dirigiéndose a la salida. Nadie quiere mantener su dinero en un país donde el Gobierno está perdiendo el control</w:t>
      </w:r>
      <w:r>
        <w:rPr>
          <w:color w:val="000000"/>
        </w:rPr>
        <w:t xml:space="preserve">. </w:t>
      </w:r>
      <w:r w:rsidRPr="00D73A80">
        <w:rPr>
          <w:color w:val="FF0000"/>
          <w:u w:val="single"/>
        </w:rPr>
        <w:t>El Índice Borsa Istanbul 100 cayó un 21% expresado en dólares en diciembre, y un 32% durante el conjunto de 2013</w:t>
      </w:r>
      <w:r>
        <w:rPr>
          <w:color w:val="000000"/>
        </w:rPr>
        <w:t xml:space="preserve">. </w:t>
      </w:r>
      <w:r w:rsidRPr="00D73A80">
        <w:rPr>
          <w:color w:val="FF0000"/>
          <w:u w:val="single"/>
        </w:rPr>
        <w:t>Los rendimientos de los bonos a dos años se han disparado a más del 10%, los mayores en dos años.</w:t>
      </w:r>
      <w:r>
        <w:rPr>
          <w:color w:val="000000"/>
        </w:rPr>
        <w:t xml:space="preserve"> </w:t>
      </w:r>
      <w:r w:rsidRPr="00D73A80">
        <w:rPr>
          <w:color w:val="000000"/>
          <w:u w:val="single"/>
        </w:rPr>
        <w:t>El caos turco es sólo la primera muestra de lo que van a ser unos meses difíciles. Durante los últimos cinco años, a medida que los bancos centrales del mundo desarrollado inundaban los mercados con efectivo, y hacían caer los rendimientos de todo tipo de activos convencionales, el dinero escapaba hacia los mercados emergentes. Todavía ofrecían rendimientos dignos cuando en cualquier otro lugar se habían evaporado.</w:t>
      </w:r>
    </w:p>
    <w:p w:rsidR="003969F7" w:rsidRPr="00491864" w:rsidRDefault="009B6E26" w:rsidP="003969F7">
      <w:pPr>
        <w:pStyle w:val="Ttulo2"/>
        <w:shd w:val="clear" w:color="auto" w:fill="FFFFFF"/>
        <w:jc w:val="both"/>
        <w:rPr>
          <w:b w:val="0"/>
          <w:color w:val="000000"/>
          <w:sz w:val="24"/>
          <w:szCs w:val="24"/>
        </w:rPr>
      </w:pPr>
      <w:r w:rsidRPr="00491864">
        <w:rPr>
          <w:b w:val="0"/>
          <w:color w:val="000000"/>
          <w:sz w:val="24"/>
          <w:szCs w:val="24"/>
        </w:rPr>
        <w:t>El dinero “volverá a casa”</w:t>
      </w:r>
    </w:p>
    <w:p w:rsidR="003969F7" w:rsidRPr="00D73A80" w:rsidRDefault="003969F7" w:rsidP="003969F7">
      <w:pPr>
        <w:pStyle w:val="NormalWeb"/>
        <w:shd w:val="clear" w:color="auto" w:fill="FFFFFF"/>
        <w:jc w:val="both"/>
        <w:rPr>
          <w:color w:val="FF0000"/>
          <w:u w:val="single"/>
        </w:rPr>
      </w:pPr>
      <w:r w:rsidRPr="00D73A80">
        <w:rPr>
          <w:color w:val="FF0000"/>
          <w:u w:val="single"/>
        </w:rPr>
        <w:t>Ahora eso está a punto de revertirse. Aún está por ver cómo de lejos y cómo de rápido llevará a cabo la Reserva Federal el desmantelamiento de su estímulo mensual. El dinero que había inundado los mercados emergentes va a volver a casa. Al mismo tiempo, las grandes economías parecen estar en mejor forma. El euro ya no está en peligro -aunque a largo plazo sigue siendo más incierto- y Japón puede por fin estar terminando una depresión de dos décadas.</w:t>
      </w:r>
    </w:p>
    <w:p w:rsidR="003969F7" w:rsidRPr="00D73A80" w:rsidRDefault="003969F7" w:rsidP="003969F7">
      <w:pPr>
        <w:pStyle w:val="NormalWeb"/>
        <w:shd w:val="clear" w:color="auto" w:fill="FFFFFF"/>
        <w:jc w:val="both"/>
        <w:rPr>
          <w:color w:val="000000"/>
          <w:u w:val="single"/>
        </w:rPr>
      </w:pPr>
      <w:r w:rsidRPr="00D73A80">
        <w:rPr>
          <w:color w:val="FF0000"/>
          <w:u w:val="single"/>
        </w:rPr>
        <w:t>Eso va a ejercer inevitablemente un montón de presión en los mercados emergentes</w:t>
      </w:r>
      <w:r>
        <w:rPr>
          <w:color w:val="000000"/>
        </w:rPr>
        <w:t xml:space="preserve">. </w:t>
      </w:r>
      <w:r w:rsidRPr="00D73A80">
        <w:rPr>
          <w:color w:val="000000"/>
          <w:u w:val="single"/>
        </w:rPr>
        <w:t xml:space="preserve">Las naciones que dependen del flujo de capital extranjero para financiar los déficits por cuenta corriente van a tener de repente problemas una vez empiece a dirigirse a casa. A medida que la economía empiece a renquear, también se desmoronará el apoyo a los regímenes autoritarios y el caos político resultante provocará que huya del país aún más dinero. </w:t>
      </w:r>
    </w:p>
    <w:p w:rsidR="003969F7" w:rsidRDefault="003969F7" w:rsidP="003969F7">
      <w:pPr>
        <w:pStyle w:val="NormalWeb"/>
        <w:shd w:val="clear" w:color="auto" w:fill="FFFFFF"/>
        <w:jc w:val="both"/>
        <w:rPr>
          <w:color w:val="000000"/>
        </w:rPr>
      </w:pPr>
      <w:r>
        <w:rPr>
          <w:color w:val="000000"/>
        </w:rPr>
        <w:t xml:space="preserve">Turquía está lejos de ser el único mercado emergente en tener problemas. Tailandia presenció protestas políticas antes de Navidad. El baht tailandés se ha quedado machacado. </w:t>
      </w:r>
      <w:r w:rsidRPr="00D73A80">
        <w:rPr>
          <w:color w:val="000000"/>
          <w:u w:val="single"/>
        </w:rPr>
        <w:t>Ucrania ha sufrido olas de protestas</w:t>
      </w:r>
      <w:r>
        <w:rPr>
          <w:color w:val="000000"/>
        </w:rPr>
        <w:t xml:space="preserve"> sobre si el país debería buscar una posible entrada en la UE o mantenerse en la esfera de influencia de Rusia. Los rendimientos de los bonos se estaban disparando hasta que Rusia intervino y empezó a comprar. </w:t>
      </w:r>
    </w:p>
    <w:p w:rsidR="003969F7" w:rsidRPr="00D73A80" w:rsidRDefault="003969F7" w:rsidP="003969F7">
      <w:pPr>
        <w:pStyle w:val="NormalWeb"/>
        <w:shd w:val="clear" w:color="auto" w:fill="FFFFFF"/>
        <w:jc w:val="both"/>
        <w:rPr>
          <w:color w:val="FF0000"/>
          <w:u w:val="single"/>
        </w:rPr>
      </w:pPr>
      <w:r w:rsidRPr="00D73A80">
        <w:rPr>
          <w:color w:val="000000"/>
          <w:u w:val="single"/>
        </w:rPr>
        <w:t>Sudáfrica parece que puede ser la próxima tempestad. El crecimiento de Brasil se ha desacelerado drásticamente. Rusia bien puede estar yendo hacia un crack: la subida de los precios de la energía ya no parece capaz por sí misma de sostener la economía</w:t>
      </w:r>
      <w:r>
        <w:rPr>
          <w:color w:val="000000"/>
        </w:rPr>
        <w:t xml:space="preserve">. </w:t>
      </w:r>
      <w:r w:rsidRPr="00D73A80">
        <w:rPr>
          <w:color w:val="FF0000"/>
          <w:u w:val="single"/>
        </w:rPr>
        <w:t xml:space="preserve">Y sin embargo, </w:t>
      </w:r>
      <w:r w:rsidRPr="00D73A80">
        <w:rPr>
          <w:b/>
          <w:bCs/>
          <w:color w:val="FF0000"/>
          <w:u w:val="single"/>
        </w:rPr>
        <w:t>a medida que los mercados se hundan, como sin duda ocurrirá, surgirán oportunidades de compra</w:t>
      </w:r>
      <w:r w:rsidRPr="00D73A80">
        <w:rPr>
          <w:color w:val="FF0000"/>
          <w:u w:val="single"/>
        </w:rPr>
        <w:t xml:space="preserve">. Puede que los mercados en desarrollo hayan sido inflados con grandes flujos de dinero de las grandes economías. Pero eso no debería ocultar a los inversores el hecho de que estos países todavía tienen potencial de crecimiento. </w:t>
      </w:r>
    </w:p>
    <w:p w:rsidR="003969F7" w:rsidRPr="00D73A80" w:rsidRDefault="003969F7" w:rsidP="003969F7">
      <w:pPr>
        <w:pStyle w:val="NormalWeb"/>
        <w:shd w:val="clear" w:color="auto" w:fill="FFFFFF"/>
        <w:jc w:val="both"/>
        <w:rPr>
          <w:color w:val="FF0000"/>
          <w:u w:val="single"/>
        </w:rPr>
      </w:pPr>
      <w:r w:rsidRPr="00D73A80">
        <w:rPr>
          <w:color w:val="FF0000"/>
          <w:u w:val="single"/>
        </w:rPr>
        <w:lastRenderedPageBreak/>
        <w:t xml:space="preserve">Véase Turquía, por ejemplo. La deuda pública ha caído al 40% del PIB, la mitad de los niveles de hace una década, y en 2013 devolvió el último de los préstamos del Fondo Monetario Internacional. Tiene una fuerza de trabajo instruida, joven y en crecimiento. Se están creando nuevas industrias. Todavía es barato como para ser un centro manufacturero para Europa, pero es un puente hacia Oriente Medio y Asia. Es verdad que puede sumirse en el caos como en Egipto. Pero pocos países con un PIB </w:t>
      </w:r>
      <w:r w:rsidRPr="00D73A80">
        <w:rPr>
          <w:i/>
          <w:iCs/>
          <w:color w:val="FF0000"/>
          <w:u w:val="single"/>
        </w:rPr>
        <w:t>per cápita</w:t>
      </w:r>
      <w:r w:rsidRPr="00D73A80">
        <w:rPr>
          <w:color w:val="FF0000"/>
          <w:u w:val="single"/>
        </w:rPr>
        <w:t xml:space="preserve"> de más de 10.000 dólares (un nivel que Turquía ha alcanzado en una década) llegan a presenciar revoluciones. </w:t>
      </w:r>
    </w:p>
    <w:p w:rsidR="003969F7" w:rsidRPr="008F62B5" w:rsidRDefault="003969F7" w:rsidP="003969F7">
      <w:pPr>
        <w:pStyle w:val="NormalWeb"/>
        <w:shd w:val="clear" w:color="auto" w:fill="FFFFFF"/>
        <w:jc w:val="both"/>
        <w:rPr>
          <w:color w:val="000000"/>
          <w:u w:val="single"/>
        </w:rPr>
      </w:pPr>
      <w:r w:rsidRPr="008F62B5">
        <w:rPr>
          <w:color w:val="000000"/>
          <w:u w:val="single"/>
        </w:rPr>
        <w:t>Lo más probable es que para otoño se habrá estabilizado y crecerá de nuevo</w:t>
      </w:r>
      <w:r>
        <w:rPr>
          <w:color w:val="000000"/>
        </w:rPr>
        <w:t xml:space="preserve">. Muchos de los grandes mercados están ya en máximos. Ni Japón parece ya barato. No hay muchos chollos por ahí. </w:t>
      </w:r>
      <w:r w:rsidRPr="008F62B5">
        <w:rPr>
          <w:color w:val="000000"/>
          <w:u w:val="single"/>
        </w:rPr>
        <w:t>Pero al mismo tiempo que los mercados emergentes tropiecen, se volverán mucho más atractivos. Turquía ya parece barata, y también lo parecerán varios mercados más en los próximos meses.</w:t>
      </w:r>
    </w:p>
    <w:p w:rsidR="003969F7" w:rsidRDefault="003969F7" w:rsidP="003969F7">
      <w:pPr>
        <w:pStyle w:val="NormalWeb"/>
        <w:shd w:val="clear" w:color="auto" w:fill="FFFFFF"/>
        <w:jc w:val="both"/>
        <w:rPr>
          <w:bCs/>
          <w:iCs/>
          <w:color w:val="000000"/>
        </w:rPr>
      </w:pPr>
      <w:r>
        <w:rPr>
          <w:bCs/>
          <w:iCs/>
          <w:color w:val="000000"/>
        </w:rPr>
        <w:t>(</w:t>
      </w:r>
      <w:r w:rsidRPr="003E45A8">
        <w:rPr>
          <w:bCs/>
          <w:iCs/>
          <w:color w:val="000000"/>
        </w:rPr>
        <w:t>Matthew Lynn, Director Ejecutivo de la consultor</w:t>
      </w:r>
      <w:r>
        <w:rPr>
          <w:bCs/>
          <w:iCs/>
          <w:color w:val="000000"/>
        </w:rPr>
        <w:t>a londinense Strategy Economics)</w:t>
      </w:r>
    </w:p>
    <w:p w:rsidR="003969F7" w:rsidRDefault="003969F7" w:rsidP="003969F7">
      <w:pPr>
        <w:spacing w:before="100" w:beforeAutospacing="1" w:after="100" w:afterAutospacing="1" w:line="240" w:lineRule="auto"/>
        <w:jc w:val="both"/>
        <w:rPr>
          <w:rFonts w:ascii="Times New Roman" w:hAnsi="Times New Roman"/>
          <w:color w:val="000000"/>
          <w:sz w:val="24"/>
          <w:szCs w:val="24"/>
        </w:rPr>
      </w:pPr>
      <w:r w:rsidRPr="001B6E06">
        <w:rPr>
          <w:rFonts w:ascii="Times New Roman" w:hAnsi="Times New Roman"/>
          <w:color w:val="000000"/>
          <w:sz w:val="24"/>
          <w:szCs w:val="24"/>
        </w:rPr>
        <w:t xml:space="preserve">- </w:t>
      </w:r>
      <w:r w:rsidRPr="001B6E06">
        <w:rPr>
          <w:rFonts w:ascii="Times New Roman" w:hAnsi="Times New Roman"/>
          <w:color w:val="000000"/>
          <w:sz w:val="24"/>
          <w:szCs w:val="24"/>
          <w:u w:val="single"/>
        </w:rPr>
        <w:t>El fallido golpe de Estado burocrático de Turquía</w:t>
      </w:r>
      <w:r>
        <w:rPr>
          <w:rFonts w:ascii="Times New Roman" w:hAnsi="Times New Roman"/>
          <w:color w:val="000000"/>
          <w:sz w:val="24"/>
          <w:szCs w:val="24"/>
        </w:rPr>
        <w:t xml:space="preserve"> (Project Syndicate - </w:t>
      </w:r>
      <w:r w:rsidRPr="001B6E06">
        <w:rPr>
          <w:rFonts w:ascii="Times New Roman" w:hAnsi="Times New Roman"/>
          <w:b/>
          <w:color w:val="000000"/>
          <w:sz w:val="24"/>
          <w:szCs w:val="24"/>
        </w:rPr>
        <w:t>14/1/14</w:t>
      </w:r>
      <w:r>
        <w:rPr>
          <w:rFonts w:ascii="Times New Roman" w:hAnsi="Times New Roman"/>
          <w:color w:val="000000"/>
          <w:sz w:val="24"/>
          <w:szCs w:val="24"/>
        </w:rPr>
        <w:t>)</w:t>
      </w:r>
    </w:p>
    <w:p w:rsidR="003969F7" w:rsidRPr="001B6E06" w:rsidRDefault="003969F7" w:rsidP="003969F7">
      <w:pPr>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C97A3D">
        <w:rPr>
          <w:rFonts w:ascii="Times New Roman" w:hAnsi="Times New Roman"/>
          <w:color w:val="000000"/>
          <w:sz w:val="24"/>
          <w:szCs w:val="24"/>
        </w:rPr>
        <w:t>Ertan Aydin)</w:t>
      </w:r>
    </w:p>
    <w:p w:rsidR="003969F7" w:rsidRPr="00A87499" w:rsidRDefault="009B6E26" w:rsidP="003969F7">
      <w:pPr>
        <w:spacing w:before="100" w:beforeAutospacing="1" w:after="100" w:afterAutospacing="1" w:line="240" w:lineRule="auto"/>
        <w:jc w:val="both"/>
        <w:rPr>
          <w:rFonts w:ascii="Times New Roman" w:hAnsi="Times New Roman"/>
          <w:color w:val="000000"/>
          <w:sz w:val="24"/>
          <w:szCs w:val="24"/>
          <w:u w:val="single"/>
        </w:rPr>
      </w:pPr>
      <w:r>
        <w:rPr>
          <w:rFonts w:ascii="Times New Roman" w:hAnsi="Times New Roman"/>
          <w:color w:val="000000"/>
          <w:sz w:val="24"/>
          <w:szCs w:val="24"/>
        </w:rPr>
        <w:t>Ankara.-</w:t>
      </w:r>
      <w:r w:rsidR="003969F7" w:rsidRPr="001B6E06">
        <w:rPr>
          <w:rFonts w:ascii="Times New Roman" w:hAnsi="Times New Roman"/>
          <w:color w:val="000000"/>
          <w:sz w:val="24"/>
          <w:szCs w:val="24"/>
        </w:rPr>
        <w:t xml:space="preserve"> </w:t>
      </w:r>
      <w:r w:rsidR="003969F7" w:rsidRPr="00A87499">
        <w:rPr>
          <w:rFonts w:ascii="Times New Roman" w:hAnsi="Times New Roman"/>
          <w:color w:val="000000"/>
          <w:sz w:val="24"/>
          <w:szCs w:val="24"/>
          <w:u w:val="single"/>
        </w:rPr>
        <w:t>La semana pasada, el primer ministro turco Recep Tayyip Erdoğan intensificó la respuesta de su gobierno a las investigaciones de corrupción que han estado agitando al país desde diciembre, mediante la reestructuración de la dirección del poder judicial y de la policía. Pero sería un error considerar esto como una lucha entre el poder ejecutivo y el poder judicial, o como un intento de encubrir los cargos que han llevado a la dimisión de tres ministros. Lo que está en discusión es la independencia y la imparcialidad de las autoridades policiales. De hecho, en medio de acusaciones de pruebas falsas, Erdoğan ahora dice que no se opone a que los oficiales militares de alto rango acusados de conspirar para derrocar a su gobierno sean sometidos a nuevos juicios.</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0B679B">
        <w:rPr>
          <w:rFonts w:ascii="Times New Roman" w:hAnsi="Times New Roman"/>
          <w:color w:val="FF0000"/>
          <w:sz w:val="24"/>
          <w:szCs w:val="24"/>
          <w:u w:val="single"/>
        </w:rPr>
        <w:t>Los recientes acontecimientos reflejan la brecha cada vez mayor entre el gobierno de  Erdoğan y el movimiento Gülen, liderado por Fethullah Gülen, un predicador islámico autoexiliado que en la actualidad reside cerca de Filadelfia. El movimiento Gülen dio un apoyo importante al Partido de la Justicia  y el Desarrollo (AKP), y sus esfuerzos por establecer un control civil que reemplace al militar durante los dos primeros años que AKP estuvo en el poder. Ahora, sin embargo, el movimiento parece estar planificando un golpe de Estado propio.</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1B6E06">
        <w:rPr>
          <w:rFonts w:ascii="Times New Roman" w:hAnsi="Times New Roman"/>
          <w:color w:val="000000"/>
          <w:sz w:val="24"/>
          <w:szCs w:val="24"/>
        </w:rPr>
        <w:t xml:space="preserve">Muchos miembros de la judicatura y de la policía asociados a la ola de acusaciones de corrupción presentadas contra funcionarios de gobierno, empresarios y miembros de la familia de los políticos están conectados con el movimiento Gülen. </w:t>
      </w:r>
      <w:r w:rsidRPr="000B679B">
        <w:rPr>
          <w:rFonts w:ascii="Times New Roman" w:hAnsi="Times New Roman"/>
          <w:color w:val="000000"/>
          <w:sz w:val="24"/>
          <w:szCs w:val="24"/>
          <w:u w:val="single"/>
        </w:rPr>
        <w:t>Lo que comenzó como una investigación sobre presunta corrupción pronto se convirtió en una campaña de desprestigio apoyada por la oposición.</w:t>
      </w:r>
    </w:p>
    <w:p w:rsidR="003969F7" w:rsidRPr="001B6E06" w:rsidRDefault="003969F7" w:rsidP="003969F7">
      <w:pPr>
        <w:spacing w:before="100" w:beforeAutospacing="1" w:after="100" w:afterAutospacing="1" w:line="240" w:lineRule="auto"/>
        <w:jc w:val="both"/>
        <w:rPr>
          <w:rFonts w:ascii="Times New Roman" w:hAnsi="Times New Roman"/>
          <w:color w:val="000000"/>
          <w:sz w:val="24"/>
          <w:szCs w:val="24"/>
        </w:rPr>
      </w:pPr>
      <w:r w:rsidRPr="000B679B">
        <w:rPr>
          <w:rFonts w:ascii="Times New Roman" w:hAnsi="Times New Roman"/>
          <w:color w:val="FF0000"/>
          <w:sz w:val="24"/>
          <w:szCs w:val="24"/>
          <w:u w:val="single"/>
        </w:rPr>
        <w:t>Las luchas actuales de Turquía plantean importantes interrogantes sobre la relación apropiada entre los burócratas y los funcionarios electos en una democracia pluralista.</w:t>
      </w:r>
      <w:r w:rsidRPr="001B6E06">
        <w:rPr>
          <w:rFonts w:ascii="Times New Roman" w:hAnsi="Times New Roman"/>
          <w:color w:val="000000"/>
          <w:sz w:val="24"/>
          <w:szCs w:val="24"/>
        </w:rPr>
        <w:t xml:space="preserve"> Responder a dichas interrogantes  requerirá de un debate que trascienda temas como la separación de poderes y la independencia judicial y dilucide cuál es la relación </w:t>
      </w:r>
      <w:r w:rsidRPr="001B6E06">
        <w:rPr>
          <w:rFonts w:ascii="Times New Roman" w:hAnsi="Times New Roman"/>
          <w:color w:val="000000"/>
          <w:sz w:val="24"/>
          <w:szCs w:val="24"/>
        </w:rPr>
        <w:lastRenderedPageBreak/>
        <w:t>apropiada entre la política y la religión. Por eso, es crucial comprender el contexto</w:t>
      </w:r>
      <w:r>
        <w:rPr>
          <w:rFonts w:ascii="Times New Roman" w:hAnsi="Times New Roman"/>
          <w:color w:val="000000"/>
          <w:sz w:val="24"/>
          <w:szCs w:val="24"/>
        </w:rPr>
        <w:t xml:space="preserve"> histórico de la actual crisis.</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0B679B">
        <w:rPr>
          <w:rFonts w:ascii="Times New Roman" w:hAnsi="Times New Roman"/>
          <w:color w:val="000000"/>
          <w:sz w:val="24"/>
          <w:szCs w:val="24"/>
          <w:u w:val="single"/>
        </w:rPr>
        <w:t>Cuando Turquía se convirtió en una democracia en el año 1950, las élites seculares kemalistas del sistema anterior intentaron aprovechar el poder de los militares y la burocracia para controlar al gobierno electo. De hecho, los militares turcos, con el apoyo del poder judicial, intervinieron de manera explícita en el funcionamiento del gobierno civil en los años 1960, 1971, 1980 y 1997, en cada una de estas ocasiones a nombre de proteger el secularismo.</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0B679B">
        <w:rPr>
          <w:rFonts w:ascii="Times New Roman" w:hAnsi="Times New Roman"/>
          <w:color w:val="000000"/>
          <w:sz w:val="24"/>
          <w:szCs w:val="24"/>
          <w:u w:val="single"/>
        </w:rPr>
        <w:t>En respuesta, varios grupos religiosos, entre ellos el movimiento Gülen, incentivaron  a sus seguidores a tomar posiciones en ámbitos burocráticos y militares</w:t>
      </w:r>
      <w:r w:rsidRPr="001B6E06">
        <w:rPr>
          <w:rFonts w:ascii="Times New Roman" w:hAnsi="Times New Roman"/>
          <w:color w:val="000000"/>
          <w:sz w:val="24"/>
          <w:szCs w:val="24"/>
        </w:rPr>
        <w:t xml:space="preserve">. </w:t>
      </w:r>
      <w:r w:rsidRPr="000B679B">
        <w:rPr>
          <w:rFonts w:ascii="Times New Roman" w:hAnsi="Times New Roman"/>
          <w:color w:val="000000"/>
          <w:sz w:val="24"/>
          <w:szCs w:val="24"/>
          <w:u w:val="single"/>
        </w:rPr>
        <w:t>En la década de 1990, los gobiernos seculares respaldados por los militares contraatacaron, tratando de purgar a los burócratas  y líderes militares religiosos: se consideran de manera inmediata como sospechosos a aquellos que no consumía bebidas alcohólicas, o cuyos familiares llevaban pañuelos en la cabeza.</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1B6E06">
        <w:rPr>
          <w:rFonts w:ascii="Times New Roman" w:hAnsi="Times New Roman"/>
          <w:color w:val="000000"/>
          <w:sz w:val="24"/>
          <w:szCs w:val="24"/>
        </w:rPr>
        <w:t xml:space="preserve">Con la normalización de la democracia turca tras la victoria del AKP en el año 2002, se eliminaron las restricciones a la contratación, el empleo y la promoción de los ciudadanos religiosos en las </w:t>
      </w:r>
      <w:r w:rsidR="009B6E26">
        <w:rPr>
          <w:rFonts w:ascii="Times New Roman" w:hAnsi="Times New Roman"/>
          <w:color w:val="000000"/>
          <w:sz w:val="24"/>
          <w:szCs w:val="24"/>
        </w:rPr>
        <w:t>altas esferas de la burocracia -</w:t>
      </w:r>
      <w:r w:rsidRPr="001B6E06">
        <w:rPr>
          <w:rFonts w:ascii="Times New Roman" w:hAnsi="Times New Roman"/>
          <w:color w:val="000000"/>
          <w:sz w:val="24"/>
          <w:szCs w:val="24"/>
        </w:rPr>
        <w:t xml:space="preserve"> un proceso que benefició especialmente a los miembros del movimiento Gülen, con su amplia educación, medios de comunicación y redes de empresas. </w:t>
      </w:r>
      <w:r w:rsidR="009B6E26">
        <w:rPr>
          <w:rFonts w:ascii="Times New Roman" w:hAnsi="Times New Roman"/>
          <w:color w:val="000000"/>
          <w:sz w:val="24"/>
          <w:szCs w:val="24"/>
          <w:u w:val="single"/>
        </w:rPr>
        <w:t>Los seguidores de Gülen -</w:t>
      </w:r>
      <w:r w:rsidRPr="000B679B">
        <w:rPr>
          <w:rFonts w:ascii="Times New Roman" w:hAnsi="Times New Roman"/>
          <w:color w:val="000000"/>
          <w:sz w:val="24"/>
          <w:szCs w:val="24"/>
          <w:u w:val="single"/>
        </w:rPr>
        <w:t>que decían apoyar la democracia liberal y la forma tolerante, moderna</w:t>
      </w:r>
      <w:r w:rsidR="009B6E26">
        <w:rPr>
          <w:rFonts w:ascii="Times New Roman" w:hAnsi="Times New Roman"/>
          <w:color w:val="000000"/>
          <w:sz w:val="24"/>
          <w:szCs w:val="24"/>
          <w:u w:val="single"/>
        </w:rPr>
        <w:t xml:space="preserve"> del Islam adoptada por el AKP-</w:t>
      </w:r>
      <w:r w:rsidRPr="000B679B">
        <w:rPr>
          <w:rFonts w:ascii="Times New Roman" w:hAnsi="Times New Roman"/>
          <w:color w:val="000000"/>
          <w:sz w:val="24"/>
          <w:szCs w:val="24"/>
          <w:u w:val="single"/>
        </w:rPr>
        <w:t xml:space="preserve"> parecían ser los aliados naturales del gobierno de Erdoğan.</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0B679B">
        <w:rPr>
          <w:rFonts w:ascii="Times New Roman" w:hAnsi="Times New Roman"/>
          <w:color w:val="000000"/>
          <w:sz w:val="24"/>
          <w:szCs w:val="24"/>
          <w:u w:val="single"/>
        </w:rPr>
        <w:t>Durante una década, las empresas conectadas a Gülen jugaron un pap</w:t>
      </w:r>
      <w:r w:rsidR="009B6E26">
        <w:rPr>
          <w:rFonts w:ascii="Times New Roman" w:hAnsi="Times New Roman"/>
          <w:color w:val="000000"/>
          <w:sz w:val="24"/>
          <w:szCs w:val="24"/>
          <w:u w:val="single"/>
        </w:rPr>
        <w:t>el ampliamente reconocimiento -y apreciado-</w:t>
      </w:r>
      <w:r w:rsidRPr="000B679B">
        <w:rPr>
          <w:rFonts w:ascii="Times New Roman" w:hAnsi="Times New Roman"/>
          <w:color w:val="000000"/>
          <w:sz w:val="24"/>
          <w:szCs w:val="24"/>
          <w:u w:val="single"/>
        </w:rPr>
        <w:t xml:space="preserve"> en el crecimiento económico y el desarrollo de Turquía, mientras que las escuelas del movimiento Gülen capacitaban a los estudiantes a buscar trabajos de servicio público. Siempre y cuando los burócratas se recluten y promuevan en base a méritos, el AKP no tenía ningún problema en aceptar una excesiva representación de los seguidores Gülen en ciertas ramas del gobierno.</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0B679B">
        <w:rPr>
          <w:rFonts w:ascii="Times New Roman" w:hAnsi="Times New Roman"/>
          <w:color w:val="FF0000"/>
          <w:sz w:val="24"/>
          <w:szCs w:val="24"/>
          <w:u w:val="single"/>
        </w:rPr>
        <w:t>Esta aceptación se basaba en la creencia de que los miembros de Gülen se iban a adherir a la exigencia fundamental en una democracia pluralist</w:t>
      </w:r>
      <w:r w:rsidR="009B2F21">
        <w:rPr>
          <w:rFonts w:ascii="Times New Roman" w:hAnsi="Times New Roman"/>
          <w:color w:val="FF0000"/>
          <w:sz w:val="24"/>
          <w:szCs w:val="24"/>
          <w:u w:val="single"/>
        </w:rPr>
        <w:t>a que dicta que los burócratas -</w:t>
      </w:r>
      <w:r w:rsidRPr="000B679B">
        <w:rPr>
          <w:rFonts w:ascii="Times New Roman" w:hAnsi="Times New Roman"/>
          <w:color w:val="FF0000"/>
          <w:sz w:val="24"/>
          <w:szCs w:val="24"/>
          <w:u w:val="single"/>
        </w:rPr>
        <w:t xml:space="preserve"> ya sean musulmanes en Turquía, mormones en los Estados</w:t>
      </w:r>
      <w:r w:rsidR="009B2F21">
        <w:rPr>
          <w:rFonts w:ascii="Times New Roman" w:hAnsi="Times New Roman"/>
          <w:color w:val="FF0000"/>
          <w:sz w:val="24"/>
          <w:szCs w:val="24"/>
          <w:u w:val="single"/>
        </w:rPr>
        <w:t xml:space="preserve"> Unidos, o budistas en Japón-</w:t>
      </w:r>
      <w:r w:rsidRPr="000B679B">
        <w:rPr>
          <w:rFonts w:ascii="Times New Roman" w:hAnsi="Times New Roman"/>
          <w:color w:val="FF0000"/>
          <w:sz w:val="24"/>
          <w:szCs w:val="24"/>
          <w:u w:val="single"/>
        </w:rPr>
        <w:t xml:space="preserve"> no permiten que sus convicciones religiosas se pongan por encima de su compromiso con el servicio público y el imperio de la ley. Lo que el gobierno no se imaginaba era que emergería una nueva visión de tutelaje burocrático sobre el gobierno civil.</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0B679B">
        <w:rPr>
          <w:rFonts w:ascii="Times New Roman" w:hAnsi="Times New Roman"/>
          <w:color w:val="FF0000"/>
          <w:sz w:val="24"/>
          <w:szCs w:val="24"/>
          <w:u w:val="single"/>
        </w:rPr>
        <w:t>Aunque los seguidores Gülen han estado en desacuerdo con varias de las políticas del gobierno, en gran medida dieron su respaldo al AKP en las tres últimas elecciones. Lo que los llevó a rechazar completamente al partido fue un debate político sobre la reestructuración  de</w:t>
      </w:r>
      <w:r w:rsidR="009B6E26">
        <w:rPr>
          <w:rFonts w:ascii="Times New Roman" w:hAnsi="Times New Roman"/>
          <w:color w:val="FF0000"/>
          <w:sz w:val="24"/>
          <w:szCs w:val="24"/>
          <w:u w:val="single"/>
        </w:rPr>
        <w:t xml:space="preserve">  las “academias preparatorias”-</w:t>
      </w:r>
      <w:r w:rsidRPr="000B679B">
        <w:rPr>
          <w:rFonts w:ascii="Times New Roman" w:hAnsi="Times New Roman"/>
          <w:color w:val="FF0000"/>
          <w:sz w:val="24"/>
          <w:szCs w:val="24"/>
          <w:u w:val="single"/>
        </w:rPr>
        <w:t xml:space="preserve"> costosas instituciones privadas que preparan a las personas a los graduados de las escuelas secundarias para sus exámenes de ingreso a la universidad.</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1B6E06">
        <w:rPr>
          <w:rFonts w:ascii="Times New Roman" w:hAnsi="Times New Roman"/>
          <w:color w:val="000000"/>
          <w:sz w:val="24"/>
          <w:szCs w:val="24"/>
        </w:rPr>
        <w:t xml:space="preserve">El movimiento Gülen opera por lo menos una cuarta parte de estas escuelas, que forman un componente clave de la red de educación de millones de dólares del movimiento y ayuda a reclutar nuevos miembros. </w:t>
      </w:r>
      <w:r w:rsidRPr="000B679B">
        <w:rPr>
          <w:rFonts w:ascii="Times New Roman" w:hAnsi="Times New Roman"/>
          <w:color w:val="FF0000"/>
          <w:sz w:val="24"/>
          <w:szCs w:val="24"/>
          <w:u w:val="single"/>
        </w:rPr>
        <w:t xml:space="preserve">Los miembros del movimiento por lo tanto </w:t>
      </w:r>
      <w:r w:rsidRPr="000B679B">
        <w:rPr>
          <w:rFonts w:ascii="Times New Roman" w:hAnsi="Times New Roman"/>
          <w:color w:val="FF0000"/>
          <w:sz w:val="24"/>
          <w:szCs w:val="24"/>
          <w:u w:val="single"/>
        </w:rPr>
        <w:lastRenderedPageBreak/>
        <w:t>consideraron que el debate en torno a las academias preparatorias como un desafío directo a su influencia.</w:t>
      </w:r>
    </w:p>
    <w:p w:rsidR="003969F7" w:rsidRPr="001B6E06" w:rsidRDefault="003969F7" w:rsidP="003969F7">
      <w:pPr>
        <w:spacing w:before="100" w:beforeAutospacing="1" w:after="100" w:afterAutospacing="1" w:line="240" w:lineRule="auto"/>
        <w:jc w:val="both"/>
        <w:rPr>
          <w:rFonts w:ascii="Times New Roman" w:hAnsi="Times New Roman"/>
          <w:color w:val="000000"/>
          <w:sz w:val="24"/>
          <w:szCs w:val="24"/>
        </w:rPr>
      </w:pPr>
      <w:r w:rsidRPr="001B6E06">
        <w:rPr>
          <w:rFonts w:ascii="Times New Roman" w:hAnsi="Times New Roman"/>
          <w:color w:val="000000"/>
          <w:sz w:val="24"/>
          <w:szCs w:val="24"/>
        </w:rPr>
        <w:t>Pero su</w:t>
      </w:r>
      <w:r w:rsidR="009B6E26">
        <w:rPr>
          <w:rFonts w:ascii="Times New Roman" w:hAnsi="Times New Roman"/>
          <w:color w:val="000000"/>
          <w:sz w:val="24"/>
          <w:szCs w:val="24"/>
        </w:rPr>
        <w:t xml:space="preserve"> reacción fue desproporcionada -</w:t>
      </w:r>
      <w:r w:rsidRPr="001B6E06">
        <w:rPr>
          <w:rFonts w:ascii="Times New Roman" w:hAnsi="Times New Roman"/>
          <w:color w:val="000000"/>
          <w:sz w:val="24"/>
          <w:szCs w:val="24"/>
        </w:rPr>
        <w:t xml:space="preserve"> entre otras cosas debido a que los planes del gobierno no habían finalizado. Además, la propuesta no tuvo nada que ver con el movimiento Gülen; </w:t>
      </w:r>
      <w:r w:rsidRPr="000B679B">
        <w:rPr>
          <w:rFonts w:ascii="Times New Roman" w:hAnsi="Times New Roman"/>
          <w:color w:val="000000"/>
          <w:sz w:val="24"/>
          <w:szCs w:val="24"/>
          <w:u w:val="single"/>
        </w:rPr>
        <w:t>el gobierno estaba respondiendo a las quejas de los ciudadanos por tener que pagar montos extravagantes para preparar a sus hijos para que ingresen a universidades públicas gratuitas</w:t>
      </w:r>
      <w:r w:rsidRPr="001B6E06">
        <w:rPr>
          <w:rFonts w:ascii="Times New Roman" w:hAnsi="Times New Roman"/>
          <w:color w:val="000000"/>
          <w:sz w:val="24"/>
          <w:szCs w:val="24"/>
        </w:rPr>
        <w:t>. Y el movimiento Gülen no fue capturado exactamente con la guardia baja; los representantes de las academias de preparación ya habían entablado un diálogo con los funcionarios del ministerio de educac</w:t>
      </w:r>
      <w:r>
        <w:rPr>
          <w:rFonts w:ascii="Times New Roman" w:hAnsi="Times New Roman"/>
          <w:color w:val="000000"/>
          <w:sz w:val="24"/>
          <w:szCs w:val="24"/>
        </w:rPr>
        <w:t>ión ya hace algún tiempo atrás.</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0B679B">
        <w:rPr>
          <w:rFonts w:ascii="Times New Roman" w:hAnsi="Times New Roman"/>
          <w:color w:val="FF0000"/>
          <w:sz w:val="24"/>
          <w:szCs w:val="24"/>
          <w:u w:val="single"/>
        </w:rPr>
        <w:t>Como en cualquier democracia, la crítica pública de las políticas del gobierno de Turquía es normal y saludable. Pero los intentos de chantajear, amenazar y negociar de manera ilegal con el gobierno de los miembros del poder judicial y de la fuerza policial alineados con Gülen son inaceptables.</w:t>
      </w:r>
    </w:p>
    <w:p w:rsidR="003969F7" w:rsidRPr="000B679B" w:rsidRDefault="003969F7" w:rsidP="003969F7">
      <w:pPr>
        <w:spacing w:before="100" w:beforeAutospacing="1" w:after="100" w:afterAutospacing="1" w:line="240" w:lineRule="auto"/>
        <w:jc w:val="both"/>
        <w:rPr>
          <w:rFonts w:ascii="Times New Roman" w:hAnsi="Times New Roman"/>
          <w:color w:val="FF0000"/>
          <w:sz w:val="24"/>
          <w:szCs w:val="24"/>
          <w:u w:val="single"/>
        </w:rPr>
      </w:pPr>
      <w:r w:rsidRPr="000B679B">
        <w:rPr>
          <w:rFonts w:ascii="Times New Roman" w:hAnsi="Times New Roman"/>
          <w:color w:val="FF0000"/>
          <w:sz w:val="24"/>
          <w:szCs w:val="24"/>
          <w:u w:val="single"/>
        </w:rPr>
        <w:t xml:space="preserve">Ahora, corresponde a los tribunales discernir la verdad acerca de la corrupción entre los llamados  “servidores públicos” de Turquía. Pero todos los indicios apuntan a una cruzada política coordinada por los seguidores Gülen, incluyendo los principales fiscales implicados en los casos recientes de corrupción y los medios de comunicación pro-Gülen que han defendido con firmeza la imparcialidad de los fiscales (a pesar </w:t>
      </w:r>
      <w:r w:rsidR="009B6E26">
        <w:rPr>
          <w:rFonts w:ascii="Times New Roman" w:hAnsi="Times New Roman"/>
          <w:color w:val="FF0000"/>
          <w:sz w:val="24"/>
          <w:szCs w:val="24"/>
          <w:u w:val="single"/>
        </w:rPr>
        <w:t>de las muchas irregularidades -</w:t>
      </w:r>
      <w:r w:rsidRPr="000B679B">
        <w:rPr>
          <w:rFonts w:ascii="Times New Roman" w:hAnsi="Times New Roman"/>
          <w:color w:val="FF0000"/>
          <w:sz w:val="24"/>
          <w:szCs w:val="24"/>
          <w:u w:val="single"/>
        </w:rPr>
        <w:t>como extensas escuc</w:t>
      </w:r>
      <w:r w:rsidR="009B6E26">
        <w:rPr>
          <w:rFonts w:ascii="Times New Roman" w:hAnsi="Times New Roman"/>
          <w:color w:val="FF0000"/>
          <w:sz w:val="24"/>
          <w:szCs w:val="24"/>
          <w:u w:val="single"/>
        </w:rPr>
        <w:t>has telefónicas no autorizadas-</w:t>
      </w:r>
      <w:r w:rsidRPr="000B679B">
        <w:rPr>
          <w:rFonts w:ascii="Times New Roman" w:hAnsi="Times New Roman"/>
          <w:color w:val="FF0000"/>
          <w:sz w:val="24"/>
          <w:szCs w:val="24"/>
          <w:u w:val="single"/>
        </w:rPr>
        <w:t xml:space="preserve"> que han salido a la luz). Por otra parte, se sospecha que un grupo coordinado dentro del pode</w:t>
      </w:r>
      <w:r w:rsidR="009B6E26">
        <w:rPr>
          <w:rFonts w:ascii="Times New Roman" w:hAnsi="Times New Roman"/>
          <w:color w:val="FF0000"/>
          <w:sz w:val="24"/>
          <w:szCs w:val="24"/>
          <w:u w:val="single"/>
        </w:rPr>
        <w:t>r judicial ha plantado pruebas -</w:t>
      </w:r>
      <w:r w:rsidRPr="000B679B">
        <w:rPr>
          <w:rFonts w:ascii="Times New Roman" w:hAnsi="Times New Roman"/>
          <w:color w:val="FF0000"/>
          <w:sz w:val="24"/>
          <w:szCs w:val="24"/>
          <w:u w:val="single"/>
        </w:rPr>
        <w:t xml:space="preserve"> acusaciones que han llevado a los llamados a que se lleven a cabo nuevos juicios para el personal militar.</w:t>
      </w:r>
    </w:p>
    <w:p w:rsidR="003969F7" w:rsidRPr="001B6E06" w:rsidRDefault="003969F7" w:rsidP="003969F7">
      <w:pPr>
        <w:spacing w:before="100" w:beforeAutospacing="1" w:after="100" w:afterAutospacing="1" w:line="240" w:lineRule="auto"/>
        <w:jc w:val="both"/>
        <w:rPr>
          <w:rFonts w:ascii="Times New Roman" w:hAnsi="Times New Roman"/>
          <w:color w:val="000000"/>
          <w:sz w:val="24"/>
          <w:szCs w:val="24"/>
        </w:rPr>
      </w:pPr>
      <w:r w:rsidRPr="001B6E06">
        <w:rPr>
          <w:rFonts w:ascii="Times New Roman" w:hAnsi="Times New Roman"/>
          <w:color w:val="000000"/>
          <w:sz w:val="24"/>
          <w:szCs w:val="24"/>
        </w:rPr>
        <w:t>Desde luego, esto no quiere decir que no hubo intentos de golpe de Estado por parte de miembros de las fuerzas armadas en el pasado o casos de corrupción de políticos y burócratas. El punto es que Turquía necesita reformas judiciales que eliminen la posibilidad de que camarillas organizadas manipulen sus poderes constitucionales para promover s</w:t>
      </w:r>
      <w:r>
        <w:rPr>
          <w:rFonts w:ascii="Times New Roman" w:hAnsi="Times New Roman"/>
          <w:color w:val="000000"/>
          <w:sz w:val="24"/>
          <w:szCs w:val="24"/>
        </w:rPr>
        <w:t>us propios objetivos estrechos.</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1B6E06">
        <w:rPr>
          <w:rFonts w:ascii="Times New Roman" w:hAnsi="Times New Roman"/>
          <w:color w:val="000000"/>
          <w:sz w:val="24"/>
          <w:szCs w:val="24"/>
        </w:rPr>
        <w:t xml:space="preserve">Esta es una línea roja para cualquier democracia pluralista. </w:t>
      </w:r>
      <w:r w:rsidRPr="000B679B">
        <w:rPr>
          <w:rFonts w:ascii="Times New Roman" w:hAnsi="Times New Roman"/>
          <w:color w:val="000000"/>
          <w:sz w:val="24"/>
          <w:szCs w:val="24"/>
          <w:u w:val="single"/>
        </w:rPr>
        <w:t>Los ciudadanos de manera individual deben tener la libertad de vivir de acuerdo con sus creencias; pero no se debe permitir que una visión teológica inexplicable de forma a su comportamiento como funcionarios y burócratas.</w:t>
      </w:r>
    </w:p>
    <w:p w:rsidR="003969F7" w:rsidRPr="000B679B" w:rsidRDefault="003969F7" w:rsidP="003969F7">
      <w:pPr>
        <w:spacing w:before="100" w:beforeAutospacing="1" w:after="100" w:afterAutospacing="1" w:line="240" w:lineRule="auto"/>
        <w:jc w:val="both"/>
        <w:rPr>
          <w:rFonts w:ascii="Times New Roman" w:hAnsi="Times New Roman"/>
          <w:color w:val="000000"/>
          <w:sz w:val="24"/>
          <w:szCs w:val="24"/>
          <w:u w:val="single"/>
        </w:rPr>
      </w:pPr>
      <w:r w:rsidRPr="000B679B">
        <w:rPr>
          <w:rFonts w:ascii="Times New Roman" w:hAnsi="Times New Roman"/>
          <w:color w:val="000000"/>
          <w:sz w:val="24"/>
          <w:szCs w:val="24"/>
          <w:u w:val="single"/>
        </w:rPr>
        <w:t>De manera más general, el debate sobre el movimiento Gülen debe servir como una oportunidad para aclarar la relación entre la religión y la política, mientras que al mismo tiempo que se recuerde al púb</w:t>
      </w:r>
      <w:r w:rsidR="009B6E26">
        <w:rPr>
          <w:rFonts w:ascii="Times New Roman" w:hAnsi="Times New Roman"/>
          <w:color w:val="000000"/>
          <w:sz w:val="24"/>
          <w:szCs w:val="24"/>
          <w:u w:val="single"/>
        </w:rPr>
        <w:t>lico turco -</w:t>
      </w:r>
      <w:r w:rsidRPr="000B679B">
        <w:rPr>
          <w:rFonts w:ascii="Times New Roman" w:hAnsi="Times New Roman"/>
          <w:color w:val="000000"/>
          <w:sz w:val="24"/>
          <w:szCs w:val="24"/>
          <w:u w:val="single"/>
        </w:rPr>
        <w:t xml:space="preserve">y los países de </w:t>
      </w:r>
      <w:r w:rsidR="009B6E26">
        <w:rPr>
          <w:rFonts w:ascii="Times New Roman" w:hAnsi="Times New Roman"/>
          <w:color w:val="000000"/>
          <w:sz w:val="24"/>
          <w:szCs w:val="24"/>
          <w:u w:val="single"/>
        </w:rPr>
        <w:t>mayoría musulmana en la región-</w:t>
      </w:r>
      <w:r w:rsidRPr="000B679B">
        <w:rPr>
          <w:rFonts w:ascii="Times New Roman" w:hAnsi="Times New Roman"/>
          <w:color w:val="000000"/>
          <w:sz w:val="24"/>
          <w:szCs w:val="24"/>
          <w:u w:val="single"/>
        </w:rPr>
        <w:t xml:space="preserve"> de los valores democráticos básicos que han permitido que Turquía se desarrolle y prospere.</w:t>
      </w:r>
    </w:p>
    <w:p w:rsidR="003969F7" w:rsidRPr="001B6E06" w:rsidRDefault="003969F7" w:rsidP="003969F7">
      <w:pPr>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1B6E06">
        <w:rPr>
          <w:rFonts w:ascii="Times New Roman" w:hAnsi="Times New Roman"/>
          <w:color w:val="000000"/>
          <w:sz w:val="24"/>
          <w:szCs w:val="24"/>
          <w:lang w:val="en-US"/>
        </w:rPr>
        <w:t>Ertan Aydin is a senior adviser to Turkish Prime Minister Recep Tayyip Erdoğan</w:t>
      </w:r>
      <w:r>
        <w:rPr>
          <w:rFonts w:ascii="Times New Roman" w:hAnsi="Times New Roman"/>
          <w:color w:val="000000"/>
          <w:sz w:val="24"/>
          <w:szCs w:val="24"/>
          <w:lang w:val="en-US"/>
        </w:rPr>
        <w:t>)</w:t>
      </w:r>
    </w:p>
    <w:p w:rsidR="003969F7" w:rsidRDefault="003969F7" w:rsidP="003969F7">
      <w:pPr>
        <w:shd w:val="clear" w:color="auto" w:fill="FFFFFF"/>
        <w:spacing w:after="360" w:line="240" w:lineRule="auto"/>
        <w:jc w:val="both"/>
        <w:rPr>
          <w:rFonts w:ascii="Times New Roman" w:hAnsi="Times New Roman"/>
          <w:color w:val="000000"/>
          <w:sz w:val="24"/>
          <w:szCs w:val="24"/>
        </w:rPr>
      </w:pPr>
      <w:r w:rsidRPr="00817A98">
        <w:rPr>
          <w:rFonts w:ascii="Times New Roman" w:hAnsi="Times New Roman"/>
          <w:color w:val="000000"/>
          <w:sz w:val="24"/>
          <w:szCs w:val="24"/>
        </w:rPr>
        <w:t xml:space="preserve">- </w:t>
      </w:r>
      <w:r w:rsidRPr="00817A98">
        <w:rPr>
          <w:rFonts w:ascii="Times New Roman" w:hAnsi="Times New Roman"/>
          <w:color w:val="000000"/>
          <w:sz w:val="24"/>
          <w:szCs w:val="24"/>
          <w:u w:val="single"/>
        </w:rPr>
        <w:t>La crisis autoinfligida de Erdoğan</w:t>
      </w:r>
      <w:r>
        <w:rPr>
          <w:rFonts w:ascii="Times New Roman" w:hAnsi="Times New Roman"/>
          <w:color w:val="000000"/>
          <w:sz w:val="24"/>
          <w:szCs w:val="24"/>
        </w:rPr>
        <w:t xml:space="preserve"> (Project Syndicate - </w:t>
      </w:r>
      <w:r w:rsidRPr="00817A98">
        <w:rPr>
          <w:rFonts w:ascii="Times New Roman" w:hAnsi="Times New Roman"/>
          <w:b/>
          <w:color w:val="000000"/>
          <w:sz w:val="24"/>
          <w:szCs w:val="24"/>
        </w:rPr>
        <w:t>14/1/14</w:t>
      </w:r>
      <w:r>
        <w:rPr>
          <w:rFonts w:ascii="Times New Roman" w:hAnsi="Times New Roman"/>
          <w:color w:val="000000"/>
          <w:sz w:val="24"/>
          <w:szCs w:val="24"/>
        </w:rPr>
        <w:t>)</w:t>
      </w:r>
    </w:p>
    <w:p w:rsidR="003969F7" w:rsidRPr="00EC2218" w:rsidRDefault="003969F7" w:rsidP="003969F7">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EC2218">
        <w:rPr>
          <w:rFonts w:ascii="Times New Roman" w:hAnsi="Times New Roman"/>
          <w:color w:val="000000"/>
          <w:sz w:val="24"/>
          <w:szCs w:val="24"/>
        </w:rPr>
        <w:t>Dani Rodrik</w:t>
      </w:r>
      <w:r>
        <w:rPr>
          <w:rFonts w:ascii="Times New Roman" w:hAnsi="Times New Roman"/>
          <w:color w:val="000000"/>
          <w:sz w:val="24"/>
          <w:szCs w:val="24"/>
        </w:rPr>
        <w:t>)</w:t>
      </w:r>
    </w:p>
    <w:p w:rsidR="003969F7" w:rsidRPr="00EC2218" w:rsidRDefault="009B6E26" w:rsidP="003969F7">
      <w:pPr>
        <w:shd w:val="clear" w:color="auto" w:fill="FFFFFF"/>
        <w:spacing w:after="360" w:line="240" w:lineRule="auto"/>
        <w:jc w:val="both"/>
        <w:rPr>
          <w:rFonts w:ascii="Times New Roman" w:hAnsi="Times New Roman"/>
          <w:color w:val="FF0000"/>
          <w:sz w:val="24"/>
          <w:szCs w:val="24"/>
          <w:u w:val="single"/>
        </w:rPr>
      </w:pPr>
      <w:r>
        <w:rPr>
          <w:rFonts w:ascii="Times New Roman" w:hAnsi="Times New Roman"/>
          <w:color w:val="000000"/>
          <w:sz w:val="24"/>
          <w:szCs w:val="24"/>
        </w:rPr>
        <w:lastRenderedPageBreak/>
        <w:t>Princeton.-</w:t>
      </w:r>
      <w:r w:rsidR="003969F7" w:rsidRPr="00817A98">
        <w:rPr>
          <w:rFonts w:ascii="Times New Roman" w:hAnsi="Times New Roman"/>
          <w:color w:val="000000"/>
          <w:sz w:val="24"/>
          <w:szCs w:val="24"/>
        </w:rPr>
        <w:t xml:space="preserve"> </w:t>
      </w:r>
      <w:r w:rsidR="003969F7" w:rsidRPr="00EC2218">
        <w:rPr>
          <w:rFonts w:ascii="Times New Roman" w:hAnsi="Times New Roman"/>
          <w:color w:val="FF0000"/>
          <w:sz w:val="24"/>
          <w:szCs w:val="24"/>
          <w:u w:val="single"/>
        </w:rPr>
        <w:t xml:space="preserve">La dramática batalla entre el Partido Justicia y Desarrollo </w:t>
      </w:r>
      <w:r w:rsidR="003969F7" w:rsidRPr="009B6E26">
        <w:rPr>
          <w:rFonts w:ascii="Times New Roman" w:hAnsi="Times New Roman"/>
          <w:color w:val="FF0000"/>
          <w:sz w:val="24"/>
          <w:szCs w:val="24"/>
          <w:u w:val="single"/>
        </w:rPr>
        <w:t>(AKP)</w:t>
      </w:r>
      <w:r w:rsidR="003969F7" w:rsidRPr="00EC2218">
        <w:rPr>
          <w:rFonts w:ascii="Times New Roman" w:hAnsi="Times New Roman"/>
          <w:color w:val="FF0000"/>
          <w:sz w:val="24"/>
          <w:szCs w:val="24"/>
          <w:u w:val="single"/>
        </w:rPr>
        <w:t xml:space="preserve"> gobernante en Turquía y su antiguo aliado, el movimiento religioso </w:t>
      </w:r>
      <w:r w:rsidR="003969F7" w:rsidRPr="009B6E26">
        <w:rPr>
          <w:rFonts w:ascii="Times New Roman" w:hAnsi="Times New Roman"/>
          <w:color w:val="FF0000"/>
          <w:sz w:val="24"/>
          <w:szCs w:val="24"/>
          <w:u w:val="single"/>
        </w:rPr>
        <w:t>Hizmet</w:t>
      </w:r>
      <w:r w:rsidR="003969F7" w:rsidRPr="00EC2218">
        <w:rPr>
          <w:rFonts w:ascii="Times New Roman" w:hAnsi="Times New Roman"/>
          <w:color w:val="FF0000"/>
          <w:sz w:val="24"/>
          <w:szCs w:val="24"/>
          <w:u w:val="single"/>
        </w:rPr>
        <w:t>, encabezado por el clérigo exiliado Fethulah Gülen, ha empezado a revelar las violaciones del Estado de derecho en gran escala que esos dos grupos cometieron para consolidar su poder. Fiscales a los que se considera de forma generalizada simpatizantes de Gülen han lanzado una investigación muy amplia sobre la corrupción que hasta ahora ha afectado a cuatro ministros y ha llegado hasta el hijo del Primer Ministro, Recep Tayyip Erdoğan.</w:t>
      </w:r>
    </w:p>
    <w:p w:rsidR="003969F7" w:rsidRPr="00EC2218" w:rsidRDefault="003969F7" w:rsidP="003969F7">
      <w:pPr>
        <w:shd w:val="clear" w:color="auto" w:fill="FFFFFF"/>
        <w:spacing w:after="360" w:line="240" w:lineRule="auto"/>
        <w:jc w:val="both"/>
        <w:rPr>
          <w:rFonts w:ascii="Times New Roman" w:hAnsi="Times New Roman"/>
          <w:color w:val="FF0000"/>
          <w:sz w:val="24"/>
          <w:szCs w:val="24"/>
          <w:u w:val="single"/>
        </w:rPr>
      </w:pPr>
      <w:r w:rsidRPr="00EC2218">
        <w:rPr>
          <w:rFonts w:ascii="Times New Roman" w:hAnsi="Times New Roman"/>
          <w:color w:val="FF0000"/>
          <w:sz w:val="24"/>
          <w:szCs w:val="24"/>
          <w:u w:val="single"/>
        </w:rPr>
        <w:t>Ahora Erdoğan y sus asesores han contraatacado. Acusan a los gülenistas de montar un “golpe burocrático” y recurrir a una gran diversidad de sucias artimañas: desde “colocar pruebas” contra generales que fueron condenados el año pasado por conspirar para derribar a Erdoğan hasta hacer “numerosas escuchas telefónicas”.</w:t>
      </w:r>
    </w:p>
    <w:p w:rsidR="003969F7" w:rsidRDefault="003969F7" w:rsidP="003969F7">
      <w:pPr>
        <w:shd w:val="clear" w:color="auto" w:fill="FFFFFF"/>
        <w:spacing w:after="360" w:line="240" w:lineRule="auto"/>
        <w:jc w:val="both"/>
        <w:rPr>
          <w:rFonts w:ascii="Times New Roman" w:hAnsi="Times New Roman"/>
          <w:color w:val="000000"/>
          <w:sz w:val="24"/>
          <w:szCs w:val="24"/>
        </w:rPr>
      </w:pPr>
      <w:r w:rsidRPr="00EC2218">
        <w:rPr>
          <w:rFonts w:ascii="Times New Roman" w:hAnsi="Times New Roman"/>
          <w:color w:val="000000"/>
          <w:sz w:val="24"/>
          <w:szCs w:val="24"/>
          <w:u w:val="single"/>
        </w:rPr>
        <w:t>Ahora se reconoce de forma generalizada lo que de verdad fueron los transcendentales juicios de los supuestos conspiradores para el golpe militar: cazas de brujas basadas en pruebas que en el mejor de los casos eran muy endebles y en muchos casos pura y simplemente fabricadas</w:t>
      </w:r>
      <w:r w:rsidRPr="00817A98">
        <w:rPr>
          <w:rFonts w:ascii="Times New Roman" w:hAnsi="Times New Roman"/>
          <w:color w:val="000000"/>
          <w:sz w:val="24"/>
          <w:szCs w:val="24"/>
        </w:rPr>
        <w:t xml:space="preserve">. </w:t>
      </w:r>
      <w:r w:rsidRPr="00EC2218">
        <w:rPr>
          <w:rFonts w:ascii="Times New Roman" w:hAnsi="Times New Roman"/>
          <w:color w:val="000000"/>
          <w:sz w:val="24"/>
          <w:szCs w:val="24"/>
          <w:u w:val="single"/>
        </w:rPr>
        <w:t>Los juicios fueron orquestados por policía, fiscales y medios de comunicación gülenistas, pero contaron con el decisivo apoyo del gobierno de Erdoğan, que los respaldó con todo su peso</w:t>
      </w:r>
      <w:r w:rsidRPr="00817A98">
        <w:rPr>
          <w:rFonts w:ascii="Times New Roman" w:hAnsi="Times New Roman"/>
          <w:color w:val="000000"/>
          <w:sz w:val="24"/>
          <w:szCs w:val="24"/>
        </w:rPr>
        <w:t xml:space="preserve">. El intento actual por parte del bando de Erdoğan de lavarse las manos respecto de dichos juicios y culpar de ellos enteramente a los gülenistas es </w:t>
      </w:r>
      <w:r w:rsidR="00C853E5" w:rsidRPr="00817A98">
        <w:rPr>
          <w:rFonts w:ascii="Times New Roman" w:hAnsi="Times New Roman"/>
          <w:color w:val="000000"/>
          <w:sz w:val="24"/>
          <w:szCs w:val="24"/>
        </w:rPr>
        <w:t>insincero</w:t>
      </w:r>
      <w:r w:rsidRPr="00817A98">
        <w:rPr>
          <w:rFonts w:ascii="Times New Roman" w:hAnsi="Times New Roman"/>
          <w:color w:val="000000"/>
          <w:sz w:val="24"/>
          <w:szCs w:val="24"/>
        </w:rPr>
        <w:t>, por no decir algo peor.</w:t>
      </w:r>
    </w:p>
    <w:p w:rsidR="003969F7" w:rsidRPr="00817A98" w:rsidRDefault="003969F7" w:rsidP="003969F7">
      <w:pPr>
        <w:shd w:val="clear" w:color="auto" w:fill="FFFFFF"/>
        <w:spacing w:after="360" w:line="240" w:lineRule="auto"/>
        <w:jc w:val="both"/>
        <w:rPr>
          <w:rFonts w:ascii="Times New Roman" w:hAnsi="Times New Roman"/>
          <w:color w:val="000000"/>
          <w:sz w:val="24"/>
          <w:szCs w:val="24"/>
        </w:rPr>
      </w:pPr>
      <w:r w:rsidRPr="00817A98">
        <w:rPr>
          <w:rFonts w:ascii="Times New Roman" w:hAnsi="Times New Roman"/>
          <w:color w:val="000000"/>
          <w:sz w:val="24"/>
          <w:szCs w:val="24"/>
        </w:rPr>
        <w:t>En cierta ocasión, Erdoğan hizo la famosa declaración de que él era el fiscal en el caso Ergenekon, supuestamente encaminado a revelar y combatir el “Estado oculto” turco compuesto de oficiales militares y nacionalistas laicos, pero que iba destinado a una gran diversidad de oponentes políticos. Cuando sa</w:t>
      </w:r>
      <w:r w:rsidR="009B6E26">
        <w:rPr>
          <w:rFonts w:ascii="Times New Roman" w:hAnsi="Times New Roman"/>
          <w:color w:val="000000"/>
          <w:sz w:val="24"/>
          <w:szCs w:val="24"/>
        </w:rPr>
        <w:t>lieron a la luz los documentos -</w:t>
      </w:r>
      <w:r w:rsidRPr="00817A98">
        <w:rPr>
          <w:rFonts w:ascii="Times New Roman" w:hAnsi="Times New Roman"/>
          <w:color w:val="000000"/>
          <w:sz w:val="24"/>
          <w:szCs w:val="24"/>
        </w:rPr>
        <w:t>horroros</w:t>
      </w:r>
      <w:r w:rsidR="009B6E26">
        <w:rPr>
          <w:rFonts w:ascii="Times New Roman" w:hAnsi="Times New Roman"/>
          <w:color w:val="000000"/>
          <w:sz w:val="24"/>
          <w:szCs w:val="24"/>
        </w:rPr>
        <w:t>os, pero enteramente fabricados-</w:t>
      </w:r>
      <w:r w:rsidRPr="00817A98">
        <w:rPr>
          <w:rFonts w:ascii="Times New Roman" w:hAnsi="Times New Roman"/>
          <w:color w:val="000000"/>
          <w:sz w:val="24"/>
          <w:szCs w:val="24"/>
        </w:rPr>
        <w:t xml:space="preserve"> en los que se basaba la ficticia conspiración para el golpe de Sledgehammer, Erdoğan les dio crédito al decir que estaba al corriente de esas tramas. Sus ministros atacaron a los acusados y pusieron en la picota al único juez que formuló una resolución a f</w:t>
      </w:r>
      <w:r>
        <w:rPr>
          <w:rFonts w:ascii="Times New Roman" w:hAnsi="Times New Roman"/>
          <w:color w:val="000000"/>
          <w:sz w:val="24"/>
          <w:szCs w:val="24"/>
        </w:rPr>
        <w:t>avor de ellos previa al juicio.</w:t>
      </w:r>
    </w:p>
    <w:p w:rsidR="003969F7" w:rsidRPr="00817A98" w:rsidRDefault="003969F7" w:rsidP="003969F7">
      <w:pPr>
        <w:shd w:val="clear" w:color="auto" w:fill="FFFFFF"/>
        <w:spacing w:after="360" w:line="240" w:lineRule="auto"/>
        <w:jc w:val="both"/>
        <w:rPr>
          <w:rFonts w:ascii="Times New Roman" w:hAnsi="Times New Roman"/>
          <w:color w:val="000000"/>
          <w:sz w:val="24"/>
          <w:szCs w:val="24"/>
        </w:rPr>
      </w:pPr>
      <w:r w:rsidRPr="00817A98">
        <w:rPr>
          <w:rFonts w:ascii="Times New Roman" w:hAnsi="Times New Roman"/>
          <w:color w:val="000000"/>
          <w:sz w:val="24"/>
          <w:szCs w:val="24"/>
        </w:rPr>
        <w:t>Además de esas declaraciones públicas, el gobierno de Erdoğan hizo todo lo que estaba en su poder para velar por que esos y otros juicios políticos (incluido uno enorme con centenares de activistas kurdos acusados) concluyeran del modo preparado de antemano. En particular, se nombró para las altas esferas de la judicatura a jueces que o eran gülenistas o estaban dispuestos a cumplir las órdenes de ese movimiento. Se hicieron oídos sordos ante las innumerables quejas sobre las flagrantes vio</w:t>
      </w:r>
      <w:r>
        <w:rPr>
          <w:rFonts w:ascii="Times New Roman" w:hAnsi="Times New Roman"/>
          <w:color w:val="000000"/>
          <w:sz w:val="24"/>
          <w:szCs w:val="24"/>
        </w:rPr>
        <w:t>laciones del Estado de derecho.</w:t>
      </w:r>
    </w:p>
    <w:p w:rsidR="003969F7" w:rsidRPr="00EC2218" w:rsidRDefault="003969F7" w:rsidP="003969F7">
      <w:pPr>
        <w:shd w:val="clear" w:color="auto" w:fill="FFFFFF"/>
        <w:spacing w:after="360" w:line="240" w:lineRule="auto"/>
        <w:jc w:val="both"/>
        <w:rPr>
          <w:rFonts w:ascii="Times New Roman" w:hAnsi="Times New Roman"/>
          <w:b/>
          <w:color w:val="FF0000"/>
          <w:sz w:val="24"/>
          <w:szCs w:val="24"/>
          <w:u w:val="single"/>
        </w:rPr>
      </w:pPr>
      <w:r w:rsidRPr="00EC2218">
        <w:rPr>
          <w:rFonts w:ascii="Times New Roman" w:hAnsi="Times New Roman"/>
          <w:color w:val="000000"/>
          <w:sz w:val="24"/>
          <w:szCs w:val="24"/>
          <w:u w:val="single"/>
        </w:rPr>
        <w:t xml:space="preserve">Estos días, Erdoğan y sus asesores dicen cosas muy diferentes. Su nueva postura estriba en que en esos juicios hubo irregularidades, había habido una conspiración contra el ejército y los gülenistas han creado un Estado dentro del Estado. La razón para esa conversión está clara: </w:t>
      </w:r>
      <w:r w:rsidRPr="00EC2218">
        <w:rPr>
          <w:rFonts w:ascii="Times New Roman" w:hAnsi="Times New Roman"/>
          <w:b/>
          <w:color w:val="FF0000"/>
          <w:sz w:val="24"/>
          <w:szCs w:val="24"/>
          <w:u w:val="single"/>
        </w:rPr>
        <w:t>Erdoğan necesita aislar y avergonzar a los gülenistas, con quienes ahora se disputa el poder en una batalla muy enconada.</w:t>
      </w:r>
    </w:p>
    <w:p w:rsidR="003969F7" w:rsidRPr="00EC2218" w:rsidRDefault="003969F7" w:rsidP="003969F7">
      <w:pPr>
        <w:shd w:val="clear" w:color="auto" w:fill="FFFFFF"/>
        <w:spacing w:after="360" w:line="240" w:lineRule="auto"/>
        <w:jc w:val="both"/>
        <w:rPr>
          <w:rFonts w:ascii="Times New Roman" w:hAnsi="Times New Roman"/>
          <w:color w:val="000000"/>
          <w:sz w:val="24"/>
          <w:szCs w:val="24"/>
          <w:u w:val="single"/>
        </w:rPr>
      </w:pPr>
      <w:r w:rsidRPr="00EC2218">
        <w:rPr>
          <w:rFonts w:ascii="Times New Roman" w:hAnsi="Times New Roman"/>
          <w:color w:val="000000"/>
          <w:sz w:val="24"/>
          <w:szCs w:val="24"/>
          <w:u w:val="single"/>
        </w:rPr>
        <w:t xml:space="preserve">Los gülenistas han disfrazado su campaña contra Erdoğan de investigación sobre la corrupción. A nadie que esté familiarizado con Turquía extrañaría enterarse de que una corrupción en gran escala rodeaba los proyectos de construcción, pero está claro que la </w:t>
      </w:r>
      <w:r w:rsidRPr="00EC2218">
        <w:rPr>
          <w:rFonts w:ascii="Times New Roman" w:hAnsi="Times New Roman"/>
          <w:color w:val="000000"/>
          <w:sz w:val="24"/>
          <w:szCs w:val="24"/>
          <w:u w:val="single"/>
        </w:rPr>
        <w:lastRenderedPageBreak/>
        <w:t>investigación sobre la corrupción está políticamente motivada y Erdoğan tiene razón en poner en entredicho los motivos de los fiscales</w:t>
      </w:r>
      <w:r w:rsidRPr="00817A98">
        <w:rPr>
          <w:rFonts w:ascii="Times New Roman" w:hAnsi="Times New Roman"/>
          <w:color w:val="000000"/>
          <w:sz w:val="24"/>
          <w:szCs w:val="24"/>
        </w:rPr>
        <w:t xml:space="preserve">. La ronda actual de activismo judicial va encaminada a erradicar la corrupción tanto como las anteriores a actuar contra el “Estado oculto” y los golpes reales, es decir, en modo alguno, pero </w:t>
      </w:r>
      <w:r w:rsidRPr="00EC2218">
        <w:rPr>
          <w:rFonts w:ascii="Times New Roman" w:hAnsi="Times New Roman"/>
          <w:color w:val="000000"/>
          <w:sz w:val="24"/>
          <w:szCs w:val="24"/>
          <w:u w:val="single"/>
        </w:rPr>
        <w:t>Erdoğan es quien,  para empezar, dejó el paso libre al movimiento de Güllen.</w:t>
      </w:r>
    </w:p>
    <w:p w:rsidR="003969F7" w:rsidRPr="00EC2218" w:rsidRDefault="003969F7" w:rsidP="003969F7">
      <w:pPr>
        <w:shd w:val="clear" w:color="auto" w:fill="FFFFFF"/>
        <w:spacing w:after="360" w:line="240" w:lineRule="auto"/>
        <w:jc w:val="both"/>
        <w:rPr>
          <w:rFonts w:ascii="Times New Roman" w:hAnsi="Times New Roman"/>
          <w:color w:val="FF0000"/>
          <w:sz w:val="24"/>
          <w:szCs w:val="24"/>
          <w:u w:val="single"/>
        </w:rPr>
      </w:pPr>
      <w:r w:rsidRPr="00EC2218">
        <w:rPr>
          <w:rFonts w:ascii="Times New Roman" w:hAnsi="Times New Roman"/>
          <w:color w:val="FF0000"/>
          <w:sz w:val="24"/>
          <w:szCs w:val="24"/>
          <w:u w:val="single"/>
        </w:rPr>
        <w:t>Hace más de tres años, Erdoğan tuvo una oportunidad de oro a raíz del referéndum constitucional de agosto de 2010. Su oportuna victoria confirmó que estaba bien afianzado en el poder y poco podía temer del ejército y otros elementos de la vieja guardia ultralaicista. Podría haber renunciado a las sucias añagazas judiciales y a la manipulación de los medios de comunicación que habían permitido afianzarse a su régimen. En aquella época, yo escribí que, si no cambiaba de r</w:t>
      </w:r>
      <w:r w:rsidR="009B6E26">
        <w:rPr>
          <w:rFonts w:ascii="Times New Roman" w:hAnsi="Times New Roman"/>
          <w:color w:val="FF0000"/>
          <w:sz w:val="24"/>
          <w:szCs w:val="24"/>
          <w:u w:val="single"/>
        </w:rPr>
        <w:t>umbo, “el país caer(ía)</w:t>
      </w:r>
      <w:r w:rsidRPr="00EC2218">
        <w:rPr>
          <w:rFonts w:ascii="Times New Roman" w:hAnsi="Times New Roman"/>
          <w:color w:val="FF0000"/>
          <w:sz w:val="24"/>
          <w:szCs w:val="24"/>
          <w:u w:val="single"/>
        </w:rPr>
        <w:t xml:space="preserve"> más profundamente en el autoritarismo, </w:t>
      </w:r>
      <w:r w:rsidR="00491864">
        <w:rPr>
          <w:rFonts w:ascii="Times New Roman" w:hAnsi="Times New Roman"/>
          <w:color w:val="FF0000"/>
          <w:sz w:val="24"/>
          <w:szCs w:val="24"/>
          <w:u w:val="single"/>
        </w:rPr>
        <w:t>las divisiones políticas llegar(ía)</w:t>
      </w:r>
      <w:r w:rsidRPr="00EC2218">
        <w:rPr>
          <w:rFonts w:ascii="Times New Roman" w:hAnsi="Times New Roman"/>
          <w:color w:val="FF0000"/>
          <w:sz w:val="24"/>
          <w:szCs w:val="24"/>
          <w:u w:val="single"/>
        </w:rPr>
        <w:t>n a ser irreconcil</w:t>
      </w:r>
      <w:r w:rsidR="009B6E26">
        <w:rPr>
          <w:rFonts w:ascii="Times New Roman" w:hAnsi="Times New Roman"/>
          <w:color w:val="FF0000"/>
          <w:sz w:val="24"/>
          <w:szCs w:val="24"/>
          <w:u w:val="single"/>
        </w:rPr>
        <w:t>iables y otra ruptura política (podría)</w:t>
      </w:r>
      <w:r w:rsidRPr="00EC2218">
        <w:rPr>
          <w:rFonts w:ascii="Times New Roman" w:hAnsi="Times New Roman"/>
          <w:color w:val="FF0000"/>
          <w:sz w:val="24"/>
          <w:szCs w:val="24"/>
          <w:u w:val="single"/>
        </w:rPr>
        <w:t xml:space="preserve"> resultar inevitable”. Lamentablemente, esa predicción se ha cumplido ahora.</w:t>
      </w:r>
    </w:p>
    <w:p w:rsidR="003969F7" w:rsidRPr="00817A98" w:rsidRDefault="003969F7" w:rsidP="003969F7">
      <w:pPr>
        <w:shd w:val="clear" w:color="auto" w:fill="FFFFFF"/>
        <w:spacing w:after="360" w:line="240" w:lineRule="auto"/>
        <w:jc w:val="both"/>
        <w:rPr>
          <w:rFonts w:ascii="Times New Roman" w:hAnsi="Times New Roman"/>
          <w:color w:val="000000"/>
          <w:sz w:val="24"/>
          <w:szCs w:val="24"/>
        </w:rPr>
      </w:pPr>
      <w:r w:rsidRPr="00817A98">
        <w:rPr>
          <w:rFonts w:ascii="Times New Roman" w:hAnsi="Times New Roman"/>
          <w:color w:val="000000"/>
          <w:sz w:val="24"/>
          <w:szCs w:val="24"/>
        </w:rPr>
        <w:t xml:space="preserve">Actualmente, Erdoğan dispone de pocas opciones válidas, pero aún podría dar la vuelta a la situación. Las maquinaciones gülenistas en la judicatura y otros órganos de la </w:t>
      </w:r>
      <w:r w:rsidR="00C853E5" w:rsidRPr="00817A98">
        <w:rPr>
          <w:rFonts w:ascii="Times New Roman" w:hAnsi="Times New Roman"/>
          <w:color w:val="000000"/>
          <w:sz w:val="24"/>
          <w:szCs w:val="24"/>
        </w:rPr>
        <w:t>burocracia</w:t>
      </w:r>
      <w:r w:rsidRPr="00817A98">
        <w:rPr>
          <w:rFonts w:ascii="Times New Roman" w:hAnsi="Times New Roman"/>
          <w:color w:val="000000"/>
          <w:sz w:val="24"/>
          <w:szCs w:val="24"/>
        </w:rPr>
        <w:t xml:space="preserve"> han creado un gran espectro de</w:t>
      </w:r>
      <w:r w:rsidR="009B6E26">
        <w:rPr>
          <w:rFonts w:ascii="Times New Roman" w:hAnsi="Times New Roman"/>
          <w:color w:val="000000"/>
          <w:sz w:val="24"/>
          <w:szCs w:val="24"/>
        </w:rPr>
        <w:t xml:space="preserve"> oposición; casi todo el mundo -</w:t>
      </w:r>
      <w:r w:rsidRPr="00817A98">
        <w:rPr>
          <w:rFonts w:ascii="Times New Roman" w:hAnsi="Times New Roman"/>
          <w:color w:val="000000"/>
          <w:sz w:val="24"/>
          <w:szCs w:val="24"/>
        </w:rPr>
        <w:t>nacionalistas, activistas kurdos, laicistas, islamistas tradici</w:t>
      </w:r>
      <w:r w:rsidR="009B6E26">
        <w:rPr>
          <w:rFonts w:ascii="Times New Roman" w:hAnsi="Times New Roman"/>
          <w:color w:val="000000"/>
          <w:sz w:val="24"/>
          <w:szCs w:val="24"/>
        </w:rPr>
        <w:t>onales, socialistas y liberales-</w:t>
      </w:r>
      <w:r w:rsidRPr="00817A98">
        <w:rPr>
          <w:rFonts w:ascii="Times New Roman" w:hAnsi="Times New Roman"/>
          <w:color w:val="000000"/>
          <w:sz w:val="24"/>
          <w:szCs w:val="24"/>
        </w:rPr>
        <w:t xml:space="preserve"> ha sido blanco de esas intrigas en un momento u otro. En principio, Erdoğan podría movilizar una coalición que transcendiera a su propio AKP para apoyar reformas encaminadas a devolver a la judicatura el papel que le corresponde.</w:t>
      </w:r>
    </w:p>
    <w:p w:rsidR="003969F7" w:rsidRPr="00EC2218" w:rsidRDefault="003969F7" w:rsidP="003969F7">
      <w:pPr>
        <w:shd w:val="clear" w:color="auto" w:fill="FFFFFF"/>
        <w:spacing w:after="360" w:line="240" w:lineRule="auto"/>
        <w:jc w:val="both"/>
        <w:rPr>
          <w:rFonts w:ascii="Times New Roman" w:hAnsi="Times New Roman"/>
          <w:color w:val="000000"/>
          <w:sz w:val="24"/>
          <w:szCs w:val="24"/>
          <w:u w:val="single"/>
        </w:rPr>
      </w:pPr>
      <w:r w:rsidRPr="00EC2218">
        <w:rPr>
          <w:rFonts w:ascii="Times New Roman" w:hAnsi="Times New Roman"/>
          <w:color w:val="000000"/>
          <w:sz w:val="24"/>
          <w:szCs w:val="24"/>
          <w:u w:val="single"/>
        </w:rPr>
        <w:t>Naturalmente, a ninguno de esos grupos le importaría ver caer a Erdoğan envuelto en llamas; así, pues, todos ellos desearían algo a cambio para unirse a esa coalición. Esas concesiones serían el precio necesario que debería pagar Erdoğan... y que tiene bien merecido por haber conducido a Turquía a su actual embrollo, pero al menos tendría la posibilidad de mejorar el severo juicio que los historiadores emitirán sobre su capacidad de dirección.</w:t>
      </w:r>
    </w:p>
    <w:p w:rsidR="003969F7" w:rsidRPr="00EC2218" w:rsidRDefault="003969F7" w:rsidP="003969F7">
      <w:pPr>
        <w:shd w:val="clear" w:color="auto" w:fill="FFFFFF"/>
        <w:spacing w:after="360" w:line="240" w:lineRule="auto"/>
        <w:jc w:val="both"/>
        <w:rPr>
          <w:rFonts w:ascii="Times New Roman" w:hAnsi="Times New Roman"/>
          <w:color w:val="FF0000"/>
          <w:sz w:val="24"/>
          <w:szCs w:val="24"/>
          <w:u w:val="single"/>
        </w:rPr>
      </w:pPr>
      <w:r w:rsidRPr="00EC2218">
        <w:rPr>
          <w:rFonts w:ascii="Times New Roman" w:hAnsi="Times New Roman"/>
          <w:color w:val="FF0000"/>
          <w:sz w:val="24"/>
          <w:szCs w:val="24"/>
          <w:u w:val="single"/>
        </w:rPr>
        <w:t>Lamentablemente, Erdoğan parece decidido a desaprovechar también esta oportunidad. Ha optado por reaccionar endureciendo su poder autocrático, al pasar a ser el organismo que nombra a los fiscales y a los jueces un simple apéndice del Ministerio de Justicia. Sus partidarios han estado lanzando campañas de difamación contra los gülenistas que recuerdan a las tácticas gülenistas. Parece creer que puede conservar suficiente popularidad para resistir la crisis sin ampliar su coalición.</w:t>
      </w:r>
    </w:p>
    <w:p w:rsidR="003969F7" w:rsidRPr="00EC2218" w:rsidRDefault="003969F7" w:rsidP="003969F7">
      <w:pPr>
        <w:shd w:val="clear" w:color="auto" w:fill="FFFFFF"/>
        <w:spacing w:after="360" w:line="240" w:lineRule="auto"/>
        <w:jc w:val="both"/>
        <w:rPr>
          <w:rFonts w:ascii="Times New Roman" w:hAnsi="Times New Roman"/>
          <w:color w:val="000000"/>
          <w:sz w:val="24"/>
          <w:szCs w:val="24"/>
          <w:u w:val="single"/>
        </w:rPr>
      </w:pPr>
      <w:r w:rsidRPr="00EC2218">
        <w:rPr>
          <w:rFonts w:ascii="Times New Roman" w:hAnsi="Times New Roman"/>
          <w:b/>
          <w:color w:val="FF0000"/>
          <w:sz w:val="24"/>
          <w:szCs w:val="24"/>
          <w:u w:val="single"/>
        </w:rPr>
        <w:t>La batalla entre Erdoğan y el movimiento de Gülen ha llegado a un punto en el que resulta difícil imaginar una reconciliación</w:t>
      </w:r>
      <w:r w:rsidRPr="00817A98">
        <w:rPr>
          <w:rFonts w:ascii="Times New Roman" w:hAnsi="Times New Roman"/>
          <w:color w:val="000000"/>
          <w:sz w:val="24"/>
          <w:szCs w:val="24"/>
        </w:rPr>
        <w:t xml:space="preserve">. Lo bueno es que esa lucha con uñas y dientes está sacando a la luz la corrupción y la manipulación judicial en que se basaba el régimen de Erdoğan. </w:t>
      </w:r>
      <w:r w:rsidRPr="00EC2218">
        <w:rPr>
          <w:rFonts w:ascii="Times New Roman" w:hAnsi="Times New Roman"/>
          <w:color w:val="000000"/>
          <w:sz w:val="24"/>
          <w:szCs w:val="24"/>
          <w:u w:val="single"/>
        </w:rPr>
        <w:t>Lo malo es que, independientemente de quién sea el vencedor, la democracia turca será la perdedora... al menos a corto plazo, hasta que surjan fuerzas verdaderamente democráticas.</w:t>
      </w:r>
    </w:p>
    <w:p w:rsidR="003969F7" w:rsidRDefault="003969F7" w:rsidP="003969F7">
      <w:pPr>
        <w:shd w:val="clear" w:color="auto" w:fill="FFFFFF"/>
        <w:spacing w:after="36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817A98">
        <w:rPr>
          <w:rFonts w:ascii="Times New Roman" w:hAnsi="Times New Roman"/>
          <w:color w:val="000000"/>
          <w:sz w:val="24"/>
          <w:szCs w:val="24"/>
          <w:lang w:val="en-US"/>
        </w:rPr>
        <w:t xml:space="preserve">Dani Rodrik is Professor of Social Science at the Institute for Advanced Study, Princeton, New Jersey. He is the author of One Economics, Many Recipes: </w:t>
      </w:r>
      <w:r w:rsidRPr="00817A98">
        <w:rPr>
          <w:rFonts w:ascii="Times New Roman" w:hAnsi="Times New Roman"/>
          <w:color w:val="000000"/>
          <w:sz w:val="24"/>
          <w:szCs w:val="24"/>
          <w:lang w:val="en-US"/>
        </w:rPr>
        <w:lastRenderedPageBreak/>
        <w:t>Globalization, Institutions, and Economic Growth and, most recently, The Globalization Paradox: Democracy and the Future of the World…</w:t>
      </w:r>
      <w:r>
        <w:rPr>
          <w:rFonts w:ascii="Times New Roman" w:hAnsi="Times New Roman"/>
          <w:color w:val="000000"/>
          <w:sz w:val="24"/>
          <w:szCs w:val="24"/>
          <w:lang w:val="en-US"/>
        </w:rPr>
        <w:t>)</w:t>
      </w:r>
    </w:p>
    <w:p w:rsidR="003969F7" w:rsidRPr="00735171" w:rsidRDefault="003969F7" w:rsidP="003969F7">
      <w:pPr>
        <w:pStyle w:val="NormalWeb"/>
        <w:jc w:val="both"/>
        <w:rPr>
          <w:color w:val="000000"/>
        </w:rPr>
      </w:pPr>
      <w:r w:rsidRPr="00735171">
        <w:rPr>
          <w:color w:val="000000"/>
        </w:rPr>
        <w:t xml:space="preserve">- </w:t>
      </w:r>
      <w:r w:rsidRPr="00735171">
        <w:rPr>
          <w:color w:val="000000"/>
          <w:u w:val="single"/>
        </w:rPr>
        <w:t>La caída en 2013 de las divisas emergentes como gran oportunidad</w:t>
      </w:r>
      <w:r w:rsidRPr="00735171">
        <w:rPr>
          <w:color w:val="000000"/>
        </w:rPr>
        <w:t xml:space="preserve"> (El Confidencial - </w:t>
      </w:r>
      <w:r w:rsidRPr="00735171">
        <w:rPr>
          <w:b/>
          <w:color w:val="000000"/>
        </w:rPr>
        <w:t>22/1/14</w:t>
      </w:r>
      <w:r w:rsidRPr="00735171">
        <w:rPr>
          <w:color w:val="000000"/>
        </w:rPr>
        <w:t>)</w:t>
      </w:r>
    </w:p>
    <w:p w:rsidR="003969F7" w:rsidRPr="00735171" w:rsidRDefault="003969F7" w:rsidP="003969F7">
      <w:pPr>
        <w:pStyle w:val="NormalWeb"/>
        <w:jc w:val="both"/>
        <w:rPr>
          <w:color w:val="000000"/>
        </w:rPr>
      </w:pPr>
      <w:r w:rsidRPr="00735171">
        <w:rPr>
          <w:color w:val="000000"/>
        </w:rPr>
        <w:t>(Por Marc Garrigasait)</w:t>
      </w:r>
    </w:p>
    <w:p w:rsidR="003969F7" w:rsidRPr="00735171" w:rsidRDefault="003969F7" w:rsidP="003969F7">
      <w:pPr>
        <w:pStyle w:val="NormalWeb"/>
        <w:jc w:val="both"/>
      </w:pPr>
      <w:r w:rsidRPr="00735171">
        <w:t xml:space="preserve">El pasado 19 de enero, el regulador de los mercados financieros alemán (Bafin), denunció una </w:t>
      </w:r>
      <w:hyperlink r:id="rId38" w:history="1">
        <w:r w:rsidRPr="009B6E26">
          <w:rPr>
            <w:rStyle w:val="Hipervnculo"/>
            <w:color w:val="auto"/>
          </w:rPr>
          <w:t>nueva manipulación</w:t>
        </w:r>
      </w:hyperlink>
      <w:r w:rsidRPr="00735171">
        <w:t xml:space="preserve"> de algunos bancos privados en los mercados de divisas y del oro y la plata. Según el policía de los mercados alemán, esta manipulación sería incluso pero que la de los bancos en el mercado interbancario para influir en el </w:t>
      </w:r>
      <w:r w:rsidRPr="00735171">
        <w:rPr>
          <w:rStyle w:val="Textoennegrita"/>
        </w:rPr>
        <w:t xml:space="preserve">Libor </w:t>
      </w:r>
      <w:r w:rsidRPr="00735171">
        <w:t xml:space="preserve">o el </w:t>
      </w:r>
      <w:r w:rsidRPr="00735171">
        <w:rPr>
          <w:rStyle w:val="Textoennegrita"/>
        </w:rPr>
        <w:t>Euribor</w:t>
      </w:r>
      <w:r w:rsidRPr="00735171">
        <w:t xml:space="preserve">. Más concretamente habrían sido ya interrogados varios empleados del </w:t>
      </w:r>
      <w:r w:rsidRPr="00735171">
        <w:rPr>
          <w:rStyle w:val="Textoennegrita"/>
        </w:rPr>
        <w:t>Deutsche Bank</w:t>
      </w:r>
      <w:r w:rsidRPr="00735171">
        <w:t>, el mayor banco privado alemán.</w:t>
      </w:r>
    </w:p>
    <w:p w:rsidR="003969F7" w:rsidRDefault="003969F7" w:rsidP="003969F7">
      <w:pPr>
        <w:pStyle w:val="NormalWeb"/>
        <w:jc w:val="both"/>
        <w:rPr>
          <w:color w:val="FF0000"/>
          <w:u w:val="single"/>
        </w:rPr>
      </w:pPr>
      <w:r w:rsidRPr="002A28CC">
        <w:rPr>
          <w:rStyle w:val="Textoennegrita"/>
          <w:color w:val="FF0000"/>
          <w:u w:val="single"/>
        </w:rPr>
        <w:t>Aquí todo el mundo manipula</w:t>
      </w:r>
      <w:r w:rsidRPr="002A28CC">
        <w:rPr>
          <w:color w:val="FF0000"/>
          <w:u w:val="single"/>
        </w:rPr>
        <w:t>. Los bancos centrales y Gobiernos decidiendo el precio de todos los activos en los mercados financieros, como hacia el partido comunista chino o ruso 30 años atrás. Pero también los bancos privados lo hacen cuando pueden. Siempre suele acabar con una multa y poco más. Nunca se ven amenazados de que les sean retiradas licencias para operar en los mercados, que es lo que realmente les empezaría a preocupar</w:t>
      </w:r>
      <w:r>
        <w:rPr>
          <w:color w:val="FF0000"/>
          <w:u w:val="single"/>
        </w:rPr>
        <w:t>…</w:t>
      </w:r>
    </w:p>
    <w:p w:rsidR="003969F7" w:rsidRDefault="003969F7" w:rsidP="003969F7">
      <w:pPr>
        <w:numPr>
          <w:ilvl w:val="0"/>
          <w:numId w:val="1"/>
        </w:numPr>
        <w:spacing w:before="100" w:beforeAutospacing="1" w:after="100" w:afterAutospacing="1" w:line="240" w:lineRule="auto"/>
        <w:jc w:val="both"/>
        <w:rPr>
          <w:rFonts w:ascii="Times New Roman" w:hAnsi="Times New Roman"/>
          <w:sz w:val="24"/>
          <w:szCs w:val="24"/>
        </w:rPr>
      </w:pPr>
      <w:r w:rsidRPr="00735171">
        <w:rPr>
          <w:rFonts w:ascii="Times New Roman" w:hAnsi="Times New Roman"/>
          <w:sz w:val="24"/>
          <w:szCs w:val="24"/>
        </w:rPr>
        <w:t xml:space="preserve">La caída de un 27% en la divisa turca en 2013 </w:t>
      </w:r>
      <w:r w:rsidRPr="00735171">
        <w:rPr>
          <w:rStyle w:val="Textoennegrita"/>
          <w:rFonts w:ascii="Times New Roman" w:hAnsi="Times New Roman"/>
          <w:sz w:val="24"/>
          <w:szCs w:val="24"/>
        </w:rPr>
        <w:t>es otra gran oportunidad y una amenaza</w:t>
      </w:r>
      <w:r w:rsidRPr="00735171">
        <w:rPr>
          <w:rFonts w:ascii="Times New Roman" w:hAnsi="Times New Roman"/>
          <w:sz w:val="24"/>
          <w:szCs w:val="24"/>
        </w:rPr>
        <w:t xml:space="preserve"> para ellos y para sus países vecinos y competidores. </w:t>
      </w:r>
      <w:hyperlink r:id="rId39" w:history="1">
        <w:r w:rsidRPr="009B6E26">
          <w:rPr>
            <w:rStyle w:val="Hipervnculo"/>
            <w:rFonts w:ascii="Times New Roman" w:hAnsi="Times New Roman"/>
            <w:color w:val="auto"/>
          </w:rPr>
          <w:t>Turquía</w:t>
        </w:r>
      </w:hyperlink>
      <w:r w:rsidRPr="00735171">
        <w:rPr>
          <w:rFonts w:ascii="Times New Roman" w:hAnsi="Times New Roman"/>
          <w:sz w:val="24"/>
          <w:szCs w:val="24"/>
        </w:rPr>
        <w:t xml:space="preserve"> es muy potente en turismo, alimentación, en el sector bancario, donde </w:t>
      </w:r>
      <w:r w:rsidRPr="00735171">
        <w:rPr>
          <w:rStyle w:val="Textoennegrita"/>
          <w:rFonts w:ascii="Times New Roman" w:hAnsi="Times New Roman"/>
          <w:sz w:val="24"/>
          <w:szCs w:val="24"/>
        </w:rPr>
        <w:t xml:space="preserve">BBVA </w:t>
      </w:r>
      <w:r w:rsidRPr="00735171">
        <w:rPr>
          <w:rFonts w:ascii="Times New Roman" w:hAnsi="Times New Roman"/>
          <w:sz w:val="24"/>
          <w:szCs w:val="24"/>
        </w:rPr>
        <w:t xml:space="preserve">hizo una inversión estratégica elevada en uno de los principales bancos locales, en el sector textil y en equipos-maquinaria de transporte y manufacturas de metal. El país a quien exporta más Turquía es Alemania, seguido de Irán e Irak, Inglaterra, Emiratos Árabes y Rusia. En cambio, van a tener más problemas en importar de sus principales socios, que son Rusia, Alemania, China, Estados Unidos, Italia e Irán, a quienes los turcos compran. </w:t>
      </w:r>
      <w:r w:rsidRPr="00735171">
        <w:rPr>
          <w:rStyle w:val="Textoennegrita"/>
          <w:rFonts w:ascii="Times New Roman" w:hAnsi="Times New Roman"/>
          <w:sz w:val="24"/>
          <w:szCs w:val="24"/>
        </w:rPr>
        <w:t>Turquía es una gran potencia agrícola</w:t>
      </w:r>
      <w:r w:rsidRPr="00735171">
        <w:rPr>
          <w:rFonts w:ascii="Times New Roman" w:hAnsi="Times New Roman"/>
          <w:sz w:val="24"/>
          <w:szCs w:val="24"/>
        </w:rPr>
        <w:t>, la numero uno del mundo en avellanas, cerezas e higos y membrillos y el segundo mayor de sandías, pepinos y garbanzos. El tercer mayor productor de tomates, berenjenas, pimientos verdes, lentejas y pistachos. El cuarto mayor productor de cebollas y aceitunas. El quinto en remolacha azucarera, el sexto en tabaco, té y manzanas y, el séptimo mundial en algodón y cebada. Como podéis ver, para España será una clara amenaza. En cuanto al sector financiero y bancario, Turquía está creciendo mucho. La industria de fondos de inversión no para de crecer, aunque hasta hoy el 80% de los ahorros del país están en depósitos bancarios aún. Tres años atrás casi no existía mercado de bonos corporativos de empresas privadas y actualmente ya es bastante profundo, con un volumen emitido de unos $</w:t>
      </w:r>
      <w:r w:rsidR="009B6E26">
        <w:rPr>
          <w:rFonts w:ascii="Times New Roman" w:hAnsi="Times New Roman"/>
          <w:sz w:val="24"/>
          <w:szCs w:val="24"/>
        </w:rPr>
        <w:t xml:space="preserve"> </w:t>
      </w:r>
      <w:r w:rsidRPr="00735171">
        <w:rPr>
          <w:rFonts w:ascii="Times New Roman" w:hAnsi="Times New Roman"/>
          <w:sz w:val="24"/>
          <w:szCs w:val="24"/>
        </w:rPr>
        <w:t>20.000 millones</w:t>
      </w:r>
      <w:r>
        <w:rPr>
          <w:rFonts w:ascii="Times New Roman" w:hAnsi="Times New Roman"/>
          <w:sz w:val="24"/>
          <w:szCs w:val="24"/>
        </w:rPr>
        <w:t>…</w:t>
      </w:r>
    </w:p>
    <w:p w:rsidR="003969F7" w:rsidRPr="00735171" w:rsidRDefault="003969F7" w:rsidP="003969F7">
      <w:pPr>
        <w:numPr>
          <w:ilvl w:val="0"/>
          <w:numId w:val="1"/>
        </w:numPr>
        <w:spacing w:before="100" w:beforeAutospacing="1" w:after="100" w:afterAutospacing="1" w:line="240" w:lineRule="auto"/>
        <w:jc w:val="both"/>
        <w:rPr>
          <w:rFonts w:ascii="Times New Roman" w:hAnsi="Times New Roman"/>
          <w:sz w:val="24"/>
          <w:szCs w:val="24"/>
        </w:rPr>
      </w:pPr>
      <w:r w:rsidRPr="00735171">
        <w:rPr>
          <w:rFonts w:ascii="Times New Roman" w:hAnsi="Times New Roman"/>
          <w:sz w:val="24"/>
          <w:szCs w:val="24"/>
        </w:rPr>
        <w:t xml:space="preserve">2014 es un buen año para hacer turismo en países como </w:t>
      </w:r>
      <w:r w:rsidRPr="00735171">
        <w:rPr>
          <w:rStyle w:val="Textoennegrita"/>
          <w:rFonts w:ascii="Times New Roman" w:hAnsi="Times New Roman"/>
          <w:sz w:val="24"/>
          <w:szCs w:val="24"/>
        </w:rPr>
        <w:t>Argentina</w:t>
      </w:r>
      <w:r w:rsidRPr="00735171">
        <w:rPr>
          <w:rFonts w:ascii="Times New Roman" w:hAnsi="Times New Roman"/>
          <w:sz w:val="24"/>
          <w:szCs w:val="24"/>
        </w:rPr>
        <w:t xml:space="preserve">, </w:t>
      </w:r>
      <w:r w:rsidRPr="00735171">
        <w:rPr>
          <w:rStyle w:val="Textoennegrita"/>
          <w:rFonts w:ascii="Times New Roman" w:hAnsi="Times New Roman"/>
          <w:sz w:val="24"/>
          <w:szCs w:val="24"/>
        </w:rPr>
        <w:t xml:space="preserve">Indonesia </w:t>
      </w:r>
      <w:r w:rsidRPr="00735171">
        <w:rPr>
          <w:rFonts w:ascii="Times New Roman" w:hAnsi="Times New Roman"/>
          <w:sz w:val="24"/>
          <w:szCs w:val="24"/>
        </w:rPr>
        <w:t xml:space="preserve">con </w:t>
      </w:r>
      <w:r w:rsidRPr="00735171">
        <w:rPr>
          <w:rStyle w:val="Textoennegrita"/>
          <w:rFonts w:ascii="Times New Roman" w:hAnsi="Times New Roman"/>
          <w:sz w:val="24"/>
          <w:szCs w:val="24"/>
        </w:rPr>
        <w:t>Bali</w:t>
      </w:r>
      <w:r w:rsidRPr="00735171">
        <w:rPr>
          <w:rFonts w:ascii="Times New Roman" w:hAnsi="Times New Roman"/>
          <w:sz w:val="24"/>
          <w:szCs w:val="24"/>
        </w:rPr>
        <w:t xml:space="preserve"> a la cabeza, </w:t>
      </w:r>
      <w:r w:rsidRPr="00735171">
        <w:rPr>
          <w:rStyle w:val="Textoennegrita"/>
          <w:rFonts w:ascii="Times New Roman" w:hAnsi="Times New Roman"/>
          <w:sz w:val="24"/>
          <w:szCs w:val="24"/>
        </w:rPr>
        <w:t>Sudáfrica</w:t>
      </w:r>
      <w:r w:rsidRPr="00735171">
        <w:rPr>
          <w:rFonts w:ascii="Times New Roman" w:hAnsi="Times New Roman"/>
          <w:sz w:val="24"/>
          <w:szCs w:val="24"/>
        </w:rPr>
        <w:t xml:space="preserve">, </w:t>
      </w:r>
      <w:r w:rsidRPr="00735171">
        <w:rPr>
          <w:rStyle w:val="Textoennegrita"/>
          <w:rFonts w:ascii="Times New Roman" w:hAnsi="Times New Roman"/>
          <w:sz w:val="24"/>
          <w:szCs w:val="24"/>
        </w:rPr>
        <w:t xml:space="preserve">Namibia </w:t>
      </w:r>
      <w:r w:rsidRPr="00735171">
        <w:rPr>
          <w:rFonts w:ascii="Times New Roman" w:hAnsi="Times New Roman"/>
          <w:sz w:val="24"/>
          <w:szCs w:val="24"/>
        </w:rPr>
        <w:t xml:space="preserve">y </w:t>
      </w:r>
      <w:r w:rsidRPr="00735171">
        <w:rPr>
          <w:rStyle w:val="Textoennegrita"/>
          <w:rFonts w:ascii="Times New Roman" w:hAnsi="Times New Roman"/>
          <w:sz w:val="24"/>
          <w:szCs w:val="24"/>
        </w:rPr>
        <w:t xml:space="preserve">Lesoto, </w:t>
      </w:r>
      <w:r w:rsidRPr="00735171">
        <w:rPr>
          <w:rFonts w:ascii="Times New Roman" w:hAnsi="Times New Roman"/>
          <w:sz w:val="24"/>
          <w:szCs w:val="24"/>
        </w:rPr>
        <w:t xml:space="preserve">ya que estos dos países usan el rand sudafricano. También en la </w:t>
      </w:r>
      <w:r w:rsidRPr="00735171">
        <w:rPr>
          <w:rStyle w:val="Textoennegrita"/>
          <w:rFonts w:ascii="Times New Roman" w:hAnsi="Times New Roman"/>
          <w:sz w:val="24"/>
          <w:szCs w:val="24"/>
        </w:rPr>
        <w:t>India</w:t>
      </w:r>
      <w:r w:rsidRPr="00735171">
        <w:rPr>
          <w:rFonts w:ascii="Times New Roman" w:hAnsi="Times New Roman"/>
          <w:sz w:val="24"/>
          <w:szCs w:val="24"/>
        </w:rPr>
        <w:t xml:space="preserve">, </w:t>
      </w:r>
      <w:r w:rsidRPr="00735171">
        <w:rPr>
          <w:rStyle w:val="Textoennegrita"/>
          <w:rFonts w:ascii="Times New Roman" w:hAnsi="Times New Roman"/>
          <w:sz w:val="24"/>
          <w:szCs w:val="24"/>
        </w:rPr>
        <w:t xml:space="preserve">Turquía </w:t>
      </w:r>
      <w:r w:rsidRPr="00735171">
        <w:rPr>
          <w:rFonts w:ascii="Times New Roman" w:hAnsi="Times New Roman"/>
          <w:sz w:val="24"/>
          <w:szCs w:val="24"/>
        </w:rPr>
        <w:t xml:space="preserve">o </w:t>
      </w:r>
      <w:r w:rsidRPr="00735171">
        <w:rPr>
          <w:rStyle w:val="Textoennegrita"/>
          <w:rFonts w:ascii="Times New Roman" w:hAnsi="Times New Roman"/>
          <w:sz w:val="24"/>
          <w:szCs w:val="24"/>
        </w:rPr>
        <w:t>Brasil</w:t>
      </w:r>
      <w:r w:rsidRPr="00735171">
        <w:rPr>
          <w:rFonts w:ascii="Times New Roman" w:hAnsi="Times New Roman"/>
          <w:sz w:val="24"/>
          <w:szCs w:val="24"/>
        </w:rPr>
        <w:t xml:space="preserve">. En cambio, </w:t>
      </w:r>
      <w:r w:rsidRPr="00735171">
        <w:rPr>
          <w:rStyle w:val="Textoennegrita"/>
          <w:rFonts w:ascii="Times New Roman" w:hAnsi="Times New Roman"/>
          <w:sz w:val="24"/>
          <w:szCs w:val="24"/>
        </w:rPr>
        <w:t>Australia</w:t>
      </w:r>
      <w:r w:rsidRPr="00735171">
        <w:rPr>
          <w:rFonts w:ascii="Times New Roman" w:hAnsi="Times New Roman"/>
          <w:sz w:val="24"/>
          <w:szCs w:val="24"/>
        </w:rPr>
        <w:t xml:space="preserve">, </w:t>
      </w:r>
      <w:r w:rsidRPr="00735171">
        <w:rPr>
          <w:rStyle w:val="Textoennegrita"/>
          <w:rFonts w:ascii="Times New Roman" w:hAnsi="Times New Roman"/>
          <w:sz w:val="24"/>
          <w:szCs w:val="24"/>
        </w:rPr>
        <w:t xml:space="preserve">Noruega </w:t>
      </w:r>
      <w:r w:rsidRPr="00735171">
        <w:rPr>
          <w:rFonts w:ascii="Times New Roman" w:hAnsi="Times New Roman"/>
          <w:sz w:val="24"/>
          <w:szCs w:val="24"/>
        </w:rPr>
        <w:t xml:space="preserve">y </w:t>
      </w:r>
      <w:r w:rsidRPr="00735171">
        <w:rPr>
          <w:rStyle w:val="Textoennegrita"/>
          <w:rFonts w:ascii="Times New Roman" w:hAnsi="Times New Roman"/>
          <w:sz w:val="24"/>
          <w:szCs w:val="24"/>
        </w:rPr>
        <w:t>Canadá</w:t>
      </w:r>
      <w:r w:rsidRPr="00735171">
        <w:rPr>
          <w:rFonts w:ascii="Times New Roman" w:hAnsi="Times New Roman"/>
          <w:sz w:val="24"/>
          <w:szCs w:val="24"/>
        </w:rPr>
        <w:t>, a pesar de la caída en su moneda, continúan teniendo un nivel de vida muy alto. Obviamente, estos países que son potencias turísticas internacionales pueden hacer algo de daño a la industria turística nacional, especialmente quizás Turquía por estar en el Mediterráneo.</w:t>
      </w:r>
    </w:p>
    <w:p w:rsidR="003969F7" w:rsidRPr="00B2576E" w:rsidRDefault="003969F7" w:rsidP="003969F7">
      <w:pPr>
        <w:numPr>
          <w:ilvl w:val="0"/>
          <w:numId w:val="1"/>
        </w:numPr>
        <w:spacing w:before="100" w:beforeAutospacing="1" w:after="100" w:afterAutospacing="1" w:line="240" w:lineRule="auto"/>
        <w:jc w:val="both"/>
        <w:rPr>
          <w:rFonts w:ascii="Times New Roman" w:hAnsi="Times New Roman"/>
          <w:sz w:val="24"/>
          <w:szCs w:val="24"/>
        </w:rPr>
      </w:pPr>
      <w:r w:rsidRPr="00735171">
        <w:rPr>
          <w:rFonts w:ascii="Times New Roman" w:hAnsi="Times New Roman"/>
          <w:sz w:val="24"/>
          <w:szCs w:val="24"/>
        </w:rPr>
        <w:lastRenderedPageBreak/>
        <w:t>Por último, las divisas son claves en las inversiones en bolsas y bonos de países emergentes. En 2013, que puede parecer un año positivo en bolsa por las subidas en Estados Unidos y Europa, un inversor europeo habría perdido al invertir en un ETF o fondo de Brasil un 30% de su inversión; en Perú, un 33%; y en Chile, un 25%. De haber invertido en la bolsa turca, habría perdido un 35%, un 26% en Indonesia y un 15% en Rusia</w:t>
      </w:r>
      <w:r>
        <w:rPr>
          <w:rFonts w:ascii="Times New Roman" w:hAnsi="Times New Roman"/>
          <w:sz w:val="24"/>
          <w:szCs w:val="24"/>
        </w:rPr>
        <w:t>…</w:t>
      </w:r>
    </w:p>
    <w:p w:rsidR="003969F7" w:rsidRPr="009D5A94" w:rsidRDefault="003969F7" w:rsidP="003969F7">
      <w:pPr>
        <w:spacing w:before="100" w:beforeAutospacing="1" w:after="100" w:afterAutospacing="1" w:line="240" w:lineRule="auto"/>
        <w:jc w:val="both"/>
        <w:rPr>
          <w:rFonts w:ascii="Times New Roman" w:hAnsi="Times New Roman"/>
          <w:bCs/>
          <w:sz w:val="24"/>
          <w:szCs w:val="24"/>
        </w:rPr>
      </w:pPr>
      <w:r>
        <w:rPr>
          <w:color w:val="000000"/>
        </w:rPr>
        <w:t xml:space="preserve">- </w:t>
      </w:r>
      <w:r w:rsidRPr="009D5A94">
        <w:rPr>
          <w:rFonts w:ascii="Times New Roman" w:hAnsi="Times New Roman"/>
          <w:bCs/>
          <w:sz w:val="24"/>
          <w:szCs w:val="24"/>
          <w:u w:val="single"/>
        </w:rPr>
        <w:t>Turbulencias en Turquía</w:t>
      </w:r>
      <w:r>
        <w:rPr>
          <w:rFonts w:ascii="Times New Roman" w:hAnsi="Times New Roman"/>
          <w:bCs/>
          <w:sz w:val="24"/>
          <w:szCs w:val="24"/>
        </w:rPr>
        <w:t xml:space="preserve"> (El País - </w:t>
      </w:r>
      <w:r w:rsidRPr="009D5A94">
        <w:rPr>
          <w:rFonts w:ascii="Times New Roman" w:hAnsi="Times New Roman"/>
          <w:b/>
          <w:bCs/>
          <w:sz w:val="24"/>
          <w:szCs w:val="24"/>
        </w:rPr>
        <w:t>2/2/14</w:t>
      </w:r>
      <w:r>
        <w:rPr>
          <w:rFonts w:ascii="Times New Roman" w:hAnsi="Times New Roman"/>
          <w:bCs/>
          <w:sz w:val="24"/>
          <w:szCs w:val="24"/>
        </w:rPr>
        <w:t>)</w:t>
      </w:r>
    </w:p>
    <w:p w:rsidR="003969F7" w:rsidRPr="004A21C0" w:rsidRDefault="003969F7" w:rsidP="003969F7">
      <w:pPr>
        <w:spacing w:before="100" w:beforeAutospacing="1" w:after="100" w:afterAutospacing="1" w:line="240" w:lineRule="auto"/>
        <w:jc w:val="both"/>
        <w:rPr>
          <w:rFonts w:ascii="Times New Roman" w:hAnsi="Times New Roman"/>
          <w:bCs/>
          <w:color w:val="FF0000"/>
          <w:sz w:val="24"/>
          <w:szCs w:val="24"/>
        </w:rPr>
      </w:pPr>
      <w:r w:rsidRPr="004A21C0">
        <w:rPr>
          <w:rFonts w:ascii="Times New Roman" w:hAnsi="Times New Roman"/>
          <w:bCs/>
          <w:color w:val="FF0000"/>
          <w:sz w:val="24"/>
          <w:szCs w:val="24"/>
        </w:rPr>
        <w:t>El verdadero problema es que las economías ricas no han resuelto sus problemas subyacentes</w:t>
      </w:r>
    </w:p>
    <w:p w:rsidR="003969F7" w:rsidRPr="009D5A94" w:rsidRDefault="003969F7" w:rsidP="003969F7">
      <w:pPr>
        <w:spacing w:before="100" w:beforeAutospacing="1" w:after="100" w:afterAutospacing="1" w:line="240" w:lineRule="auto"/>
        <w:jc w:val="both"/>
        <w:rPr>
          <w:rFonts w:ascii="Times New Roman" w:hAnsi="Times New Roman"/>
          <w:bCs/>
          <w:sz w:val="24"/>
          <w:szCs w:val="24"/>
        </w:rPr>
      </w:pPr>
      <w:r>
        <w:rPr>
          <w:rFonts w:ascii="Times New Roman" w:hAnsi="Times New Roman"/>
          <w:bCs/>
          <w:sz w:val="24"/>
          <w:szCs w:val="24"/>
        </w:rPr>
        <w:t xml:space="preserve">(Por </w:t>
      </w:r>
      <w:r w:rsidRPr="009D5A94">
        <w:rPr>
          <w:rFonts w:ascii="Times New Roman" w:hAnsi="Times New Roman"/>
          <w:bCs/>
          <w:sz w:val="24"/>
          <w:szCs w:val="24"/>
        </w:rPr>
        <w:t>Paul K</w:t>
      </w:r>
      <w:r>
        <w:rPr>
          <w:rFonts w:ascii="Times New Roman" w:hAnsi="Times New Roman"/>
          <w:bCs/>
          <w:sz w:val="24"/>
          <w:szCs w:val="24"/>
        </w:rPr>
        <w:t>rugman)</w:t>
      </w:r>
    </w:p>
    <w:p w:rsidR="003969F7" w:rsidRPr="004A21C0" w:rsidRDefault="003969F7" w:rsidP="003969F7">
      <w:pPr>
        <w:spacing w:before="100" w:beforeAutospacing="1" w:after="100" w:afterAutospacing="1" w:line="240" w:lineRule="auto"/>
        <w:jc w:val="both"/>
        <w:rPr>
          <w:rFonts w:ascii="Times New Roman" w:hAnsi="Times New Roman"/>
          <w:bCs/>
          <w:sz w:val="24"/>
          <w:szCs w:val="24"/>
          <w:u w:val="single"/>
        </w:rPr>
      </w:pPr>
      <w:r w:rsidRPr="004A21C0">
        <w:rPr>
          <w:rFonts w:ascii="Times New Roman" w:hAnsi="Times New Roman"/>
          <w:bCs/>
          <w:sz w:val="24"/>
          <w:szCs w:val="24"/>
          <w:u w:val="single"/>
        </w:rPr>
        <w:t>A ver, ¿quién ha pedido esto? Con todo lo que está pasando, lo último que nos hacía falta era una nueva crisis económica en un país ya sacudido por la agitación política. Es cierto que las repercusiones mundiales directas de lo que suceda en Turquía, con una economía del tamaño de la de Los Ángeles, no serán graves. Pero estamos oyendo la pavorosa palabra “contagio”, la clase de contagio que en su día hizo que la crisis de Tailandia se extendiese por toda Asia, que hace poco ha hecho que la crisis de Grecia se extienda por toda Europa y que ahora, como teme todo el mundo, podría hacer que los problemas de Turquía se propaguen por todos los</w:t>
      </w:r>
      <w:r>
        <w:rPr>
          <w:rFonts w:ascii="Times New Roman" w:hAnsi="Times New Roman"/>
          <w:bCs/>
          <w:sz w:val="24"/>
          <w:szCs w:val="24"/>
          <w:u w:val="single"/>
        </w:rPr>
        <w:t xml:space="preserve"> mercados emergentes del mundo.</w:t>
      </w:r>
    </w:p>
    <w:p w:rsidR="003969F7" w:rsidRPr="004A21C0"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4A21C0">
        <w:rPr>
          <w:rFonts w:ascii="Times New Roman" w:hAnsi="Times New Roman"/>
          <w:bCs/>
          <w:color w:val="FF0000"/>
          <w:sz w:val="24"/>
          <w:szCs w:val="24"/>
          <w:u w:val="single"/>
        </w:rPr>
        <w:t>Es, en muchos aspectos, una historia conocida. Pero esa es una de las cosas que la vuelve tan inquietante: ¿por qué seguimos padeciendo estas crisis? Y he aquí algo curioso: los intervalos entre unas crisis y otras parecen estar acortándose y las secuelas de cada crisis parecen ser peores que las de la anterior. ¿Qué está pasando?</w:t>
      </w:r>
    </w:p>
    <w:p w:rsidR="003969F7" w:rsidRPr="009D5A94" w:rsidRDefault="003969F7" w:rsidP="003969F7">
      <w:pPr>
        <w:spacing w:before="100" w:beforeAutospacing="1" w:after="100" w:afterAutospacing="1" w:line="240" w:lineRule="auto"/>
        <w:jc w:val="both"/>
        <w:rPr>
          <w:rFonts w:ascii="Times New Roman" w:hAnsi="Times New Roman"/>
          <w:bCs/>
          <w:sz w:val="24"/>
          <w:szCs w:val="24"/>
        </w:rPr>
      </w:pPr>
      <w:r w:rsidRPr="009D5A94">
        <w:rPr>
          <w:rFonts w:ascii="Times New Roman" w:hAnsi="Times New Roman"/>
          <w:bCs/>
          <w:sz w:val="24"/>
          <w:szCs w:val="24"/>
        </w:rPr>
        <w:t>Antes de hablar sobre Turquía, una breve historia de la</w:t>
      </w:r>
      <w:r>
        <w:rPr>
          <w:rFonts w:ascii="Times New Roman" w:hAnsi="Times New Roman"/>
          <w:bCs/>
          <w:sz w:val="24"/>
          <w:szCs w:val="24"/>
        </w:rPr>
        <w:t>s crisis financieras mundiales.</w:t>
      </w:r>
    </w:p>
    <w:p w:rsidR="003969F7" w:rsidRPr="004A21C0" w:rsidRDefault="003969F7" w:rsidP="003969F7">
      <w:pPr>
        <w:spacing w:before="100" w:beforeAutospacing="1" w:after="100" w:afterAutospacing="1" w:line="240" w:lineRule="auto"/>
        <w:jc w:val="both"/>
        <w:rPr>
          <w:rFonts w:ascii="Times New Roman" w:hAnsi="Times New Roman"/>
          <w:bCs/>
          <w:sz w:val="24"/>
          <w:szCs w:val="24"/>
          <w:u w:val="single"/>
        </w:rPr>
      </w:pPr>
      <w:r w:rsidRPr="009D5A94">
        <w:rPr>
          <w:rFonts w:ascii="Times New Roman" w:hAnsi="Times New Roman"/>
          <w:bCs/>
          <w:sz w:val="24"/>
          <w:szCs w:val="24"/>
        </w:rPr>
        <w:t xml:space="preserve">Tras la Primera Guerra Mundial, y durante una generación, el sistema financiero, desde el punto de vista actual, se libró extraordinariamente de las crisis; probablemente porque la mayoría de los países restringieron los flujos de capital internacionales, de modo que los préstamos estaban bastante limitados. Sin embargo, </w:t>
      </w:r>
      <w:r w:rsidRPr="004A21C0">
        <w:rPr>
          <w:rFonts w:ascii="Times New Roman" w:hAnsi="Times New Roman"/>
          <w:bCs/>
          <w:sz w:val="24"/>
          <w:szCs w:val="24"/>
          <w:u w:val="single"/>
        </w:rPr>
        <w:t>a finales de la década de 1970, la liberalización y la creciente agresividad bancaria condujeron a un aumento de los fondos que llegaban a Latinoamérica, seguido de lo que en el mundo financiero se denomina un “parón brusco” en 1982 (y una crisis que trajo consigo una década de estancamiento económico).</w:t>
      </w:r>
    </w:p>
    <w:p w:rsidR="003969F7" w:rsidRPr="00877C02" w:rsidRDefault="003969F7" w:rsidP="003969F7">
      <w:pPr>
        <w:spacing w:before="100" w:beforeAutospacing="1" w:after="100" w:afterAutospacing="1" w:line="240" w:lineRule="auto"/>
        <w:jc w:val="both"/>
        <w:rPr>
          <w:rFonts w:ascii="Times New Roman" w:hAnsi="Times New Roman"/>
          <w:bCs/>
          <w:sz w:val="24"/>
          <w:szCs w:val="24"/>
          <w:u w:val="single"/>
        </w:rPr>
      </w:pPr>
      <w:r w:rsidRPr="009D5A94">
        <w:rPr>
          <w:rFonts w:ascii="Times New Roman" w:hAnsi="Times New Roman"/>
          <w:bCs/>
          <w:sz w:val="24"/>
          <w:szCs w:val="24"/>
        </w:rPr>
        <w:t xml:space="preserve">Al final Latinoamérica volvió a crecer (aunque México sufrió una grave recaída en 1994) pero, </w:t>
      </w:r>
      <w:r w:rsidRPr="00877C02">
        <w:rPr>
          <w:rFonts w:ascii="Times New Roman" w:hAnsi="Times New Roman"/>
          <w:bCs/>
          <w:sz w:val="24"/>
          <w:szCs w:val="24"/>
          <w:u w:val="single"/>
        </w:rPr>
        <w:t>durante la década de 1990, la misma historia se repitió en Asia, solo que a mayor escala: una ingente entrada de capital seguida de un parón brusco y una implosión económica. Algunas economías asiáticas se recuperaron enseguida, pero la inversión nunca volvió a ser la misma, ni tampoco el crecimiento.</w:t>
      </w:r>
    </w:p>
    <w:p w:rsidR="003969F7" w:rsidRPr="00877C02" w:rsidRDefault="003969F7" w:rsidP="003969F7">
      <w:pPr>
        <w:spacing w:before="100" w:beforeAutospacing="1" w:after="100" w:afterAutospacing="1" w:line="240" w:lineRule="auto"/>
        <w:jc w:val="both"/>
        <w:rPr>
          <w:rFonts w:ascii="Times New Roman" w:hAnsi="Times New Roman"/>
          <w:bCs/>
          <w:sz w:val="24"/>
          <w:szCs w:val="24"/>
          <w:u w:val="single"/>
        </w:rPr>
      </w:pPr>
      <w:r w:rsidRPr="00877C02">
        <w:rPr>
          <w:rFonts w:ascii="Times New Roman" w:hAnsi="Times New Roman"/>
          <w:bCs/>
          <w:sz w:val="24"/>
          <w:szCs w:val="24"/>
          <w:u w:val="single"/>
        </w:rPr>
        <w:t>Más recientemente, una nueva versión de la historia ha tenido lugar en Europa, y tras la rápida afluencia de capitales a Grecia, España y Portugal, se produjo un parón brusco y un sufrimiento económico inmenso.</w:t>
      </w:r>
    </w:p>
    <w:p w:rsidR="003969F7" w:rsidRPr="00877C02"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877C02">
        <w:rPr>
          <w:rFonts w:ascii="Times New Roman" w:hAnsi="Times New Roman"/>
          <w:bCs/>
          <w:color w:val="FF0000"/>
          <w:sz w:val="24"/>
          <w:szCs w:val="24"/>
          <w:u w:val="single"/>
        </w:rPr>
        <w:lastRenderedPageBreak/>
        <w:t>Como he dicho, aunque el argumento de la historia siga siendo el mismo, las consecuencias no paran de empeorar. La producción real cayó un 4% durante la crisis mexicana de 1981-1983; bajó un 14% en Indonesia entre 1997 y 1998, y en Grecia se ha reducido más de un 23%.</w:t>
      </w:r>
    </w:p>
    <w:p w:rsidR="003969F7" w:rsidRPr="00877C02"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877C02">
        <w:rPr>
          <w:rFonts w:ascii="Times New Roman" w:hAnsi="Times New Roman"/>
          <w:bCs/>
          <w:color w:val="FF0000"/>
          <w:sz w:val="24"/>
          <w:szCs w:val="24"/>
          <w:u w:val="single"/>
        </w:rPr>
        <w:t>¿Se está fraguando, por tanto, una crisis aún peor? Los factores fundamentales son un tanto tranquilizadores; Turquía, en concreto, tiene una deuda pública baja y, aunque las empresas han adquirido muchos préstamos en el extranjero, la situación financiera general no parece tan mala. Pero todas las crisis anteriores dieron al traste con las expectativas optimistas. Y las mismas fuerzas que hicieron fluir el dinero hacia Turquía también han hecho que la economía mundial en general sea tremendamente vulnerable.</w:t>
      </w:r>
    </w:p>
    <w:p w:rsidR="003969F7" w:rsidRPr="00877C02" w:rsidRDefault="003969F7" w:rsidP="003969F7">
      <w:pPr>
        <w:spacing w:before="100" w:beforeAutospacing="1" w:after="100" w:afterAutospacing="1" w:line="240" w:lineRule="auto"/>
        <w:jc w:val="both"/>
        <w:rPr>
          <w:rFonts w:ascii="Times New Roman" w:hAnsi="Times New Roman"/>
          <w:bCs/>
          <w:sz w:val="24"/>
          <w:szCs w:val="24"/>
          <w:u w:val="single"/>
        </w:rPr>
      </w:pPr>
      <w:r w:rsidRPr="00877C02">
        <w:rPr>
          <w:rFonts w:ascii="Times New Roman" w:hAnsi="Times New Roman"/>
          <w:bCs/>
          <w:sz w:val="24"/>
          <w:szCs w:val="24"/>
          <w:u w:val="single"/>
        </w:rPr>
        <w:t>A lo mejor han oído, o a lo mejor no, que hay un gran debate entre los economistas sobre si nos enfrentamos o no a un “estancamiento secular”. ¿Qué es eso? Bueno, una manera de describirlo sería decir que es una situación en la que la cantidad de dinero que la gente quiere ahorrar está por encima del volumen de dinero que merece la pena invertir.</w:t>
      </w:r>
    </w:p>
    <w:p w:rsidR="003969F7" w:rsidRPr="00877C02" w:rsidRDefault="003969F7" w:rsidP="003969F7">
      <w:pPr>
        <w:spacing w:before="100" w:beforeAutospacing="1" w:after="100" w:afterAutospacing="1" w:line="240" w:lineRule="auto"/>
        <w:jc w:val="both"/>
        <w:rPr>
          <w:rFonts w:ascii="Times New Roman" w:hAnsi="Times New Roman"/>
          <w:bCs/>
          <w:sz w:val="24"/>
          <w:szCs w:val="24"/>
          <w:u w:val="single"/>
        </w:rPr>
      </w:pPr>
      <w:r w:rsidRPr="00877C02">
        <w:rPr>
          <w:rFonts w:ascii="Times New Roman" w:hAnsi="Times New Roman"/>
          <w:bCs/>
          <w:sz w:val="24"/>
          <w:szCs w:val="24"/>
          <w:u w:val="single"/>
        </w:rPr>
        <w:t>Cuando se da ese caso, hay dos posibles consecuencias. Si los inversores son cautos y prudentes, en la práctica estamos, en conjunto, intentando gastar menos de lo que ganamos, y puesto que mi gasto es su ingreso y su gasto es mi ingreso, la consecuencia es una recesión persistente.</w:t>
      </w:r>
    </w:p>
    <w:p w:rsidR="003969F7" w:rsidRPr="00877C02"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877C02">
        <w:rPr>
          <w:rFonts w:ascii="Times New Roman" w:hAnsi="Times New Roman"/>
          <w:bCs/>
          <w:color w:val="FF0000"/>
          <w:sz w:val="24"/>
          <w:szCs w:val="24"/>
          <w:u w:val="single"/>
        </w:rPr>
        <w:t>Otra posibilidad e</w:t>
      </w:r>
      <w:r w:rsidR="009B2F21">
        <w:rPr>
          <w:rFonts w:ascii="Times New Roman" w:hAnsi="Times New Roman"/>
          <w:bCs/>
          <w:color w:val="FF0000"/>
          <w:sz w:val="24"/>
          <w:szCs w:val="24"/>
          <w:u w:val="single"/>
        </w:rPr>
        <w:t>s que los inversores inquietos -</w:t>
      </w:r>
      <w:r w:rsidRPr="00877C02">
        <w:rPr>
          <w:rFonts w:ascii="Times New Roman" w:hAnsi="Times New Roman"/>
          <w:bCs/>
          <w:color w:val="FF0000"/>
          <w:sz w:val="24"/>
          <w:szCs w:val="24"/>
          <w:u w:val="single"/>
        </w:rPr>
        <w:t>frustrados por la escasa rentabilidad y dese</w:t>
      </w:r>
      <w:r w:rsidR="009B2F21">
        <w:rPr>
          <w:rFonts w:ascii="Times New Roman" w:hAnsi="Times New Roman"/>
          <w:bCs/>
          <w:color w:val="FF0000"/>
          <w:sz w:val="24"/>
          <w:szCs w:val="24"/>
          <w:u w:val="single"/>
        </w:rPr>
        <w:t>sperados por obtener beneficios-</w:t>
      </w:r>
      <w:r w:rsidRPr="00877C02">
        <w:rPr>
          <w:rFonts w:ascii="Times New Roman" w:hAnsi="Times New Roman"/>
          <w:bCs/>
          <w:color w:val="FF0000"/>
          <w:sz w:val="24"/>
          <w:szCs w:val="24"/>
          <w:u w:val="single"/>
        </w:rPr>
        <w:t xml:space="preserve"> puedan engañarse a sí mismos e invertir dinero en proyectos mal concebidos, ya sean los préstamos de alto riesgo o el bombeo de capital hacia los mercados emergentes. Esto puede impulsar la economía durante un tiempo, pero al final los inversores afrontan la realidad, el dinero se agota y llega el sufrimiento.</w:t>
      </w:r>
    </w:p>
    <w:p w:rsidR="003969F7" w:rsidRPr="00877C02" w:rsidRDefault="003969F7" w:rsidP="003969F7">
      <w:pPr>
        <w:spacing w:before="100" w:beforeAutospacing="1" w:after="100" w:afterAutospacing="1" w:line="240" w:lineRule="auto"/>
        <w:jc w:val="both"/>
        <w:rPr>
          <w:rFonts w:ascii="Times New Roman" w:hAnsi="Times New Roman"/>
          <w:bCs/>
          <w:sz w:val="24"/>
          <w:szCs w:val="24"/>
          <w:u w:val="single"/>
        </w:rPr>
      </w:pPr>
      <w:r w:rsidRPr="00877C02">
        <w:rPr>
          <w:rFonts w:ascii="Times New Roman" w:hAnsi="Times New Roman"/>
          <w:bCs/>
          <w:sz w:val="24"/>
          <w:szCs w:val="24"/>
          <w:u w:val="single"/>
        </w:rPr>
        <w:t>Si esta es una buena descripción de nuestra realidad, y creo que lo es, tenemos ahora una economía mundial destinada a oscilar entre las burbujas y la depresión. Y este no es un pensamiento alentador, cuando estamos presenciando lo que parece ser el estallido de la burbuja de los mercados emergentes.</w:t>
      </w:r>
    </w:p>
    <w:p w:rsidR="003969F7" w:rsidRPr="00877C02"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877C02">
        <w:rPr>
          <w:rFonts w:ascii="Times New Roman" w:hAnsi="Times New Roman"/>
          <w:bCs/>
          <w:color w:val="FF0000"/>
          <w:sz w:val="24"/>
          <w:szCs w:val="24"/>
          <w:u w:val="single"/>
        </w:rPr>
        <w:t>La idea más general es que Turquía no es, de hecho, el problema; ni tampoco Sudáfrica, Rusia, Hungría, India ni cualquier otro país que esté en apuros ahora mismo. El verdadero problema es que las</w:t>
      </w:r>
      <w:r w:rsidR="009B6E26">
        <w:rPr>
          <w:rFonts w:ascii="Times New Roman" w:hAnsi="Times New Roman"/>
          <w:bCs/>
          <w:color w:val="FF0000"/>
          <w:sz w:val="24"/>
          <w:szCs w:val="24"/>
          <w:u w:val="single"/>
        </w:rPr>
        <w:t xml:space="preserve"> economías más ricas del mundo -</w:t>
      </w:r>
      <w:r w:rsidRPr="00877C02">
        <w:rPr>
          <w:rFonts w:ascii="Times New Roman" w:hAnsi="Times New Roman"/>
          <w:bCs/>
          <w:color w:val="FF0000"/>
          <w:sz w:val="24"/>
          <w:szCs w:val="24"/>
          <w:u w:val="single"/>
        </w:rPr>
        <w:t>Estados Unidos, la eurozona y otros ac</w:t>
      </w:r>
      <w:r w:rsidR="009B6E26">
        <w:rPr>
          <w:rFonts w:ascii="Times New Roman" w:hAnsi="Times New Roman"/>
          <w:bCs/>
          <w:color w:val="FF0000"/>
          <w:sz w:val="24"/>
          <w:szCs w:val="24"/>
          <w:u w:val="single"/>
        </w:rPr>
        <w:t>tores menos importantes también-</w:t>
      </w:r>
      <w:r w:rsidRPr="00877C02">
        <w:rPr>
          <w:rFonts w:ascii="Times New Roman" w:hAnsi="Times New Roman"/>
          <w:bCs/>
          <w:color w:val="FF0000"/>
          <w:sz w:val="24"/>
          <w:szCs w:val="24"/>
          <w:u w:val="single"/>
        </w:rPr>
        <w:t xml:space="preserve"> no han sido capaces de resolver sus problemas subyacentes. Lo más evidente es que, ante un sector privado que quiere ahorrar demasiado e invertir muy poco, hemos aplicado medidas de austeridad que intensifican las fuerzas de la depresión. Y lo que es aún peor, todo indica que, al permitir que el problema del paro se agrave, estamos reduciendo las perspectivas de crecimiento a largo plazo, así como las de corto plazo, lo cual hundirá la inversión privada todavía más.</w:t>
      </w:r>
    </w:p>
    <w:p w:rsidR="003969F7" w:rsidRPr="00877C02" w:rsidRDefault="003969F7" w:rsidP="003969F7">
      <w:pPr>
        <w:spacing w:before="100" w:beforeAutospacing="1" w:after="100" w:afterAutospacing="1" w:line="240" w:lineRule="auto"/>
        <w:jc w:val="both"/>
        <w:rPr>
          <w:rFonts w:ascii="Times New Roman" w:hAnsi="Times New Roman"/>
          <w:bCs/>
          <w:color w:val="FF0000"/>
          <w:sz w:val="24"/>
          <w:szCs w:val="24"/>
          <w:u w:val="single"/>
        </w:rPr>
      </w:pPr>
      <w:r w:rsidRPr="00877C02">
        <w:rPr>
          <w:rFonts w:ascii="Times New Roman" w:hAnsi="Times New Roman"/>
          <w:bCs/>
          <w:color w:val="FF0000"/>
          <w:sz w:val="24"/>
          <w:szCs w:val="24"/>
          <w:u w:val="single"/>
        </w:rPr>
        <w:t>Ah, y una gran parte de Europa ya corre el riesgo de caer en una trampa deflacionaria como la de Japón. Es más que verosímil que una crisis de los mercados emergentes pueda convertir ese riesgo en un hecho.</w:t>
      </w:r>
    </w:p>
    <w:p w:rsidR="003969F7" w:rsidRPr="009D5A94" w:rsidRDefault="003969F7" w:rsidP="003969F7">
      <w:pPr>
        <w:spacing w:before="100" w:beforeAutospacing="1" w:after="100" w:afterAutospacing="1" w:line="240" w:lineRule="auto"/>
        <w:jc w:val="both"/>
        <w:rPr>
          <w:rFonts w:ascii="Times New Roman" w:hAnsi="Times New Roman"/>
          <w:bCs/>
          <w:sz w:val="24"/>
          <w:szCs w:val="24"/>
        </w:rPr>
      </w:pPr>
      <w:r w:rsidRPr="009D5A94">
        <w:rPr>
          <w:rFonts w:ascii="Times New Roman" w:hAnsi="Times New Roman"/>
          <w:bCs/>
          <w:sz w:val="24"/>
          <w:szCs w:val="24"/>
        </w:rPr>
        <w:lastRenderedPageBreak/>
        <w:t>Así que Turquía parece tener problemas graves; y China, una economía muchísimo más grande, también parece un poco inestable. Pero lo que da miedo de estos problemas es la debilidad subyacente de las economías occidentales, una debilidad que han agravado profundamente unas po</w:t>
      </w:r>
      <w:r>
        <w:rPr>
          <w:rFonts w:ascii="Times New Roman" w:hAnsi="Times New Roman"/>
          <w:bCs/>
          <w:sz w:val="24"/>
          <w:szCs w:val="24"/>
        </w:rPr>
        <w:t>líticas absolutamente nefastas.</w:t>
      </w:r>
    </w:p>
    <w:p w:rsidR="003969F7" w:rsidRPr="00421BA1" w:rsidRDefault="003969F7" w:rsidP="003969F7">
      <w:pPr>
        <w:pStyle w:val="NormalWeb"/>
        <w:shd w:val="clear" w:color="auto" w:fill="FFFFFF"/>
        <w:jc w:val="both"/>
        <w:rPr>
          <w:color w:val="000000"/>
        </w:rPr>
      </w:pPr>
      <w:r>
        <w:rPr>
          <w:bCs/>
        </w:rPr>
        <w:t>(</w:t>
      </w:r>
      <w:r w:rsidRPr="009D5A94">
        <w:rPr>
          <w:bCs/>
        </w:rPr>
        <w:t>Paul Krugman es profesor de Economía de P</w:t>
      </w:r>
      <w:r w:rsidR="00491864">
        <w:rPr>
          <w:bCs/>
        </w:rPr>
        <w:t>rinceton y premio Nobel de 2008)</w:t>
      </w:r>
    </w:p>
    <w:p w:rsidR="003969F7" w:rsidRDefault="003969F7" w:rsidP="003969F7">
      <w:pPr>
        <w:pStyle w:val="NormalWeb"/>
        <w:jc w:val="both"/>
        <w:rPr>
          <w:b/>
        </w:rPr>
      </w:pPr>
      <w:r>
        <w:t xml:space="preserve">- </w:t>
      </w:r>
      <w:r w:rsidRPr="000A31F9">
        <w:rPr>
          <w:u w:val="single"/>
        </w:rPr>
        <w:t>¿Se ha vuelto loco Erdogan?</w:t>
      </w:r>
      <w:r>
        <w:t xml:space="preserve"> (El Confidencial - </w:t>
      </w:r>
      <w:r>
        <w:rPr>
          <w:b/>
        </w:rPr>
        <w:t>29</w:t>
      </w:r>
      <w:r w:rsidRPr="000A31F9">
        <w:rPr>
          <w:b/>
        </w:rPr>
        <w:t>/3/14)</w:t>
      </w:r>
    </w:p>
    <w:p w:rsidR="003969F7" w:rsidRPr="000A31F9" w:rsidRDefault="003969F7" w:rsidP="003969F7">
      <w:pPr>
        <w:pStyle w:val="NormalWeb"/>
        <w:jc w:val="both"/>
      </w:pPr>
      <w:r w:rsidRPr="000A31F9">
        <w:t>(Por Daniel Iriarte)</w:t>
      </w:r>
    </w:p>
    <w:p w:rsidR="003969F7" w:rsidRDefault="003969F7" w:rsidP="003969F7">
      <w:pPr>
        <w:pStyle w:val="NormalWeb"/>
        <w:jc w:val="both"/>
      </w:pPr>
      <w:r w:rsidRPr="009B6E26">
        <w:t>“¡</w:t>
      </w:r>
      <w:r w:rsidRPr="00D91E87">
        <w:rPr>
          <w:rStyle w:val="Textoennegrita"/>
        </w:rPr>
        <w:t>Recordad que tenéis el mejor primer ministro del mundo</w:t>
      </w:r>
      <w:r w:rsidRPr="009B6E26">
        <w:t xml:space="preserve">!”, </w:t>
      </w:r>
      <w:r w:rsidRPr="00D91E87">
        <w:rPr>
          <w:u w:val="single"/>
        </w:rPr>
        <w:t xml:space="preserve">ha dicho en alguna ocasión el mandatario turco </w:t>
      </w:r>
      <w:r w:rsidRPr="00D91E87">
        <w:rPr>
          <w:rStyle w:val="Textoennegrita"/>
        </w:rPr>
        <w:t>Recep Tayyip Erdogan</w:t>
      </w:r>
      <w:r w:rsidRPr="00D91E87">
        <w:rPr>
          <w:u w:val="single"/>
        </w:rPr>
        <w:t xml:space="preserve"> a sus seguidores, hablando de sí mismo</w:t>
      </w:r>
      <w:r>
        <w:t xml:space="preserve">. </w:t>
      </w:r>
      <w:r w:rsidRPr="00D91E87">
        <w:rPr>
          <w:color w:val="FF0000"/>
          <w:u w:val="single"/>
        </w:rPr>
        <w:t>La semana pasada, en un solo discurso, prometió “erradicar” Twitter, atacar Siria “en caso necesario”, ganar las elecciones locales previstas para este fin de semana y, en líneas generales, perpetuarse en el poder.</w:t>
      </w:r>
      <w:r>
        <w:t xml:space="preserve"> Horas después, la </w:t>
      </w:r>
      <w:r>
        <w:rPr>
          <w:rStyle w:val="Textoennegrita"/>
        </w:rPr>
        <w:t>Autoridad de Telecomunicaciones decretaba un cerrojazo a la popular red social</w:t>
      </w:r>
      <w:r>
        <w:t xml:space="preserve">, mientras que a los dos días la fuerza aérea turca derribaba un cazabombardero sirio que presuntamente había penetrado en el espacio aéreo de Turquía, elevando al máximo la tensión con el país vecino. El jueves, </w:t>
      </w:r>
      <w:r>
        <w:rPr>
          <w:rStyle w:val="Textoennegrita"/>
        </w:rPr>
        <w:t>el Gobierno turco restringió YouTube</w:t>
      </w:r>
      <w:r>
        <w:t>, después de que en la plataforma de vídeos apareciese la filtración de una reunión de un organismo de seguridad intergubernamental en la que, si la grabación es auténtica, varios altos cargos del Ejecutivo debaten cómo justificar el lanzamiento de una intervención militar en Siria.  </w:t>
      </w:r>
    </w:p>
    <w:p w:rsidR="003969F7" w:rsidRPr="00D91E87" w:rsidRDefault="003969F7" w:rsidP="003969F7">
      <w:pPr>
        <w:pStyle w:val="NormalWeb"/>
        <w:jc w:val="both"/>
        <w:rPr>
          <w:u w:val="single"/>
        </w:rPr>
      </w:pPr>
      <w:r w:rsidRPr="00D91E87">
        <w:rPr>
          <w:u w:val="single"/>
        </w:rPr>
        <w:t xml:space="preserve">Son movimientos audaces, que aunque podrían aportarle ciertos réditos electorales a su Partido Justicia y Desarrollo (AKP) en los comicios de este domingo, tienen, no obstante, un importante coste político. Lo mismo cabe decir de la intención de Erdogan de seguir en el poder: ya ha insinuado </w:t>
      </w:r>
      <w:r w:rsidRPr="00D91E87">
        <w:rPr>
          <w:rStyle w:val="Textoennegrita"/>
        </w:rPr>
        <w:t>que pretende volver a presentarse como candidato en las elecciones generales de 2015</w:t>
      </w:r>
      <w:r w:rsidRPr="00D91E87">
        <w:rPr>
          <w:u w:val="single"/>
        </w:rPr>
        <w:t>, aunque para ello tenga que modificar los estatutos de su propio partido, que prohíben que un miembro ocupe el mismo cargo público durante más de tres mandatos consecutivos.</w:t>
      </w:r>
    </w:p>
    <w:p w:rsidR="003969F7" w:rsidRPr="00D91E87" w:rsidRDefault="003969F7" w:rsidP="003969F7">
      <w:pPr>
        <w:pStyle w:val="NormalWeb"/>
        <w:jc w:val="both"/>
        <w:rPr>
          <w:u w:val="single"/>
        </w:rPr>
      </w:pPr>
      <w:r w:rsidRPr="00D91E87">
        <w:rPr>
          <w:color w:val="FF0000"/>
          <w:u w:val="single"/>
        </w:rPr>
        <w:t xml:space="preserve">Por cosas como éstas son muchos los que en Turquía -primero en privado, pero cada vez más de forma pública- </w:t>
      </w:r>
      <w:r w:rsidRPr="00D91E87">
        <w:rPr>
          <w:rStyle w:val="Textoennegrita"/>
          <w:color w:val="FF0000"/>
        </w:rPr>
        <w:t>comienzan a cuestionar la salud mental del primer ministro</w:t>
      </w:r>
      <w:r w:rsidRPr="00D91E87">
        <w:rPr>
          <w:color w:val="FF0000"/>
          <w:u w:val="single"/>
        </w:rPr>
        <w:t>, embarcado en una especie de cruzada para transformar el país de arriba abajo.</w:t>
      </w:r>
      <w:r w:rsidRPr="00D91E87">
        <w:rPr>
          <w:color w:val="FF0000"/>
        </w:rPr>
        <w:t xml:space="preserve"> </w:t>
      </w:r>
      <w:r w:rsidRPr="00D91E87">
        <w:rPr>
          <w:u w:val="single"/>
        </w:rPr>
        <w:t xml:space="preserve">A medida que pasan los años, la figura pública de Erdogan ha ido pasando de la de un líder responsable, inclusivo con las minorías, </w:t>
      </w:r>
      <w:r w:rsidR="00C853E5" w:rsidRPr="00D91E87">
        <w:rPr>
          <w:u w:val="single"/>
        </w:rPr>
        <w:t>pro europeísta</w:t>
      </w:r>
      <w:r w:rsidRPr="00D91E87">
        <w:rPr>
          <w:u w:val="single"/>
        </w:rPr>
        <w:t xml:space="preserve"> y con una hábil política exterior, a la de alguien </w:t>
      </w:r>
      <w:hyperlink r:id="rId40" w:history="1">
        <w:r w:rsidRPr="009B6E26">
          <w:rPr>
            <w:rStyle w:val="Hipervnculo"/>
            <w:color w:val="auto"/>
          </w:rPr>
          <w:t>cada vez más islamista, autoritario, intolerante</w:t>
        </w:r>
      </w:hyperlink>
      <w:r w:rsidRPr="009B6E26">
        <w:rPr>
          <w:u w:val="single"/>
        </w:rPr>
        <w:t xml:space="preserve"> y, en general, progresivamente alejado de la realidad</w:t>
      </w:r>
      <w:r w:rsidRPr="009B6E26">
        <w:t xml:space="preserve">. </w:t>
      </w:r>
      <w:r w:rsidRPr="009B6E26">
        <w:rPr>
          <w:rStyle w:val="Textoennegrita"/>
        </w:rPr>
        <w:t xml:space="preserve">Ha promovido un proceso de </w:t>
      </w:r>
      <w:hyperlink r:id="rId41" w:history="1">
        <w:r w:rsidRPr="009B6E26">
          <w:rPr>
            <w:rStyle w:val="Hipervnculo"/>
            <w:color w:val="auto"/>
          </w:rPr>
          <w:t>islamización forzosa</w:t>
        </w:r>
      </w:hyperlink>
      <w:r w:rsidRPr="00D91E87">
        <w:rPr>
          <w:u w:val="single"/>
        </w:rPr>
        <w:t>, encarcelado a más periodistas que ningún otro gobierno del mundo y amordazado a los medios de comunicación tradicionales, al tiempo que parece pensar que todo ello está legitimado por las urnas.</w:t>
      </w:r>
    </w:p>
    <w:p w:rsidR="003969F7" w:rsidRPr="00D91E87" w:rsidRDefault="003969F7" w:rsidP="003969F7">
      <w:pPr>
        <w:pStyle w:val="NormalWeb"/>
        <w:jc w:val="both"/>
        <w:rPr>
          <w:u w:val="single"/>
        </w:rPr>
      </w:pPr>
      <w:r>
        <w:t xml:space="preserve">“La nueva Turquía es donde reside la voluntad nacional, y es una pesadilla para aquellos que se beneficiaban de la vieja Turquía”, dijo el pasado enero. Meses antes, cuando un grupo de cineastas e intelectuales publicó en </w:t>
      </w:r>
      <w:r>
        <w:rPr>
          <w:rStyle w:val="nfasis"/>
        </w:rPr>
        <w:t>The Times</w:t>
      </w:r>
      <w:r>
        <w:t xml:space="preserve"> una carta abierta criticando su gestión de las protestas antigubernamentales del pasado junio, respondió calificándoles de </w:t>
      </w:r>
      <w:r>
        <w:rPr>
          <w:rStyle w:val="Textoennegrita"/>
        </w:rPr>
        <w:t>“vendidos” y “carentes de moral”</w:t>
      </w:r>
      <w:r>
        <w:t xml:space="preserve">, y diciendo: </w:t>
      </w:r>
      <w:r w:rsidRPr="009B2F21">
        <w:t>“</w:t>
      </w:r>
      <w:r w:rsidRPr="00D91E87">
        <w:rPr>
          <w:u w:val="single"/>
        </w:rPr>
        <w:t xml:space="preserve">Si fuesen sinceros acerca de la democracia no actuarían de forma tan inmoral, hasta el punto de llamar </w:t>
      </w:r>
      <w:r w:rsidRPr="00D91E87">
        <w:rPr>
          <w:u w:val="single"/>
        </w:rPr>
        <w:lastRenderedPageBreak/>
        <w:t xml:space="preserve">dictador a un primer ministro elegido con el cincuenta por ciento de los votos”. Y ante </w:t>
      </w:r>
      <w:r w:rsidRPr="009B6E26">
        <w:rPr>
          <w:u w:val="single"/>
        </w:rPr>
        <w:t xml:space="preserve">las </w:t>
      </w:r>
      <w:hyperlink r:id="rId42" w:history="1">
        <w:r w:rsidRPr="009B6E26">
          <w:rPr>
            <w:rStyle w:val="Hipervnculo"/>
            <w:color w:val="auto"/>
            <w:u w:val="single"/>
          </w:rPr>
          <w:t>acusaciones de corrupción en el seno de su partido aparecidas en los últimos meses</w:t>
        </w:r>
      </w:hyperlink>
      <w:r w:rsidRPr="009B6E26">
        <w:rPr>
          <w:u w:val="single"/>
        </w:rPr>
        <w:t xml:space="preserve">, </w:t>
      </w:r>
      <w:r w:rsidRPr="00D91E87">
        <w:rPr>
          <w:u w:val="single"/>
        </w:rPr>
        <w:t>ha declarado repetidamente: “Las urnas decidirán si somos corruptos o no”.</w:t>
      </w:r>
    </w:p>
    <w:p w:rsidR="003969F7" w:rsidRPr="00D91E87" w:rsidRDefault="003969F7" w:rsidP="003969F7">
      <w:pPr>
        <w:pStyle w:val="NormalWeb"/>
        <w:jc w:val="both"/>
        <w:rPr>
          <w:color w:val="FF0000"/>
          <w:u w:val="single"/>
        </w:rPr>
      </w:pPr>
      <w:r w:rsidRPr="00D91E87">
        <w:rPr>
          <w:color w:val="FF0000"/>
          <w:u w:val="single"/>
        </w:rPr>
        <w:t xml:space="preserve">Este verano, el doctor y profesor Izzetin Önder publicó un artículo titulado ‘El síndrome de Hybris: una enfermedad del poder’, en el que analizaba ese estado mental de muchos dirigentes, conocido ya desde los tiempos de la Grecia clásica. Entre sus características citaba “una preocupación narcisista con la propia imagen (por ejemplo, de “hombre fuerte”); </w:t>
      </w:r>
      <w:r w:rsidRPr="00D91E87">
        <w:rPr>
          <w:rStyle w:val="Textoennegrita"/>
          <w:color w:val="FF0000"/>
        </w:rPr>
        <w:t>pensar que los intereses de la persona y del país son los mismos</w:t>
      </w:r>
      <w:r w:rsidRPr="00D91E87">
        <w:rPr>
          <w:color w:val="FF0000"/>
          <w:u w:val="single"/>
        </w:rPr>
        <w:t xml:space="preserve">; hablar de uno mismo en tercera persona; autoconfianza en los propios juicios, y desprecio por las sugerencias o las críticas de otros, acompañado de un </w:t>
      </w:r>
      <w:r w:rsidRPr="00D91E87">
        <w:rPr>
          <w:rStyle w:val="Textoennegrita"/>
          <w:color w:val="FF0000"/>
        </w:rPr>
        <w:t>sentido de omnipotencia</w:t>
      </w:r>
      <w:r w:rsidRPr="00D91E87">
        <w:rPr>
          <w:color w:val="FF0000"/>
          <w:u w:val="single"/>
        </w:rPr>
        <w:t xml:space="preserve">; pérdida de contacto con la realidad y soledad creciente”, que terminan afectando a la capacidad de juicio. Aunque el artículo no le mencionaba por su nombre, venía ilustrado con una foto del </w:t>
      </w:r>
      <w:r w:rsidRPr="00D91E87">
        <w:rPr>
          <w:rStyle w:val="nfasis"/>
          <w:color w:val="FF0000"/>
          <w:u w:val="single"/>
        </w:rPr>
        <w:t>premier</w:t>
      </w:r>
      <w:r w:rsidRPr="00D91E87">
        <w:rPr>
          <w:color w:val="FF0000"/>
          <w:u w:val="single"/>
        </w:rPr>
        <w:t xml:space="preserve"> turco, </w:t>
      </w:r>
      <w:r w:rsidRPr="00D91E87">
        <w:rPr>
          <w:rStyle w:val="Textoennegrita"/>
          <w:color w:val="FF0000"/>
        </w:rPr>
        <w:t>en cuyo comportamiento de los últimos tiempos son perceptibles prácticamente todos estos elementos</w:t>
      </w:r>
      <w:r w:rsidRPr="00D91E87">
        <w:rPr>
          <w:color w:val="FF0000"/>
          <w:u w:val="single"/>
        </w:rPr>
        <w:t>.</w:t>
      </w:r>
    </w:p>
    <w:p w:rsidR="003969F7" w:rsidRPr="00D91E87" w:rsidRDefault="003969F7" w:rsidP="003969F7">
      <w:pPr>
        <w:pStyle w:val="NormalWeb"/>
        <w:jc w:val="both"/>
        <w:rPr>
          <w:u w:val="single"/>
        </w:rPr>
      </w:pPr>
      <w:r w:rsidRPr="009B2F21">
        <w:t xml:space="preserve">La </w:t>
      </w:r>
      <w:r w:rsidRPr="00D91E87">
        <w:rPr>
          <w:rStyle w:val="Textoennegrita"/>
        </w:rPr>
        <w:t>Asociación Médica de Turquía</w:t>
      </w:r>
      <w:r>
        <w:t xml:space="preserve">, que durante la oleada de protestas antigubernamentales del pasado junio adoptó una postura muy crítica tanto con la actuación policial como con la posición del Gobierno, </w:t>
      </w:r>
      <w:r w:rsidRPr="009B6E26">
        <w:t xml:space="preserve">es </w:t>
      </w:r>
      <w:r w:rsidRPr="00D91E87">
        <w:rPr>
          <w:rStyle w:val="Textoennegrita"/>
        </w:rPr>
        <w:t>otra de las voces que ha puesto en entredicho la cordura del primer ministro</w:t>
      </w:r>
      <w:r w:rsidRPr="00D91E87">
        <w:rPr>
          <w:u w:val="single"/>
        </w:rPr>
        <w:t>. “Somos médicos. Podemos evaluar con precisión el bienestar emocional de una persona, y estamos preocupados por el del primer ministro Erdogan. Estamos terriblemente preocupados por él, por su familia y por el país entero, y deseamos compartir nuestra preocupación con el público”, aseguró la asociación en un comunicado publicado a mediados de febrero.</w:t>
      </w:r>
    </w:p>
    <w:p w:rsidR="003969F7" w:rsidRPr="00491864" w:rsidRDefault="003969F7" w:rsidP="003969F7">
      <w:pPr>
        <w:pStyle w:val="NormalWeb"/>
        <w:jc w:val="both"/>
        <w:rPr>
          <w:b/>
        </w:rPr>
      </w:pPr>
      <w:r w:rsidRPr="00491864">
        <w:rPr>
          <w:rStyle w:val="Textoennegrita"/>
          <w:b w:val="0"/>
        </w:rPr>
        <w:t>Un “terrorista” de 15 años</w:t>
      </w:r>
    </w:p>
    <w:p w:rsidR="003969F7" w:rsidRDefault="003969F7" w:rsidP="003969F7">
      <w:pPr>
        <w:pStyle w:val="NormalWeb"/>
        <w:jc w:val="both"/>
      </w:pPr>
      <w:r>
        <w:t>Lo hizo durante los funerales de Berkin Elvan</w:t>
      </w:r>
      <w:r w:rsidRPr="009B6E26">
        <w:t xml:space="preserve">, </w:t>
      </w:r>
      <w:hyperlink r:id="rId43" w:history="1">
        <w:r w:rsidRPr="009B6E26">
          <w:rPr>
            <w:rStyle w:val="Hipervnculo"/>
            <w:color w:val="auto"/>
          </w:rPr>
          <w:t>un niño de 15 años que permanecía en coma desde junio por el impacto de un bote de gas lacrimógeno de la policía</w:t>
        </w:r>
      </w:hyperlink>
      <w:r>
        <w:t xml:space="preserve">, y que falleció hace dos semanas. Según su familia, Elvan había salido a comprar el pan cuando se vio envuelto en mitad de las protestas. Sin embargo, </w:t>
      </w:r>
      <w:r>
        <w:rPr>
          <w:rStyle w:val="Textoennegrita"/>
        </w:rPr>
        <w:t xml:space="preserve">el primer ministro no dudó en asegurar que el niño </w:t>
      </w:r>
      <w:r>
        <w:t>“iba encapuchado”,</w:t>
      </w:r>
      <w:r>
        <w:rPr>
          <w:rStyle w:val="Textoennegrita"/>
        </w:rPr>
        <w:t xml:space="preserve">  era “miembro de una organización terrorista” </w:t>
      </w:r>
      <w:r>
        <w:t>y llevaba “bolas de hierro en los bolsillos” para dispararlas contra la policía.</w:t>
      </w:r>
    </w:p>
    <w:p w:rsidR="003969F7" w:rsidRPr="00D91E87" w:rsidRDefault="003969F7" w:rsidP="003969F7">
      <w:pPr>
        <w:pStyle w:val="NormalWeb"/>
        <w:jc w:val="both"/>
        <w:rPr>
          <w:u w:val="single"/>
        </w:rPr>
      </w:pPr>
      <w:r w:rsidRPr="00D91E87">
        <w:rPr>
          <w:u w:val="single"/>
        </w:rPr>
        <w:t xml:space="preserve"> “En circunstancias normales, nadie en su sano juicio llamaría terrorista a un adolescente de quince años que recibió un disparo en la cabeza por parte de un oficial de policía y murió tras luchar por su vida durante 269 días”, protestó la Asociación Médica de Turquía. “</w:t>
      </w:r>
      <w:r w:rsidRPr="009B6E26">
        <w:rPr>
          <w:u w:val="single"/>
        </w:rPr>
        <w:t xml:space="preserve">En circunstancias normales, </w:t>
      </w:r>
      <w:r w:rsidRPr="009B6E26">
        <w:rPr>
          <w:rStyle w:val="Textoennegrita"/>
          <w:u w:val="single"/>
        </w:rPr>
        <w:t xml:space="preserve">nadie definiría las canicas o bolitas colocadas sobre la tumba de un </w:t>
      </w:r>
      <w:r w:rsidR="009B6E26">
        <w:rPr>
          <w:rStyle w:val="Textoennegrita"/>
          <w:u w:val="single"/>
        </w:rPr>
        <w:t>niño que amaba los juegos como “bolas de hierro”</w:t>
      </w:r>
      <w:r w:rsidRPr="009B6E26">
        <w:rPr>
          <w:u w:val="single"/>
        </w:rPr>
        <w:t>.</w:t>
      </w:r>
      <w:r w:rsidRPr="00D91E87">
        <w:rPr>
          <w:u w:val="single"/>
        </w:rPr>
        <w:t xml:space="preserve"> En circunstancias normales, nadie haría, ante los participantes de un mitin electoral, una burla a una madre que enterró a su hijo hace sólo dos días”, declaró.</w:t>
      </w:r>
    </w:p>
    <w:p w:rsidR="003969F7" w:rsidRPr="00D91E87" w:rsidRDefault="003969F7" w:rsidP="003969F7">
      <w:pPr>
        <w:pStyle w:val="NormalWeb"/>
        <w:jc w:val="both"/>
        <w:rPr>
          <w:u w:val="single"/>
        </w:rPr>
      </w:pPr>
      <w:r w:rsidRPr="00D91E87">
        <w:rPr>
          <w:u w:val="single"/>
        </w:rPr>
        <w:t>En los últimos años Erdogan ha promovido iniciativas como querer ajustar el huso horario de Turquía al de La Meca (</w:t>
      </w:r>
      <w:r w:rsidRPr="00D91E87">
        <w:rPr>
          <w:rStyle w:val="Textoennegrita"/>
        </w:rPr>
        <w:t>imitando a Sudán</w:t>
      </w:r>
      <w:r w:rsidRPr="00D91E87">
        <w:rPr>
          <w:u w:val="single"/>
        </w:rPr>
        <w:t>,</w:t>
      </w:r>
      <w:r w:rsidRPr="009B6E26">
        <w:t xml:space="preserve"> </w:t>
      </w:r>
      <w:r w:rsidRPr="00D91E87">
        <w:rPr>
          <w:u w:val="single"/>
        </w:rPr>
        <w:t>el único país del mundo que lo ha hecho), abandonar el proceso de adhesión a la Unión Europea en favor de la Organización de Cooperación de Shanghái,</w:t>
      </w:r>
      <w:r w:rsidRPr="009B6E26">
        <w:t xml:space="preserve"> o </w:t>
      </w:r>
      <w:r w:rsidRPr="009B6E26">
        <w:rPr>
          <w:rStyle w:val="Textoennegrita"/>
        </w:rPr>
        <w:t>adquirir</w:t>
      </w:r>
      <w:r w:rsidRPr="00D91E87">
        <w:rPr>
          <w:rStyle w:val="Textoennegrita"/>
        </w:rPr>
        <w:t xml:space="preserve"> un sistema antimisiles chino incompatible con los sistemas de la OTAN</w:t>
      </w:r>
      <w:r w:rsidRPr="009B6E26">
        <w:t xml:space="preserve">. </w:t>
      </w:r>
      <w:r w:rsidRPr="00D91E87">
        <w:rPr>
          <w:u w:val="single"/>
        </w:rPr>
        <w:t>Pero bien es cierto que ninguno de estos proyectos se ha llevado a cabo, por lo que son muchos quienes sospechan que el primer ministro maneja este tipo de </w:t>
      </w:r>
      <w:r w:rsidR="009B6E26">
        <w:rPr>
          <w:rStyle w:val="nfasis"/>
          <w:u w:val="single"/>
        </w:rPr>
        <w:t>“boutades”</w:t>
      </w:r>
      <w:r w:rsidRPr="00D91E87">
        <w:rPr>
          <w:u w:val="single"/>
        </w:rPr>
        <w:t xml:space="preserve"> para movilizar a sus bases de apoyo más </w:t>
      </w:r>
      <w:r w:rsidRPr="00D91E87">
        <w:rPr>
          <w:u w:val="single"/>
        </w:rPr>
        <w:lastRenderedPageBreak/>
        <w:t>comprometidas. Otros le acusan de promover deliberadamente la polarización del país para mantenerse en el poder.</w:t>
      </w:r>
    </w:p>
    <w:p w:rsidR="003969F7" w:rsidRDefault="003969F7" w:rsidP="003969F7">
      <w:pPr>
        <w:pStyle w:val="NormalWeb"/>
        <w:jc w:val="both"/>
      </w:pPr>
      <w:r w:rsidRPr="00D91E87">
        <w:rPr>
          <w:color w:val="FF0000"/>
          <w:u w:val="single"/>
        </w:rPr>
        <w:t xml:space="preserve"> “La persona que ocupa el puesto de Primer Ministro y un grupo muy reducido a su alrededor están buscando una provocación muy seria</w:t>
      </w:r>
      <w:r>
        <w:t>. Está claro que esta persona, que no tiene sentimientos de amor por su país ni por la humanidad, ve el llevar al país al caos y la catástrofe como única forma de salvarse a sí mismo”, aseguró este mes Kemal Kiliçdaroglu, líder del Partido Republicano Popular (CHP), la principal formación opositora de Turquía. El CHP anunció en enero que no volvería a referirse a Erdogan como “Señor” o “Primer Ministro”, al considerar que ha perdido toda legitimidad como gobernante. </w:t>
      </w:r>
      <w:r>
        <w:rPr>
          <w:rStyle w:val="Textoennegrita"/>
        </w:rPr>
        <w:t>Una muestra más del nivel de crispación al que se está llegando en Turquía</w:t>
      </w:r>
      <w:r>
        <w:t>.</w:t>
      </w:r>
    </w:p>
    <w:p w:rsidR="003969F7" w:rsidRPr="00491864" w:rsidRDefault="009B6E26" w:rsidP="003969F7">
      <w:pPr>
        <w:pStyle w:val="NormalWeb"/>
        <w:jc w:val="both"/>
        <w:rPr>
          <w:b/>
        </w:rPr>
      </w:pPr>
      <w:r w:rsidRPr="00491864">
        <w:rPr>
          <w:rStyle w:val="Textoennegrita"/>
          <w:b w:val="0"/>
        </w:rPr>
        <w:t>Un “</w:t>
      </w:r>
      <w:r w:rsidR="003969F7" w:rsidRPr="00491864">
        <w:rPr>
          <w:rStyle w:val="Textoennegrita"/>
          <w:b w:val="0"/>
        </w:rPr>
        <w:t>complot internacion</w:t>
      </w:r>
      <w:r w:rsidRPr="00491864">
        <w:rPr>
          <w:rStyle w:val="Textoennegrita"/>
          <w:b w:val="0"/>
        </w:rPr>
        <w:t>al promovido por el lobby judío”</w:t>
      </w:r>
    </w:p>
    <w:p w:rsidR="003969F7" w:rsidRPr="00D91E87" w:rsidRDefault="003969F7" w:rsidP="003969F7">
      <w:pPr>
        <w:pStyle w:val="NormalWeb"/>
        <w:jc w:val="both"/>
        <w:rPr>
          <w:color w:val="FF0000"/>
          <w:u w:val="single"/>
        </w:rPr>
      </w:pPr>
      <w:r w:rsidRPr="00D91E87">
        <w:rPr>
          <w:u w:val="single"/>
        </w:rPr>
        <w:t xml:space="preserve">Pero más allá de provocaciones, hay serios indicios de que algo no va bien en la Oficina del Primer Ministro. Por ejemplo, la narrativa, sostenida repetidamente por Erdogan y sus asesores más cercanos, de que </w:t>
      </w:r>
      <w:r w:rsidRPr="00D91E87">
        <w:rPr>
          <w:rStyle w:val="Textoennegrita"/>
        </w:rPr>
        <w:t>Turquía y su Gobierno son víctimas de un complot internacional promovido por el “lobby de interés” judío</w:t>
      </w:r>
      <w:r w:rsidRPr="009B6E26">
        <w:t xml:space="preserve">, en la que participan también la oposición secularista, la guerrilla kurda del PKK, el grupo armado marxista DHKP/C, el </w:t>
      </w:r>
      <w:r w:rsidRPr="009B6E26">
        <w:rPr>
          <w:rStyle w:val="Textoennegrita"/>
        </w:rPr>
        <w:t>FMI</w:t>
      </w:r>
      <w:r w:rsidRPr="009B6E26">
        <w:t xml:space="preserve">, el </w:t>
      </w:r>
      <w:r w:rsidRPr="009B6E26">
        <w:rPr>
          <w:rStyle w:val="Textoennegrita"/>
        </w:rPr>
        <w:t>Banco Mundial</w:t>
      </w:r>
      <w:r w:rsidRPr="009B6E26">
        <w:t xml:space="preserve">, EEUU, </w:t>
      </w:r>
      <w:r w:rsidRPr="009B6E26">
        <w:rPr>
          <w:rStyle w:val="Textoennegrita"/>
        </w:rPr>
        <w:t>Irán</w:t>
      </w:r>
      <w:r w:rsidRPr="009B6E26">
        <w:t xml:space="preserve"> e </w:t>
      </w:r>
      <w:r w:rsidRPr="009B6E26">
        <w:rPr>
          <w:rStyle w:val="Textoennegrita"/>
        </w:rPr>
        <w:t>Israel</w:t>
      </w:r>
      <w:r w:rsidRPr="009B6E26">
        <w:t>.</w:t>
      </w:r>
      <w:r w:rsidRPr="00D91E87">
        <w:rPr>
          <w:u w:val="single"/>
        </w:rPr>
        <w:t xml:space="preserve"> </w:t>
      </w:r>
      <w:r w:rsidRPr="00D91E87">
        <w:rPr>
          <w:color w:val="FF0000"/>
          <w:u w:val="single"/>
        </w:rPr>
        <w:t xml:space="preserve">A todos ellos, el periodista y comentarista económico Yigit Bulut añade la aerolínea alemana </w:t>
      </w:r>
      <w:r w:rsidRPr="00D91E87">
        <w:rPr>
          <w:rStyle w:val="Textoennegrita"/>
          <w:color w:val="FF0000"/>
        </w:rPr>
        <w:t>Lufthansa</w:t>
      </w:r>
      <w:r w:rsidRPr="00D91E87">
        <w:rPr>
          <w:color w:val="FF0000"/>
          <w:u w:val="single"/>
        </w:rPr>
        <w:t>, porque asegura que, de construirse el tercer aeropuerto que el Ejecutivo de Erdogan planea para Estambul, el de Frankfurt perdería toda su importancia, de modo que los alemanes también conspiran para hacerle caer.</w:t>
      </w:r>
    </w:p>
    <w:p w:rsidR="003969F7" w:rsidRPr="00D91E87" w:rsidRDefault="003969F7" w:rsidP="003969F7">
      <w:pPr>
        <w:pStyle w:val="NormalWeb"/>
        <w:jc w:val="both"/>
        <w:rPr>
          <w:color w:val="FF0000"/>
          <w:u w:val="single"/>
        </w:rPr>
      </w:pPr>
      <w:r w:rsidRPr="00D91E87">
        <w:rPr>
          <w:color w:val="FF0000"/>
          <w:u w:val="single"/>
        </w:rPr>
        <w:t xml:space="preserve">Bulut cobró cierta fama durante las protestas antigubernamentales del pasado junio a propósito del parque Gezi, al asegurar que “poderes extranjeros” intentaban asesinar a Erdogan “mediante telequinesis”. Lo verdaderamente preocupante es que una semana después de hacer estas afirmaciones, </w:t>
      </w:r>
      <w:r w:rsidRPr="00D91E87">
        <w:rPr>
          <w:rStyle w:val="Textoennegrita"/>
          <w:color w:val="FF0000"/>
        </w:rPr>
        <w:t>Bulut fue promovido a Asesor Jefe de Erdogan en materia económica</w:t>
      </w:r>
      <w:r w:rsidRPr="00D91E87">
        <w:rPr>
          <w:color w:val="FF0000"/>
          <w:u w:val="single"/>
        </w:rPr>
        <w:t>.</w:t>
      </w:r>
    </w:p>
    <w:p w:rsidR="003969F7" w:rsidRPr="00357C69" w:rsidRDefault="003969F7" w:rsidP="003969F7">
      <w:pPr>
        <w:pStyle w:val="NormalWeb"/>
        <w:jc w:val="both"/>
        <w:rPr>
          <w:u w:val="single"/>
        </w:rPr>
      </w:pPr>
      <w:r>
        <w:t xml:space="preserve">Otro ejemplo es el caso de las </w:t>
      </w:r>
      <w:r>
        <w:rPr>
          <w:rStyle w:val="Textoennegrita"/>
        </w:rPr>
        <w:t>extrañas muertes de cuatro científicos</w:t>
      </w:r>
      <w:r>
        <w:t xml:space="preserve"> que trabajaban para el gigante de la industria militar de Turquía ASELSAN, en 2006 y 2007. Las cuatro fueron calificadas de suicidios o accidentes, a pesar de las dudas de algunos forenses. Pero cuando el padre de uno de los fallecidos apeló personalmente a Erdogan, asegurándole que estaba convencido de que su hijo no se había suicidado, el primer ministro puso a trabajar al Consejo de Investigación de su propia oficina. Las conclusiones fueron sorprendentes: </w:t>
      </w:r>
      <w:r w:rsidRPr="00357C69">
        <w:rPr>
          <w:u w:val="single"/>
        </w:rPr>
        <w:t xml:space="preserve">los investigadores determinaron que los ingenieros </w:t>
      </w:r>
      <w:r w:rsidRPr="009B2F21">
        <w:t>“</w:t>
      </w:r>
      <w:r w:rsidRPr="00357C69">
        <w:rPr>
          <w:rStyle w:val="Textoennegrita"/>
        </w:rPr>
        <w:t>podrían haber sido inducidos a quitarse la vida tras sufrir continuados ataques telepáticos</w:t>
      </w:r>
      <w:r w:rsidRPr="00357C69">
        <w:rPr>
          <w:u w:val="single"/>
        </w:rPr>
        <w:t xml:space="preserve"> que les sumieron en una profunda depresión”. El informe fue revisado y aprobado por el propio Erdogan y remitido a la Fiscalía General de Ankara para que iniciase una investigación judicial.</w:t>
      </w:r>
    </w:p>
    <w:p w:rsidR="003969F7" w:rsidRDefault="003969F7" w:rsidP="003969F7">
      <w:pPr>
        <w:pStyle w:val="NormalWeb"/>
        <w:jc w:val="both"/>
      </w:pPr>
      <w:r w:rsidRPr="00357C69">
        <w:rPr>
          <w:u w:val="single"/>
        </w:rPr>
        <w:t xml:space="preserve">Existen más indicios del posible deterioro mental del primer ministro, como </w:t>
      </w:r>
      <w:r w:rsidRPr="00357C69">
        <w:rPr>
          <w:rStyle w:val="Textoennegrita"/>
        </w:rPr>
        <w:t>discursos en los que repite, palabra por palabra, lo mismo que acaba de decir apenas unos minutos antes</w:t>
      </w:r>
      <w:r>
        <w:t xml:space="preserve">. Y durante las protestas de Gezi, se hizo célebre un vídeo de una de sus encendidas apariciones públicas, en la que se ve cómo Erdogan se va exaltando a medida que habla, hasta casi ponerse rojo de ira. En ese momento, su esposa, Emine, le </w:t>
      </w:r>
      <w:r>
        <w:lastRenderedPageBreak/>
        <w:t xml:space="preserve">señala un punto en el cielo, como para concentrar su atención en otra cosa, e </w:t>
      </w:r>
      <w:r>
        <w:rPr>
          <w:rStyle w:val="Textoennegrita"/>
        </w:rPr>
        <w:t>inmediatamente el primer ministro parece calmarse de forma automática</w:t>
      </w:r>
      <w:r>
        <w:t>.</w:t>
      </w:r>
    </w:p>
    <w:p w:rsidR="003969F7" w:rsidRDefault="003969F7" w:rsidP="003969F7">
      <w:pPr>
        <w:pStyle w:val="NormalWeb"/>
        <w:jc w:val="both"/>
        <w:rPr>
          <w:u w:val="single"/>
        </w:rPr>
      </w:pPr>
      <w:r w:rsidRPr="00357C69">
        <w:rPr>
          <w:u w:val="single"/>
        </w:rPr>
        <w:t xml:space="preserve">Por todo ello, no es de extrañar que la credibilidad internacional de Erdogan pase por su peor momento, ya incluso desde antes de las operaciones anticorrupción del pasado diciembre y la filtración en internet de grabaciones comprometedoras, que implican a personas de su entorno cercano. </w:t>
      </w:r>
      <w:r w:rsidRPr="00357C69">
        <w:rPr>
          <w:rStyle w:val="Textoennegrita"/>
        </w:rPr>
        <w:t>Limitar la difusión de estas filtraciones parece ser el propósito del Gobierno turco al bloquear Twitter y YouTube</w:t>
      </w:r>
      <w:r w:rsidRPr="009B6E26">
        <w:t xml:space="preserve">, </w:t>
      </w:r>
      <w:r w:rsidRPr="00357C69">
        <w:rPr>
          <w:u w:val="single"/>
        </w:rPr>
        <w:t>una restricción que podría ampliarse a otras redes sociales en las próximas semanas, según ha dejado entrever el primer ministro. Pero hay quien cree que estos movimientos desesperados podrían señalar el principio del fin de Erdogan, y que, como dice el proverbio griego: “Aquel a quien los dioses quieren destruir, primero lo vuelven loco”.</w:t>
      </w:r>
    </w:p>
    <w:p w:rsidR="003969F7" w:rsidRDefault="003969F7" w:rsidP="003969F7">
      <w:pPr>
        <w:pStyle w:val="NormalWeb"/>
        <w:jc w:val="both"/>
      </w:pPr>
      <w:r>
        <w:t xml:space="preserve">- </w:t>
      </w:r>
      <w:r w:rsidRPr="00253B02">
        <w:rPr>
          <w:u w:val="single"/>
        </w:rPr>
        <w:t>La victoria pírrica de Erdoğan</w:t>
      </w:r>
      <w:r>
        <w:t xml:space="preserve"> (Project Syndicate - </w:t>
      </w:r>
      <w:r>
        <w:rPr>
          <w:b/>
        </w:rPr>
        <w:t>3</w:t>
      </w:r>
      <w:r w:rsidRPr="00253B02">
        <w:rPr>
          <w:b/>
        </w:rPr>
        <w:t>/4/14</w:t>
      </w:r>
      <w:r>
        <w:t>)</w:t>
      </w:r>
    </w:p>
    <w:p w:rsidR="003969F7" w:rsidRPr="00477052" w:rsidRDefault="009B6E26" w:rsidP="003969F7">
      <w:pPr>
        <w:pStyle w:val="NormalWeb"/>
        <w:jc w:val="both"/>
        <w:rPr>
          <w:u w:val="single"/>
        </w:rPr>
      </w:pPr>
      <w:r>
        <w:t>Estambul.-</w:t>
      </w:r>
      <w:r w:rsidR="003969F7">
        <w:t xml:space="preserve"> </w:t>
      </w:r>
      <w:r w:rsidR="003969F7" w:rsidRPr="00477052">
        <w:rPr>
          <w:u w:val="single"/>
        </w:rPr>
        <w:t>El atribulado primer ministro turco, Recep Tayyip Erdoğan y su Partido de la Justicia y el Desarrollo (AKP, por su sigla en turco) emergieron victoriosos de las elecciones locales esta semana. Sin embargo, no parece probable que el triunfo del AKP vaya a mejorar los conflictos internos del país ni, mucho menos, devolver brillo a su deslucida posición internacional.</w:t>
      </w:r>
    </w:p>
    <w:p w:rsidR="003969F7" w:rsidRDefault="003969F7" w:rsidP="003969F7">
      <w:pPr>
        <w:pStyle w:val="NormalWeb"/>
        <w:jc w:val="both"/>
      </w:pPr>
      <w:r>
        <w:t>Las elecciones locales fueron, en gran medida, consideradas un referéndum sobre Erdoğan. El AKP recibió el 44 % de los votos nacionales y controla ahora a 49 de las 81 municipalidades metropolitanas de Turquía, incluidas Estambul y la capital, Ankara. La principal fuerza opositora, el Partido Republicano del Pueblo (CHP, por su sigla en turco), de centroizquierda, recibió el 26 % de los votos y solo ganó en 13 municipalidades.</w:t>
      </w:r>
    </w:p>
    <w:p w:rsidR="003969F7" w:rsidRPr="00477052" w:rsidRDefault="003969F7" w:rsidP="003969F7">
      <w:pPr>
        <w:pStyle w:val="NormalWeb"/>
        <w:jc w:val="both"/>
        <w:rPr>
          <w:color w:val="FF0000"/>
          <w:u w:val="single"/>
        </w:rPr>
      </w:pPr>
      <w:r w:rsidRPr="00477052">
        <w:rPr>
          <w:u w:val="single"/>
        </w:rPr>
        <w:t>El resultado puede entenderse como una reivindicación de la estrategia de polarización política usada por Erdoğan para consolidar su apoyo y contrarrestar el desafío a su liderazgo por parte de los seguidores de su antiguo a</w:t>
      </w:r>
      <w:r w:rsidR="009B6E26">
        <w:rPr>
          <w:u w:val="single"/>
        </w:rPr>
        <w:t>liado, el imán residente en EEUU</w:t>
      </w:r>
      <w:r w:rsidRPr="00477052">
        <w:rPr>
          <w:u w:val="single"/>
        </w:rPr>
        <w:t>, Fethullah Gülen</w:t>
      </w:r>
      <w:r>
        <w:t xml:space="preserve">. </w:t>
      </w:r>
      <w:r w:rsidRPr="00477052">
        <w:rPr>
          <w:color w:val="FF0000"/>
          <w:u w:val="single"/>
        </w:rPr>
        <w:t>Con el apoyo inicial del AKP, el movimiento de Gülen infiltró gradualmente las instituciones estatales, especialmente el poder judicial y las fuerzas del orden, hasta que la alianza terminó con una enconada escisión por la distribución del poder en Turquía.</w:t>
      </w:r>
    </w:p>
    <w:p w:rsidR="003969F7" w:rsidRPr="00477052" w:rsidRDefault="003969F7" w:rsidP="003969F7">
      <w:pPr>
        <w:pStyle w:val="NormalWeb"/>
        <w:jc w:val="both"/>
        <w:rPr>
          <w:color w:val="FF0000"/>
          <w:u w:val="single"/>
        </w:rPr>
      </w:pPr>
      <w:r w:rsidRPr="00477052">
        <w:rPr>
          <w:color w:val="FF0000"/>
          <w:u w:val="single"/>
        </w:rPr>
        <w:t>El resultado final fue una guerra sucia de acusaciones de contubernios que se difundieron a través de los medios sociales, según parece, principalmente por los seguidores de Gülen. Como respuesta, el gobierno ha calificado a sus oponentes de enemigos e intentó promulgar nuevas leyes que socavan la independencia del poder judicial y restringen la libertad de expresión, incluidos los bloqueos de Twitter y YouTube.</w:t>
      </w:r>
    </w:p>
    <w:p w:rsidR="003969F7" w:rsidRPr="00477052" w:rsidRDefault="003969F7" w:rsidP="003969F7">
      <w:pPr>
        <w:pStyle w:val="NormalWeb"/>
        <w:jc w:val="both"/>
        <w:rPr>
          <w:u w:val="single"/>
        </w:rPr>
      </w:pPr>
      <w:r w:rsidRPr="00477052">
        <w:rPr>
          <w:u w:val="single"/>
        </w:rPr>
        <w:t>La estrategia de Erdoğan procuró complementar este ejercicio de contención de daños con una demostración de su legitimidad popular. Con el abrumador triunfo del AKP en las elecciones locales, Erdoğan ahora puede afirmar justificadamente que el electorado turco respalda su enfoque, incluida la suspensión por parte de su gobierno del imperio de la ley, para obstruir investigaciones sobre corrupción que considera un golpe judicial promovido por los seguidores de Gülen.</w:t>
      </w:r>
    </w:p>
    <w:p w:rsidR="003969F7" w:rsidRPr="00477052" w:rsidRDefault="003969F7" w:rsidP="003969F7">
      <w:pPr>
        <w:pStyle w:val="NormalWeb"/>
        <w:jc w:val="both"/>
        <w:rPr>
          <w:u w:val="single"/>
        </w:rPr>
      </w:pPr>
      <w:r w:rsidRPr="00477052">
        <w:rPr>
          <w:u w:val="single"/>
        </w:rPr>
        <w:lastRenderedPageBreak/>
        <w:t>Sin embargo, la victoria electoral del AKP presagia dos peligros específicos para el futuro de la democracia turca. El primero es la persistencia de una intensa polarización política durante el período previo a la elección presidencial en agosto y la elección parlamentaria durante la primera mitad de 2015.</w:t>
      </w:r>
    </w:p>
    <w:p w:rsidR="003969F7" w:rsidRDefault="003969F7" w:rsidP="003969F7">
      <w:pPr>
        <w:pStyle w:val="NormalWeb"/>
        <w:jc w:val="both"/>
      </w:pPr>
      <w:r>
        <w:t>En Turquía, la polarización no tiene los mismos costos políticos que en otras partes: debido al débil sistema de separación de poderes, el ejecutivo turco aún tiene un amplio margen de maniobra para ocuparse de los asuntos del estado y la reciente victoria de Erdoğan lo envalentonará para continuar con su política de polarización como base de una campaña presidencial.</w:t>
      </w:r>
    </w:p>
    <w:p w:rsidR="003969F7" w:rsidRDefault="003969F7" w:rsidP="003969F7">
      <w:pPr>
        <w:pStyle w:val="NormalWeb"/>
        <w:jc w:val="both"/>
      </w:pPr>
      <w:r w:rsidRPr="00477052">
        <w:rPr>
          <w:u w:val="single"/>
        </w:rPr>
        <w:t>El otro peligro es el de una creciente alienación del Oeste. Con el renovado mandato popular, es probable que el gobierno comience a enjuiciar a los gülenistas por supuestos comportamientos criminales. Pero la creación de una mentalidad de sitio más amplia para impulsar el apoyo local también requiere la invención de coconspiradores externos: los mercados financieros mundiales, los medios internacionales, o incluso los aliados de Turquía en la OTAN</w:t>
      </w:r>
      <w:r>
        <w:t>. Esas acusaciones han sido parte de la retórica del gobierno sobre conspiraciones desde las protestas del verano pasado y las autoridades rechazaron las recientes acusaciones de corrupción contra Erdoğan de esa misma manera.</w:t>
      </w:r>
    </w:p>
    <w:p w:rsidR="003969F7" w:rsidRPr="00477052" w:rsidRDefault="003969F7" w:rsidP="003969F7">
      <w:pPr>
        <w:pStyle w:val="NormalWeb"/>
        <w:jc w:val="both"/>
        <w:rPr>
          <w:color w:val="FF0000"/>
          <w:u w:val="single"/>
        </w:rPr>
      </w:pPr>
      <w:r w:rsidRPr="00477052">
        <w:rPr>
          <w:color w:val="FF0000"/>
          <w:u w:val="single"/>
        </w:rPr>
        <w:t xml:space="preserve">La posición internacional turca ha sufrido enormemente por la estrategia de polarización interna de Erdoğan. Quedaron ya muy atrás los días en que un posible ingreso a la Unión Europea sostuvo una poderosa dinámica de reforma democrática. Con el desvanecimiento de las esperanzas de ingresar a la UE se ha perdido el impulso reformista y se espera que la Comisión Europea emita un informe de avance extremadamente crítico en octubre. </w:t>
      </w:r>
    </w:p>
    <w:p w:rsidR="003969F7" w:rsidRPr="00477052" w:rsidRDefault="003969F7" w:rsidP="003969F7">
      <w:pPr>
        <w:pStyle w:val="NormalWeb"/>
        <w:jc w:val="both"/>
        <w:rPr>
          <w:color w:val="FF0000"/>
          <w:u w:val="single"/>
        </w:rPr>
      </w:pPr>
      <w:r w:rsidRPr="00477052">
        <w:rPr>
          <w:color w:val="FF0000"/>
          <w:u w:val="single"/>
        </w:rPr>
        <w:t>Las relaciones bilaterales con Estados Unidos también son tensas. El presidente Barack Obama y Erdoğan ya rara vez hablan entre sí, cuando en algún momento Obama consideró a Erdoğan uno de sus líderes favoritos en el mundo.</w:t>
      </w:r>
    </w:p>
    <w:p w:rsidR="003969F7" w:rsidRPr="00477052" w:rsidRDefault="003969F7" w:rsidP="003969F7">
      <w:pPr>
        <w:pStyle w:val="NormalWeb"/>
        <w:jc w:val="both"/>
        <w:rPr>
          <w:color w:val="FF0000"/>
          <w:u w:val="single"/>
        </w:rPr>
      </w:pPr>
      <w:r w:rsidRPr="00477052">
        <w:rPr>
          <w:color w:val="FF0000"/>
          <w:u w:val="single"/>
        </w:rPr>
        <w:t>Turquía también ha perdido varios aliados regionales, especialmente algunas de las monarquías del Golfo, irritadas por el apoyo incondicional del gobierno de Erdoğan a los Hermanos Musulmanes en Egipto. El tan cacareado modelo de diplomacia por persuasión y la política de vecindad quedaron hechos trizas.</w:t>
      </w:r>
    </w:p>
    <w:p w:rsidR="003969F7" w:rsidRPr="00477052" w:rsidRDefault="003969F7" w:rsidP="003969F7">
      <w:pPr>
        <w:pStyle w:val="NormalWeb"/>
        <w:jc w:val="both"/>
        <w:rPr>
          <w:u w:val="single"/>
        </w:rPr>
      </w:pPr>
      <w:r>
        <w:t xml:space="preserve">Sin embargo, Turquía continúa siendo una potencia regional grande e importante. </w:t>
      </w:r>
      <w:r w:rsidRPr="00477052">
        <w:rPr>
          <w:u w:val="single"/>
        </w:rPr>
        <w:t>Ahora que su popularidad ha sido reafirmada, Erdoğan podría moverse en otra dirección.</w:t>
      </w:r>
      <w:r>
        <w:t xml:space="preserve"> Consciente de los peligros de la polarización extrema y tranquilizado por el nivel de apoyo obtenido por el AKP en las elecciones locales, </w:t>
      </w:r>
      <w:r w:rsidRPr="00477052">
        <w:rPr>
          <w:u w:val="single"/>
        </w:rPr>
        <w:t>Erdoğan podría optar por bajar la temperatura política interna en busca de reparar las desgastadas relaciones de Turquía con el extranjero.</w:t>
      </w:r>
    </w:p>
    <w:p w:rsidR="003969F7" w:rsidRPr="00477052" w:rsidRDefault="003969F7" w:rsidP="003969F7">
      <w:pPr>
        <w:pStyle w:val="NormalWeb"/>
        <w:jc w:val="both"/>
        <w:rPr>
          <w:u w:val="single"/>
        </w:rPr>
      </w:pPr>
      <w:r w:rsidRPr="00477052">
        <w:rPr>
          <w:u w:val="single"/>
        </w:rPr>
        <w:t xml:space="preserve">Su comportamiento no solo determinará la intensidad del conflicto político interno, sino que afectará en gran medida las posibilidades de Turquía para recuperar la influencia regional de la que alguna vez disfrutó. Si Erdoğan considera necesario un mayor nivel de antagonismo para mantener el poder, puede decidir ignorar al daño infligido a la posición internacional de su país. </w:t>
      </w:r>
    </w:p>
    <w:p w:rsidR="003969F7" w:rsidRDefault="003969F7" w:rsidP="003969F7">
      <w:pPr>
        <w:pStyle w:val="NormalWeb"/>
        <w:jc w:val="both"/>
        <w:rPr>
          <w:lang w:val="en-US"/>
        </w:rPr>
      </w:pPr>
      <w:r>
        <w:rPr>
          <w:lang w:val="en-US"/>
        </w:rPr>
        <w:lastRenderedPageBreak/>
        <w:t>(</w:t>
      </w:r>
      <w:r w:rsidRPr="00253B02">
        <w:rPr>
          <w:lang w:val="en-US"/>
        </w:rPr>
        <w:t>Sinan Ülgen is Chairman of the Istanbul-based Center for Economics and Foreign Policy Studies (EDAM) and a visiting scholar at Carnegie Europe in Brussels</w:t>
      </w:r>
      <w:r>
        <w:rPr>
          <w:lang w:val="en-US"/>
        </w:rPr>
        <w:t>)</w:t>
      </w:r>
    </w:p>
    <w:p w:rsidR="003969F7" w:rsidRPr="00C54EF6" w:rsidRDefault="003969F7" w:rsidP="003969F7">
      <w:pPr>
        <w:pStyle w:val="NormalWeb"/>
        <w:jc w:val="both"/>
      </w:pPr>
      <w:r w:rsidRPr="00C54EF6">
        <w:t xml:space="preserve">- </w:t>
      </w:r>
      <w:r w:rsidRPr="00C54EF6">
        <w:rPr>
          <w:u w:val="single"/>
        </w:rPr>
        <w:t>El problema del dinero caliente de Turquía</w:t>
      </w:r>
      <w:r>
        <w:t xml:space="preserve"> (Project Syndicate - </w:t>
      </w:r>
      <w:r w:rsidRPr="00C54EF6">
        <w:rPr>
          <w:b/>
        </w:rPr>
        <w:t>4/4/14</w:t>
      </w:r>
      <w:r>
        <w:t>)</w:t>
      </w:r>
    </w:p>
    <w:p w:rsidR="003969F7" w:rsidRPr="009F6159" w:rsidRDefault="009B6E26" w:rsidP="003969F7">
      <w:pPr>
        <w:pStyle w:val="NormalWeb"/>
        <w:jc w:val="both"/>
        <w:rPr>
          <w:color w:val="FF0000"/>
          <w:u w:val="single"/>
        </w:rPr>
      </w:pPr>
      <w:r>
        <w:t>Nueva York.-</w:t>
      </w:r>
      <w:r w:rsidR="003969F7" w:rsidRPr="00C54EF6">
        <w:t xml:space="preserve"> </w:t>
      </w:r>
      <w:r w:rsidR="003969F7" w:rsidRPr="009F6159">
        <w:rPr>
          <w:color w:val="FF0000"/>
          <w:u w:val="single"/>
        </w:rPr>
        <w:t>La volatilidad financiera actual en las economías emergentes está alimentado e</w:t>
      </w:r>
      <w:r>
        <w:rPr>
          <w:color w:val="FF0000"/>
          <w:u w:val="single"/>
        </w:rPr>
        <w:t>l debate sobre si los llamados “Cinco Frágiles”</w:t>
      </w:r>
      <w:r w:rsidR="003969F7" w:rsidRPr="009F6159">
        <w:rPr>
          <w:color w:val="FF0000"/>
          <w:u w:val="single"/>
        </w:rPr>
        <w:t xml:space="preserve"> -Brasil, India, Indonesia, Sudáfrica y Turquía- deberían ser considerados víctimas de las políticas monetarias de los países avanzados o víctimas de su propia integración excesiva en los mercados financieros globales. Para responder a esa pregunta es preciso examinar las diferentes políticas que han aplicado en respuesta a la expansión monetaria -y los diferentes niveles de riesgo que esas respuestas han generado.</w:t>
      </w:r>
    </w:p>
    <w:p w:rsidR="003969F7" w:rsidRPr="00C54EF6" w:rsidRDefault="003969F7" w:rsidP="003969F7">
      <w:pPr>
        <w:pStyle w:val="NormalWeb"/>
        <w:jc w:val="both"/>
      </w:pPr>
      <w:r w:rsidRPr="00C54EF6">
        <w:t xml:space="preserve">Si bien los Cinco Frágiles -identificados en base a sus déficits fiscales y de cuenta corriente idénticos, que los tornan particularmente vulnerables a la volatilidad de los flujos de capital- </w:t>
      </w:r>
      <w:r w:rsidRPr="009F6159">
        <w:rPr>
          <w:u w:val="single"/>
        </w:rPr>
        <w:t>han adoptado algunas medidas macroprudenciales desde la crisis financiera global</w:t>
      </w:r>
      <w:r w:rsidRPr="00C54EF6">
        <w:t xml:space="preserve">, la combinación de esas políticas y sus resultados han variado sustancialmente. </w:t>
      </w:r>
      <w:r w:rsidRPr="009F6159">
        <w:rPr>
          <w:u w:val="single"/>
        </w:rPr>
        <w:t>Mientras que Brasil, India e Indonesia han respondido a los crecientes ingresos de capital con nuevas regulaciones de las cuentas de capital, Sudáfrica y Turquía han permitido que el capital circulara libremente a través de sus fronteras.</w:t>
      </w:r>
      <w:r>
        <w:t xml:space="preserve"> </w:t>
      </w:r>
    </w:p>
    <w:p w:rsidR="003969F7" w:rsidRPr="009F6159" w:rsidRDefault="003969F7" w:rsidP="003969F7">
      <w:pPr>
        <w:pStyle w:val="NormalWeb"/>
        <w:jc w:val="both"/>
        <w:rPr>
          <w:u w:val="single"/>
        </w:rPr>
      </w:pPr>
      <w:r w:rsidRPr="009F6159">
        <w:rPr>
          <w:u w:val="single"/>
        </w:rPr>
        <w:t>Consideremos la respuesta de Turquía, que se ha caracterizado por un firme compromiso con la apertura de las cuentas de capital. Aunque los acontecimientos políticos en Turquía recientemente han acaparado la atención, la crisis actual del país está arraigada en debilidades económicas, reflejadas en una pérdida de confianza de los inversores y en la marcada depreciación del tipo de cambio de la lira. Esta inestabilidad ha generado temores de un contagio de los mercados emergentes, siendo Sudáfrica especialmente susceptible, debido a su apertura de las cuentas de capital.</w:t>
      </w:r>
    </w:p>
    <w:p w:rsidR="003969F7" w:rsidRPr="009B4397" w:rsidRDefault="003969F7" w:rsidP="003969F7">
      <w:pPr>
        <w:pStyle w:val="NormalWeb"/>
        <w:jc w:val="both"/>
        <w:rPr>
          <w:u w:val="single"/>
        </w:rPr>
      </w:pPr>
      <w:r w:rsidRPr="00C54EF6">
        <w:t>En lugar de restricciones a los flujos de capital, las autoridades monetarias de Turquía empezaron a recortar las tasas de préstamo overnight  en noviembre de 2010, pa</w:t>
      </w:r>
      <w:r w:rsidR="009B6E26">
        <w:t>ra reducir la rentabilidad del “carry trade”</w:t>
      </w:r>
      <w:r w:rsidRPr="00C54EF6">
        <w:t xml:space="preserve"> (compras de activos en moneda extranjera para sacar ventaja de una mayor tasa de interés). </w:t>
      </w:r>
      <w:r w:rsidRPr="009B4397">
        <w:rPr>
          <w:u w:val="single"/>
        </w:rPr>
        <w:t xml:space="preserve">La expectativa era que los flujos de capital a más largo plazo financiarían el creciente déficit de cuenta corriente, que superaba en ese momento el 8% del PBI, mitigando el riesgo de una repentina interrupción del financiamiento externo. </w:t>
      </w:r>
    </w:p>
    <w:p w:rsidR="003969F7" w:rsidRPr="009B4397" w:rsidRDefault="003969F7" w:rsidP="003969F7">
      <w:pPr>
        <w:pStyle w:val="NormalWeb"/>
        <w:jc w:val="both"/>
        <w:rPr>
          <w:color w:val="FF0000"/>
          <w:u w:val="single"/>
        </w:rPr>
      </w:pPr>
      <w:r w:rsidRPr="009B4397">
        <w:rPr>
          <w:color w:val="FF0000"/>
          <w:u w:val="single"/>
        </w:rPr>
        <w:t xml:space="preserve">Mientras que muchos observadores del mercado aplaudieron al banco central de Turquía por su combinación de políticas audaces y poco ortodoxas, el Fondo Monetario Internacional criticó a las autoridades turcas por aumentar las expectativas de inflación y alimentar un mayor crecimiento del crédito. Sin embargo, el FMI no recomendó explícitamente que Turquía aplicara regulaciones de las cuentas de capital, a pesar de la creciente evidencia ofrecida por sus propios funcionarios de que la introducción de esas reglamentaciones estaba dando buenos resultados en muchos mercados emergentes. </w:t>
      </w:r>
    </w:p>
    <w:p w:rsidR="003969F7" w:rsidRPr="009B4397" w:rsidRDefault="003969F7" w:rsidP="003969F7">
      <w:pPr>
        <w:pStyle w:val="NormalWeb"/>
        <w:jc w:val="both"/>
        <w:rPr>
          <w:u w:val="single"/>
        </w:rPr>
      </w:pPr>
      <w:r w:rsidRPr="009B4397">
        <w:rPr>
          <w:u w:val="single"/>
        </w:rPr>
        <w:t xml:space="preserve">Sin una gestión de las cuentas de capital, el banco central de Turquía esperaba alcanzar una estabilidad financiera y de precios sumándole a la reducción de las tasas overnight herramientas macroprudenciales domésticas destinadas a reducir el crecimiento excesivo del crédito. Las principales medidas para controlar el aumento del crédito fueron un incremento gradual de los requerimientos de reservas, a partir de 2010; </w:t>
      </w:r>
      <w:r w:rsidRPr="009B4397">
        <w:rPr>
          <w:u w:val="single"/>
        </w:rPr>
        <w:lastRenderedPageBreak/>
        <w:t>algunas restricciones a los préstamos de consumo, y la introducción de topes al crecimiento del crédito en el segundo semestre de 2011.</w:t>
      </w:r>
    </w:p>
    <w:p w:rsidR="003969F7" w:rsidRPr="009B4397" w:rsidRDefault="003969F7" w:rsidP="003969F7">
      <w:pPr>
        <w:pStyle w:val="NormalWeb"/>
        <w:jc w:val="both"/>
        <w:rPr>
          <w:u w:val="single"/>
        </w:rPr>
      </w:pPr>
      <w:r w:rsidRPr="009B4397">
        <w:rPr>
          <w:u w:val="single"/>
        </w:rPr>
        <w:t>Las autoridades sostenían que estas herramientas son más efectivas que las medidas relati</w:t>
      </w:r>
      <w:r w:rsidR="009964D0">
        <w:rPr>
          <w:u w:val="single"/>
        </w:rPr>
        <w:t>vas al flujo de capitales, que “</w:t>
      </w:r>
      <w:r w:rsidRPr="009B4397">
        <w:rPr>
          <w:u w:val="single"/>
        </w:rPr>
        <w:t>son, en general, difíciles de implement</w:t>
      </w:r>
      <w:r w:rsidR="009964D0">
        <w:rPr>
          <w:u w:val="single"/>
        </w:rPr>
        <w:t>ar y más bien fáciles de evadir”</w:t>
      </w:r>
      <w:r w:rsidRPr="009B4397">
        <w:rPr>
          <w:u w:val="single"/>
        </w:rPr>
        <w:t xml:space="preserve">. Pero las medidas prudenciales domésticas sólo pudieron tener un efecto limitado en la tasa de crecimiento del crédito, porque el crecimiento estaba principalmente impulsado por los crecientes ingresos de capital. </w:t>
      </w:r>
    </w:p>
    <w:p w:rsidR="003969F7" w:rsidRPr="00C54EF6" w:rsidRDefault="003969F7" w:rsidP="003969F7">
      <w:pPr>
        <w:pStyle w:val="NormalWeb"/>
        <w:jc w:val="both"/>
      </w:pPr>
      <w:r w:rsidRPr="009B4397">
        <w:rPr>
          <w:color w:val="FF0000"/>
          <w:u w:val="single"/>
        </w:rPr>
        <w:t>En consecuencia, el crecimiento del crédito doméstico recién comenzó a desacelerarse en agosto de 2011, cuando la escalada de la crisis de la eurozona hizo que los inversores globales se volvieran temerosos de los mercados emergentes riesgosos.</w:t>
      </w:r>
      <w:r w:rsidRPr="009B4397">
        <w:rPr>
          <w:color w:val="FF0000"/>
        </w:rPr>
        <w:t xml:space="preserve"> </w:t>
      </w:r>
      <w:r w:rsidRPr="00C54EF6">
        <w:t>Paradójicamente, mientras que las autoridades monetarias de Turquía reconocían esta relación, siguieron atribuyendo la caída del crecimiento del crédito al éxit</w:t>
      </w:r>
      <w:r>
        <w:t xml:space="preserve">o de sus medidas prudenciales. </w:t>
      </w:r>
    </w:p>
    <w:p w:rsidR="003969F7" w:rsidRPr="009B4397" w:rsidRDefault="003969F7" w:rsidP="003969F7">
      <w:pPr>
        <w:pStyle w:val="NormalWeb"/>
        <w:jc w:val="both"/>
        <w:rPr>
          <w:color w:val="FF0000"/>
          <w:u w:val="single"/>
        </w:rPr>
      </w:pPr>
      <w:r w:rsidRPr="009B4397">
        <w:rPr>
          <w:color w:val="FF0000"/>
          <w:u w:val="single"/>
        </w:rPr>
        <w:t>Luego, en mayo pasado, la Reserva Federal de Estados Unidos anunció su intención de empezar a reducir su programa de compra de activos de miles de b</w:t>
      </w:r>
      <w:r w:rsidR="009964D0">
        <w:rPr>
          <w:color w:val="FF0000"/>
          <w:u w:val="single"/>
        </w:rPr>
        <w:t>illones de dólares -el llamado “alivio cuantitativo”</w:t>
      </w:r>
      <w:r w:rsidRPr="009B4397">
        <w:rPr>
          <w:color w:val="FF0000"/>
          <w:u w:val="single"/>
        </w:rPr>
        <w:t xml:space="preserve">-, lo que desató una fuga de capitales de gran escala de los mercados emergentes. No había manera de negarlo: la explosión de capital de los mercados emergentes se había terminado y las burbujas de crédito y de activos que había alimentado corrían el riesgo de implosionar. </w:t>
      </w:r>
    </w:p>
    <w:p w:rsidR="003969F7" w:rsidRPr="009B4397" w:rsidRDefault="003969F7" w:rsidP="003969F7">
      <w:pPr>
        <w:pStyle w:val="NormalWeb"/>
        <w:jc w:val="both"/>
        <w:rPr>
          <w:u w:val="single"/>
        </w:rPr>
      </w:pPr>
      <w:r w:rsidRPr="009B4397">
        <w:rPr>
          <w:u w:val="single"/>
        </w:rPr>
        <w:t>Por el contrario, Brasil y la India no titubearon y volvieron a imponer restricciones a las cuentas de capital. Ambas economías hoy son mucho menos frágiles que Turquía y Sudáfrica.</w:t>
      </w:r>
    </w:p>
    <w:p w:rsidR="003969F7" w:rsidRPr="009B4397" w:rsidRDefault="003969F7" w:rsidP="003969F7">
      <w:pPr>
        <w:pStyle w:val="NormalWeb"/>
        <w:jc w:val="both"/>
        <w:rPr>
          <w:color w:val="FF0000"/>
          <w:u w:val="single"/>
        </w:rPr>
      </w:pPr>
      <w:r w:rsidRPr="009B4397">
        <w:rPr>
          <w:color w:val="FF0000"/>
          <w:u w:val="single"/>
        </w:rPr>
        <w:t>En vista de esto, quizás el verdadero interrogante sea por qué Turquía se abstuvo de aplicar regulaciones de las cuentas de capital, cuando casi todos sus pares en los mercados emergentes las estaban utilizando de alguna u otra manera. ¿El sector financiero era demasiado poderoso para los responsables de las políticas? ¿Sus banqueros centrales estaban demasiado comprometidos con la visión previa del FMI de que las metas de inflación sólo funcionan en condiciones de convertibilidad de las cuentas de capital? ¿O fue porque los políticos se beneficiaron del auge económi</w:t>
      </w:r>
      <w:r w:rsidR="009964D0">
        <w:rPr>
          <w:color w:val="FF0000"/>
          <w:u w:val="single"/>
        </w:rPr>
        <w:t>co que ofrecen los ingresos de “dinero caliente”</w:t>
      </w:r>
      <w:r w:rsidRPr="009B4397">
        <w:rPr>
          <w:color w:val="FF0000"/>
          <w:u w:val="single"/>
        </w:rPr>
        <w:t xml:space="preserve"> a corto plazo y así decidieron ignorar las consecuencias?</w:t>
      </w:r>
    </w:p>
    <w:p w:rsidR="003969F7" w:rsidRPr="009B4397" w:rsidRDefault="003969F7" w:rsidP="003969F7">
      <w:pPr>
        <w:pStyle w:val="NormalWeb"/>
        <w:jc w:val="both"/>
        <w:rPr>
          <w:u w:val="single"/>
        </w:rPr>
      </w:pPr>
      <w:r w:rsidRPr="009B4397">
        <w:rPr>
          <w:color w:val="FF0000"/>
          <w:u w:val="single"/>
        </w:rPr>
        <w:t>Si hay que aprender una lección del experimento de políticas monetarias de Turquía, es que las regulaciones prudenciales domésticas y las herramientas de políticas monetarias deberían ser vistas como complementos, y no sustitutos, de la gestión de las cuentas de capital</w:t>
      </w:r>
      <w:r w:rsidRPr="00C54EF6">
        <w:t xml:space="preserve">. </w:t>
      </w:r>
      <w:r w:rsidRPr="009B4397">
        <w:rPr>
          <w:u w:val="single"/>
        </w:rPr>
        <w:t>En cuanto a Turquía, su única esperanza de evitar una crisis económica aún más profunda es emprender una acción decidida para mitigar los riesgos económicos que se permitió que crecieran en los últimos años. Sin embargo, dada la inestabilidad política que el país enfrenta actualmente, un desenlace de esas características es, en el mejor de los casos, incierto.</w:t>
      </w:r>
    </w:p>
    <w:p w:rsidR="003969F7" w:rsidRDefault="003969F7" w:rsidP="003969F7">
      <w:pPr>
        <w:pStyle w:val="NormalWeb"/>
        <w:jc w:val="both"/>
        <w:rPr>
          <w:lang w:val="en-US"/>
        </w:rPr>
      </w:pPr>
      <w:r w:rsidRPr="00C54EF6">
        <w:rPr>
          <w:lang w:val="en-US"/>
        </w:rPr>
        <w:t>(Bilge Erten is a post-doctoral fellow at</w:t>
      </w:r>
      <w:r>
        <w:rPr>
          <w:lang w:val="en-US"/>
        </w:rPr>
        <w:t xml:space="preserve"> Columbia University. </w:t>
      </w:r>
      <w:r w:rsidRPr="00C54EF6">
        <w:rPr>
          <w:lang w:val="en-US"/>
        </w:rPr>
        <w:t xml:space="preserve">José Antonio Ocampo, former United Nations Under-Secretary-General for Economic and Social Affairs and former Finance Minister of Colombia, is Professor and Member of the Committee on </w:t>
      </w:r>
      <w:r w:rsidRPr="00C54EF6">
        <w:rPr>
          <w:lang w:val="en-US"/>
        </w:rPr>
        <w:lastRenderedPageBreak/>
        <w:t>Global Thought at Columbia University. He is the co-author (with Luis Bértola) of The Economic Development of…</w:t>
      </w:r>
      <w:r>
        <w:rPr>
          <w:lang w:val="en-US"/>
        </w:rPr>
        <w:t>)</w:t>
      </w:r>
    </w:p>
    <w:p w:rsidR="003969F7" w:rsidRPr="00283336" w:rsidRDefault="003969F7" w:rsidP="003969F7">
      <w:pPr>
        <w:spacing w:line="240" w:lineRule="auto"/>
        <w:jc w:val="both"/>
        <w:rPr>
          <w:rFonts w:ascii="Times New Roman" w:hAnsi="Times New Roman"/>
          <w:color w:val="000000"/>
          <w:sz w:val="24"/>
          <w:szCs w:val="24"/>
        </w:rPr>
      </w:pPr>
      <w:r>
        <w:rPr>
          <w:color w:val="000000"/>
        </w:rPr>
        <w:t xml:space="preserve">- </w:t>
      </w:r>
      <w:r w:rsidRPr="00283336">
        <w:rPr>
          <w:rFonts w:ascii="Times New Roman" w:hAnsi="Times New Roman"/>
          <w:color w:val="000000"/>
          <w:sz w:val="24"/>
          <w:szCs w:val="24"/>
          <w:u w:val="single"/>
        </w:rPr>
        <w:t>Erdoğan y la paradoja del populismo</w:t>
      </w:r>
      <w:r>
        <w:rPr>
          <w:rFonts w:ascii="Times New Roman" w:hAnsi="Times New Roman"/>
          <w:color w:val="000000"/>
          <w:sz w:val="24"/>
          <w:szCs w:val="24"/>
        </w:rPr>
        <w:t xml:space="preserve"> (Project Syndicate - </w:t>
      </w:r>
      <w:r w:rsidRPr="00283336">
        <w:rPr>
          <w:rFonts w:ascii="Times New Roman" w:hAnsi="Times New Roman"/>
          <w:b/>
          <w:color w:val="000000"/>
          <w:sz w:val="24"/>
          <w:szCs w:val="24"/>
        </w:rPr>
        <w:t>11/8/14</w:t>
      </w:r>
      <w:r>
        <w:rPr>
          <w:rFonts w:ascii="Times New Roman" w:hAnsi="Times New Roman"/>
          <w:color w:val="000000"/>
          <w:sz w:val="24"/>
          <w:szCs w:val="24"/>
        </w:rPr>
        <w:t>)</w:t>
      </w:r>
    </w:p>
    <w:p w:rsidR="003969F7" w:rsidRPr="003F38C4" w:rsidRDefault="009964D0" w:rsidP="003969F7">
      <w:pPr>
        <w:spacing w:line="240" w:lineRule="auto"/>
        <w:jc w:val="both"/>
        <w:rPr>
          <w:rFonts w:ascii="Times New Roman" w:hAnsi="Times New Roman"/>
          <w:color w:val="000000"/>
          <w:sz w:val="24"/>
          <w:szCs w:val="24"/>
          <w:u w:val="single"/>
        </w:rPr>
      </w:pPr>
      <w:r>
        <w:rPr>
          <w:rFonts w:ascii="Times New Roman" w:hAnsi="Times New Roman"/>
          <w:color w:val="000000"/>
          <w:sz w:val="24"/>
          <w:szCs w:val="24"/>
        </w:rPr>
        <w:t>Viena.-</w:t>
      </w:r>
      <w:r w:rsidR="003969F7" w:rsidRPr="00283336">
        <w:rPr>
          <w:rFonts w:ascii="Times New Roman" w:hAnsi="Times New Roman"/>
          <w:color w:val="000000"/>
          <w:sz w:val="24"/>
          <w:szCs w:val="24"/>
        </w:rPr>
        <w:t xml:space="preserve"> El triunfo de Recep Tayyip Erdoğan en las primeras elecciones presidenciales directas celebradas en Turquía no es una sorpresa. </w:t>
      </w:r>
      <w:r w:rsidR="003969F7" w:rsidRPr="003F38C4">
        <w:rPr>
          <w:rFonts w:ascii="Times New Roman" w:hAnsi="Times New Roman"/>
          <w:color w:val="000000"/>
          <w:sz w:val="24"/>
          <w:szCs w:val="24"/>
          <w:u w:val="single"/>
        </w:rPr>
        <w:t>Erdoğan es popular y, como Primer Ministro desde 2003, ha ido montado en una ola de éxito económico, pero también es un populista, que ha intensificado constantemente su control del Estado y de los medios de comunicación, al tiempo que demonizaba a todos los críticos (incluidos antiguos aliados, como el clérigo expatriado Fethullah Gülen).</w:t>
      </w:r>
    </w:p>
    <w:p w:rsidR="003969F7" w:rsidRPr="003F38C4" w:rsidRDefault="003969F7" w:rsidP="003969F7">
      <w:pPr>
        <w:spacing w:line="240" w:lineRule="auto"/>
        <w:jc w:val="both"/>
        <w:rPr>
          <w:rFonts w:ascii="Times New Roman" w:hAnsi="Times New Roman"/>
          <w:color w:val="000000"/>
          <w:sz w:val="24"/>
          <w:szCs w:val="24"/>
          <w:u w:val="single"/>
        </w:rPr>
      </w:pPr>
      <w:r w:rsidRPr="003F38C4">
        <w:rPr>
          <w:rFonts w:ascii="Times New Roman" w:hAnsi="Times New Roman"/>
          <w:color w:val="000000"/>
          <w:sz w:val="24"/>
          <w:szCs w:val="24"/>
          <w:u w:val="single"/>
        </w:rPr>
        <w:t xml:space="preserve">Como en el caso </w:t>
      </w:r>
      <w:r w:rsidR="009964D0">
        <w:rPr>
          <w:rFonts w:ascii="Times New Roman" w:hAnsi="Times New Roman"/>
          <w:color w:val="000000"/>
          <w:sz w:val="24"/>
          <w:szCs w:val="24"/>
          <w:u w:val="single"/>
        </w:rPr>
        <w:t>de otros dirigentes populistas -</w:t>
      </w:r>
      <w:r w:rsidRPr="003F38C4">
        <w:rPr>
          <w:rFonts w:ascii="Times New Roman" w:hAnsi="Times New Roman"/>
          <w:color w:val="000000"/>
          <w:sz w:val="24"/>
          <w:szCs w:val="24"/>
          <w:u w:val="single"/>
        </w:rPr>
        <w:t>por ejemplo, el Primer Ministro de Hungría, Viktor Orbán, o el d</w:t>
      </w:r>
      <w:r w:rsidR="009964D0">
        <w:rPr>
          <w:rFonts w:ascii="Times New Roman" w:hAnsi="Times New Roman"/>
          <w:color w:val="000000"/>
          <w:sz w:val="24"/>
          <w:szCs w:val="24"/>
          <w:u w:val="single"/>
        </w:rPr>
        <w:t>ifunto Hugo Chávez en Venezuela-</w:t>
      </w:r>
      <w:r w:rsidRPr="003F38C4">
        <w:rPr>
          <w:rFonts w:ascii="Times New Roman" w:hAnsi="Times New Roman"/>
          <w:color w:val="000000"/>
          <w:sz w:val="24"/>
          <w:szCs w:val="24"/>
          <w:u w:val="single"/>
        </w:rPr>
        <w:t>, la conciliación de las promesas electorales de Erdoğan con el desempeño de su cargo resulta problemática.</w:t>
      </w:r>
      <w:r w:rsidRPr="00283336">
        <w:rPr>
          <w:rFonts w:ascii="Times New Roman" w:hAnsi="Times New Roman"/>
          <w:color w:val="000000"/>
          <w:sz w:val="24"/>
          <w:szCs w:val="24"/>
        </w:rPr>
        <w:t xml:space="preserve"> Esa clase de figuras </w:t>
      </w:r>
      <w:r w:rsidRPr="003F38C4">
        <w:rPr>
          <w:rFonts w:ascii="Times New Roman" w:hAnsi="Times New Roman"/>
          <w:color w:val="000000"/>
          <w:sz w:val="24"/>
          <w:szCs w:val="24"/>
          <w:u w:val="single"/>
        </w:rPr>
        <w:t>comienzan atacando a sus oponentes por su corrupción y acusándolos de secuestrar el Estado en pro de una clase política celosa de su propio interés,</w:t>
      </w:r>
      <w:r w:rsidRPr="00283336">
        <w:rPr>
          <w:rFonts w:ascii="Times New Roman" w:hAnsi="Times New Roman"/>
          <w:color w:val="000000"/>
          <w:sz w:val="24"/>
          <w:szCs w:val="24"/>
        </w:rPr>
        <w:t xml:space="preserve"> que excluye el de los ciudadanos de a pie. Sin embargo, </w:t>
      </w:r>
      <w:r w:rsidRPr="003F38C4">
        <w:rPr>
          <w:rFonts w:ascii="Times New Roman" w:hAnsi="Times New Roman"/>
          <w:color w:val="000000"/>
          <w:sz w:val="24"/>
          <w:szCs w:val="24"/>
          <w:u w:val="single"/>
        </w:rPr>
        <w:t>cuando ocupan el poder, acaban actuando exactamente igual, tratando el Estado como propiedad suya o de su partido y participando en la corrupción o al menos tolerándola.</w:t>
      </w:r>
    </w:p>
    <w:p w:rsidR="003969F7" w:rsidRPr="003F38C4" w:rsidRDefault="003969F7" w:rsidP="003969F7">
      <w:pPr>
        <w:spacing w:line="240" w:lineRule="auto"/>
        <w:jc w:val="both"/>
        <w:rPr>
          <w:rFonts w:ascii="Times New Roman" w:hAnsi="Times New Roman"/>
          <w:color w:val="000000"/>
          <w:sz w:val="24"/>
          <w:szCs w:val="24"/>
          <w:u w:val="single"/>
        </w:rPr>
      </w:pPr>
      <w:r w:rsidRPr="003F38C4">
        <w:rPr>
          <w:rFonts w:ascii="Times New Roman" w:hAnsi="Times New Roman"/>
          <w:color w:val="000000"/>
          <w:sz w:val="24"/>
          <w:szCs w:val="24"/>
          <w:u w:val="single"/>
        </w:rPr>
        <w:t>Por lo general, esa aparente hipocresía no perjudica a las perspectivas electorales de los populistas, como ha demostrado espectacularmente el éxito de Erdoğan. ¿Por qué?</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Al contrario de lo que se suele creer, el populismo no se caracteriza por contar c</w:t>
      </w:r>
      <w:r w:rsidR="009B2F21">
        <w:rPr>
          <w:rFonts w:ascii="Times New Roman" w:hAnsi="Times New Roman"/>
          <w:color w:val="FF0000"/>
          <w:sz w:val="24"/>
          <w:szCs w:val="24"/>
          <w:u w:val="single"/>
        </w:rPr>
        <w:t>on unos electores particulares -</w:t>
      </w:r>
      <w:r w:rsidRPr="003F38C4">
        <w:rPr>
          <w:rFonts w:ascii="Times New Roman" w:hAnsi="Times New Roman"/>
          <w:color w:val="FF0000"/>
          <w:sz w:val="24"/>
          <w:szCs w:val="24"/>
          <w:u w:val="single"/>
        </w:rPr>
        <w:t>como, p</w:t>
      </w:r>
      <w:r w:rsidR="009B2F21">
        <w:rPr>
          <w:rFonts w:ascii="Times New Roman" w:hAnsi="Times New Roman"/>
          <w:color w:val="FF0000"/>
          <w:sz w:val="24"/>
          <w:szCs w:val="24"/>
          <w:u w:val="single"/>
        </w:rPr>
        <w:t>or ejemplo, la clase media baja-</w:t>
      </w:r>
      <w:r w:rsidRPr="003F38C4">
        <w:rPr>
          <w:rFonts w:ascii="Times New Roman" w:hAnsi="Times New Roman"/>
          <w:color w:val="FF0000"/>
          <w:sz w:val="24"/>
          <w:szCs w:val="24"/>
          <w:u w:val="single"/>
        </w:rPr>
        <w:t xml:space="preserve"> o por unas políticas simplistas que halagan a las masas, como con frecuencia sostienen los observadores liberales, sino que es una concepción de la política totalmente moralizante, pues un populista es</w:t>
      </w:r>
      <w:r w:rsidR="009964D0">
        <w:rPr>
          <w:rFonts w:ascii="Times New Roman" w:hAnsi="Times New Roman"/>
          <w:color w:val="FF0000"/>
          <w:sz w:val="24"/>
          <w:szCs w:val="24"/>
          <w:u w:val="single"/>
        </w:rPr>
        <w:t xml:space="preserve"> un político que afirma que él -y sólo él-</w:t>
      </w:r>
      <w:r w:rsidRPr="003F38C4">
        <w:rPr>
          <w:rFonts w:ascii="Times New Roman" w:hAnsi="Times New Roman"/>
          <w:color w:val="FF0000"/>
          <w:sz w:val="24"/>
          <w:szCs w:val="24"/>
          <w:u w:val="single"/>
        </w:rPr>
        <w:t xml:space="preserve"> representa de verdad al pueblo, por lo que relega a todos sus oponentes políticos al papel de pretendientes inicuos.</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 xml:space="preserve">Tras esa afirmación hay otra suposición: la de que el pueblo tiene una voluntad común encaminada auténticamente a la consecución del bien común y de que el </w:t>
      </w:r>
      <w:r w:rsidR="009964D0">
        <w:rPr>
          <w:rFonts w:ascii="Times New Roman" w:hAnsi="Times New Roman"/>
          <w:color w:val="FF0000"/>
          <w:sz w:val="24"/>
          <w:szCs w:val="24"/>
          <w:u w:val="single"/>
        </w:rPr>
        <w:t>auténtico dirigente del pueblo -</w:t>
      </w:r>
      <w:r w:rsidRPr="003F38C4">
        <w:rPr>
          <w:rFonts w:ascii="Times New Roman" w:hAnsi="Times New Roman"/>
          <w:color w:val="FF0000"/>
          <w:sz w:val="24"/>
          <w:szCs w:val="24"/>
          <w:u w:val="single"/>
        </w:rPr>
        <w:t>como, por ejemplo, Erdoğan, que hizo campaña con el lema “la volunta</w:t>
      </w:r>
      <w:r w:rsidR="009964D0">
        <w:rPr>
          <w:rFonts w:ascii="Times New Roman" w:hAnsi="Times New Roman"/>
          <w:color w:val="FF0000"/>
          <w:sz w:val="24"/>
          <w:szCs w:val="24"/>
          <w:u w:val="single"/>
        </w:rPr>
        <w:t>d nacional, el poder nacional”-</w:t>
      </w:r>
      <w:r w:rsidRPr="003F38C4">
        <w:rPr>
          <w:rFonts w:ascii="Times New Roman" w:hAnsi="Times New Roman"/>
          <w:color w:val="FF0000"/>
          <w:sz w:val="24"/>
          <w:szCs w:val="24"/>
          <w:u w:val="single"/>
        </w:rPr>
        <w:t xml:space="preserve"> puede interpretarla correctamente y aplicarla. Así, pues, los populistas no son sólo enemigos de las minorías selectas, sino que son necesariamente antipluralistas y, por tanto, antiliberales. Su política siempre es polarizadora, al escindir a la ciudadanía real entre un pueblo moral y puro y los otros, inmorales, a los que Erdoğan ha calificado con frecuencia de simples “traidores”.</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En opinión de un populista, no puede haber nada parecido a una oposición legítima. Quienquiera que esté contra el dirigente está automáticamente contra el pueblo y, conforme a esa lógica, quienquiera que esté contra el pueblo no puede pertenecer de verdad al pueblo.</w:t>
      </w:r>
    </w:p>
    <w:p w:rsidR="003969F7" w:rsidRPr="00283336" w:rsidRDefault="003969F7" w:rsidP="003969F7">
      <w:pPr>
        <w:spacing w:line="240" w:lineRule="auto"/>
        <w:jc w:val="both"/>
        <w:rPr>
          <w:rFonts w:ascii="Times New Roman" w:hAnsi="Times New Roman"/>
          <w:color w:val="000000"/>
          <w:sz w:val="24"/>
          <w:szCs w:val="24"/>
        </w:rPr>
      </w:pPr>
      <w:r w:rsidRPr="00283336">
        <w:rPr>
          <w:rFonts w:ascii="Times New Roman" w:hAnsi="Times New Roman"/>
          <w:color w:val="000000"/>
          <w:sz w:val="24"/>
          <w:szCs w:val="24"/>
        </w:rPr>
        <w:t>Eso explica la acusación de Erdoğan de que quienes se manifestaron en el Parque Gezi el verano pasado para protestar contra los planes de su gobierno de erigir un centro comercial en modo alguno eran turcos verdaderos y también explica su asombroso pronunciamiento, en fecha anterior de este año, cuando aceptó su nombramiento como candidato presidencial de su Partido Justicia y Desarrollo: “Nosotros somos el pueb</w:t>
      </w:r>
      <w:r>
        <w:rPr>
          <w:rFonts w:ascii="Times New Roman" w:hAnsi="Times New Roman"/>
          <w:color w:val="000000"/>
          <w:sz w:val="24"/>
          <w:szCs w:val="24"/>
        </w:rPr>
        <w:t>lo. ¿Quiénes soy vosotros?”</w:t>
      </w:r>
    </w:p>
    <w:p w:rsidR="003969F7" w:rsidRPr="003F38C4" w:rsidRDefault="003969F7" w:rsidP="003969F7">
      <w:pPr>
        <w:spacing w:line="240" w:lineRule="auto"/>
        <w:jc w:val="both"/>
        <w:rPr>
          <w:rFonts w:ascii="Times New Roman" w:hAnsi="Times New Roman"/>
          <w:color w:val="000000"/>
          <w:sz w:val="24"/>
          <w:szCs w:val="24"/>
          <w:u w:val="single"/>
        </w:rPr>
      </w:pPr>
      <w:r w:rsidRPr="003F38C4">
        <w:rPr>
          <w:rFonts w:ascii="Times New Roman" w:hAnsi="Times New Roman"/>
          <w:color w:val="000000"/>
          <w:sz w:val="24"/>
          <w:szCs w:val="24"/>
          <w:u w:val="single"/>
        </w:rPr>
        <w:lastRenderedPageBreak/>
        <w:t>Con frecuencia se dice que los populistas no pueden gobernar o se demostrará su incompetencia, cuando resulten elegidos para sus cargos. Según esa opinión, los populistas son esencialmente partidos de protesta y quienes protestan no pueden gobernar, porque es imposible protestar contra uno mismo.</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Pero las cosas no son tan simples. Los populistas suelen adoptar un estilo de gobierno que refleja las propias acusaciones que ellos lanzan contra la clase política anterior. Se aferran al poder que consigan, desactivan los frenos y contrapesos, llenan todas las oficinas estatales con compinches suyos y recompensan a sus partidarios (y sólo a ellos) con ventajas a cambio de su lealtad: lo que los politólogos llaman “clientelismo de masas”. El archipopulista austríaco Jörg Haider, por ejemplo, entregaba, literalmente, billetes de cien euros (134 dólares) a “su gente” en la calle.</w:t>
      </w:r>
    </w:p>
    <w:p w:rsidR="003969F7" w:rsidRPr="00283336" w:rsidRDefault="003969F7" w:rsidP="003969F7">
      <w:pPr>
        <w:spacing w:line="240" w:lineRule="auto"/>
        <w:jc w:val="both"/>
        <w:rPr>
          <w:rFonts w:ascii="Times New Roman" w:hAnsi="Times New Roman"/>
          <w:color w:val="000000"/>
          <w:sz w:val="24"/>
          <w:szCs w:val="24"/>
        </w:rPr>
      </w:pPr>
      <w:r w:rsidRPr="00283336">
        <w:rPr>
          <w:rFonts w:ascii="Times New Roman" w:hAnsi="Times New Roman"/>
          <w:color w:val="000000"/>
          <w:sz w:val="24"/>
          <w:szCs w:val="24"/>
        </w:rPr>
        <w:t>Naturalmente, todos los partidos procuran atender a sus votantes en primer lugar. Lo peculiar de los políticos populistas es que puedan hacerlo tan a las claras y con la conciencia tranquila. Al fin y al cabo, si sólo sus partidarios son “el pueblo”</w:t>
      </w:r>
      <w:r>
        <w:rPr>
          <w:rFonts w:ascii="Times New Roman" w:hAnsi="Times New Roman"/>
          <w:color w:val="000000"/>
          <w:sz w:val="24"/>
          <w:szCs w:val="24"/>
        </w:rPr>
        <w:t>, todos los demás son indignos.</w:t>
      </w:r>
    </w:p>
    <w:p w:rsidR="003969F7" w:rsidRPr="003F38C4" w:rsidRDefault="003969F7" w:rsidP="003969F7">
      <w:pPr>
        <w:spacing w:line="240" w:lineRule="auto"/>
        <w:jc w:val="both"/>
        <w:rPr>
          <w:rFonts w:ascii="Times New Roman" w:hAnsi="Times New Roman"/>
          <w:color w:val="000000"/>
          <w:sz w:val="24"/>
          <w:szCs w:val="24"/>
          <w:u w:val="single"/>
        </w:rPr>
      </w:pPr>
      <w:r w:rsidRPr="003F38C4">
        <w:rPr>
          <w:rFonts w:ascii="Times New Roman" w:hAnsi="Times New Roman"/>
          <w:color w:val="000000"/>
          <w:sz w:val="24"/>
          <w:szCs w:val="24"/>
          <w:u w:val="single"/>
        </w:rPr>
        <w:t>En el mismo sentido, los partidos populistas suelen apresurarse a colonizar el Estado. Si sólo un partido representa de verdad al pueblo, ¿por qué no habría de pasar el Estado a ser el instrumento del pueblo? Y, cuando los populistas tienen una oportunidad de redactar una nueva Constitución, ¿por qué habrían de tener la menor consideración para con cualquier oposición, que, por definición, ha de estar constituida por los enemigos del pueblo (a los que con frecuencia se acusa de ser agentes extranjeros)?</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Así se explica por qué el clientelismo y la corrupción de los gobiernos populistas no socavan el apoyo fundamental a sus dirigentes del electorado. Se considera que esos métodos están al servicio de un “nosotros” moral a expensas de los inmorales o extranjeros “ellos”.</w:t>
      </w:r>
    </w:p>
    <w:p w:rsidR="003969F7" w:rsidRPr="003F38C4" w:rsidRDefault="003969F7" w:rsidP="003969F7">
      <w:pPr>
        <w:spacing w:line="240" w:lineRule="auto"/>
        <w:jc w:val="both"/>
        <w:rPr>
          <w:rFonts w:ascii="Times New Roman" w:hAnsi="Times New Roman"/>
          <w:color w:val="FF0000"/>
          <w:sz w:val="24"/>
          <w:szCs w:val="24"/>
          <w:u w:val="single"/>
        </w:rPr>
      </w:pPr>
      <w:r w:rsidRPr="003F38C4">
        <w:rPr>
          <w:rFonts w:ascii="Times New Roman" w:hAnsi="Times New Roman"/>
          <w:color w:val="FF0000"/>
          <w:sz w:val="24"/>
          <w:szCs w:val="24"/>
          <w:u w:val="single"/>
        </w:rPr>
        <w:t>Así, pues, la creencia de los liberales de que basta con que revelen la corrupción de los populistas para desacreditarlos es una esperanza vana</w:t>
      </w:r>
      <w:r w:rsidRPr="00283336">
        <w:rPr>
          <w:rFonts w:ascii="Times New Roman" w:hAnsi="Times New Roman"/>
          <w:color w:val="000000"/>
          <w:sz w:val="24"/>
          <w:szCs w:val="24"/>
        </w:rPr>
        <w:t xml:space="preserve">. </w:t>
      </w:r>
      <w:r w:rsidRPr="003F38C4">
        <w:rPr>
          <w:rFonts w:ascii="Times New Roman" w:hAnsi="Times New Roman"/>
          <w:color w:val="FF0000"/>
          <w:sz w:val="24"/>
          <w:szCs w:val="24"/>
          <w:u w:val="single"/>
        </w:rPr>
        <w:t>También deben mostrar que el clientelismo no rinde beneficios a la inmensa mayoría de los ciudadanos y que la falta de rendición democrática de cuentas, una burocracia disfuncional y el socavamiento del Estado de derecho a la larga perjudican al pueblo... a todo él.</w:t>
      </w:r>
    </w:p>
    <w:p w:rsidR="003969F7" w:rsidRDefault="003969F7" w:rsidP="003969F7">
      <w:pPr>
        <w:spacing w:line="240" w:lineRule="auto"/>
        <w:jc w:val="both"/>
        <w:rPr>
          <w:rFonts w:ascii="Times New Roman" w:hAnsi="Times New Roman"/>
          <w:sz w:val="24"/>
          <w:szCs w:val="24"/>
          <w:lang w:val="en-US"/>
        </w:rPr>
      </w:pPr>
      <w:r>
        <w:rPr>
          <w:rFonts w:ascii="Times New Roman" w:hAnsi="Times New Roman"/>
          <w:sz w:val="24"/>
          <w:szCs w:val="24"/>
          <w:lang w:val="en-US"/>
        </w:rPr>
        <w:t>(</w:t>
      </w:r>
      <w:r w:rsidRPr="00283336">
        <w:rPr>
          <w:rFonts w:ascii="Times New Roman" w:hAnsi="Times New Roman"/>
          <w:sz w:val="24"/>
          <w:szCs w:val="24"/>
          <w:lang w:val="en-US"/>
        </w:rPr>
        <w:t>Jan-Werner Mueller is Professor of Politics at Princeton University and a visiting fellow at the Institute for Human Sciences, Vienna. He is also a member of the School of Historical Studies at the Institute for Advanced Studies. His most recent book is Contesting Democracy: Political…</w:t>
      </w:r>
      <w:r>
        <w:rPr>
          <w:rFonts w:ascii="Times New Roman" w:hAnsi="Times New Roman"/>
          <w:sz w:val="24"/>
          <w:szCs w:val="24"/>
          <w:lang w:val="en-US"/>
        </w:rPr>
        <w:t>)</w:t>
      </w:r>
    </w:p>
    <w:p w:rsidR="003969F7" w:rsidRPr="00F5230B" w:rsidRDefault="003969F7" w:rsidP="003969F7">
      <w:pPr>
        <w:pStyle w:val="western"/>
        <w:jc w:val="both"/>
        <w:rPr>
          <w:color w:val="000000"/>
          <w:lang w:val="en-US"/>
        </w:rPr>
      </w:pPr>
      <w:r w:rsidRPr="00F5230B">
        <w:rPr>
          <w:color w:val="000000"/>
          <w:lang w:val="en-US"/>
        </w:rPr>
        <w:t xml:space="preserve">- </w:t>
      </w:r>
      <w:r w:rsidR="009964D0" w:rsidRPr="00F5230B">
        <w:rPr>
          <w:color w:val="000000"/>
          <w:u w:val="single"/>
          <w:lang w:val="en-US"/>
        </w:rPr>
        <w:t>Turquía, otro “milagro”</w:t>
      </w:r>
      <w:r w:rsidRPr="00F5230B">
        <w:rPr>
          <w:color w:val="000000"/>
          <w:u w:val="single"/>
          <w:lang w:val="en-US"/>
        </w:rPr>
        <w:t xml:space="preserve"> con pies de barro</w:t>
      </w:r>
      <w:r w:rsidRPr="00F5230B">
        <w:rPr>
          <w:color w:val="000000"/>
          <w:lang w:val="en-US"/>
        </w:rPr>
        <w:t xml:space="preserve"> (El Confidencial - </w:t>
      </w:r>
      <w:r w:rsidRPr="00F5230B">
        <w:rPr>
          <w:b/>
          <w:color w:val="000000"/>
          <w:lang w:val="en-US"/>
        </w:rPr>
        <w:t>2/9/14</w:t>
      </w:r>
      <w:r w:rsidRPr="00F5230B">
        <w:rPr>
          <w:color w:val="000000"/>
          <w:lang w:val="en-US"/>
        </w:rPr>
        <w:t>)</w:t>
      </w:r>
    </w:p>
    <w:p w:rsidR="003969F7" w:rsidRPr="002E0D1D" w:rsidRDefault="003969F7" w:rsidP="003969F7">
      <w:pPr>
        <w:pStyle w:val="western"/>
        <w:jc w:val="both"/>
        <w:rPr>
          <w:color w:val="000000"/>
          <w:lang w:val="en-US"/>
        </w:rPr>
      </w:pPr>
      <w:r w:rsidRPr="002E0D1D">
        <w:rPr>
          <w:color w:val="000000"/>
          <w:lang w:val="en-US"/>
        </w:rPr>
        <w:t>(Por Andrés Mourenza)</w:t>
      </w:r>
    </w:p>
    <w:p w:rsidR="003969F7" w:rsidRDefault="003969F7" w:rsidP="003969F7">
      <w:pPr>
        <w:pStyle w:val="NormalWeb"/>
        <w:jc w:val="both"/>
      </w:pPr>
      <w:r w:rsidRPr="00921667">
        <w:rPr>
          <w:u w:val="single"/>
        </w:rPr>
        <w:t xml:space="preserve">La última polémica urbanística en Turquía ha sido la decisión del Consejo de Estado de </w:t>
      </w:r>
      <w:r w:rsidRPr="00921667">
        <w:rPr>
          <w:rStyle w:val="Textoennegrita"/>
          <w:u w:val="single"/>
        </w:rPr>
        <w:t>ordenar demoler un conjunto de tres rascacielos de lujo en Estambul</w:t>
      </w:r>
      <w:r w:rsidRPr="00921667">
        <w:rPr>
          <w:u w:val="single"/>
        </w:rPr>
        <w:t xml:space="preserve"> en los que, según la prensa, un ministro del </w:t>
      </w:r>
      <w:hyperlink r:id="rId44" w:history="1">
        <w:r w:rsidRPr="009964D0">
          <w:rPr>
            <w:rStyle w:val="Hipervnculo"/>
            <w:color w:val="auto"/>
            <w:u w:val="single"/>
          </w:rPr>
          <w:t>Gobierno de Recep Tayyip Erdogan</w:t>
        </w:r>
      </w:hyperlink>
      <w:r w:rsidRPr="00921667">
        <w:rPr>
          <w:u w:val="single"/>
        </w:rPr>
        <w:t xml:space="preserve"> había comprado varios apartamentos</w:t>
      </w:r>
      <w:r>
        <w:t xml:space="preserve">. La sentencia del alto tribunal se basa en que la presencia de estas moles de cemento manda al traste el </w:t>
      </w:r>
      <w:r w:rsidRPr="009964D0">
        <w:rPr>
          <w:rStyle w:val="nfasis"/>
          <w:rFonts w:eastAsiaTheme="majorEastAsia"/>
          <w:b w:val="0"/>
        </w:rPr>
        <w:t xml:space="preserve">skyline </w:t>
      </w:r>
      <w:r>
        <w:t>de la llamada península histórica estambulí, en la que se hallan bellezas sin igual como la basílica de Santa Sofía, el Palacio de Topkapi o la Mezquita Azul.</w:t>
      </w:r>
    </w:p>
    <w:p w:rsidR="003969F7" w:rsidRPr="00921667" w:rsidRDefault="003969F7" w:rsidP="003969F7">
      <w:pPr>
        <w:pStyle w:val="NormalWeb"/>
        <w:jc w:val="both"/>
        <w:rPr>
          <w:u w:val="single"/>
        </w:rPr>
      </w:pPr>
      <w:r w:rsidRPr="00921667">
        <w:rPr>
          <w:u w:val="single"/>
        </w:rPr>
        <w:lastRenderedPageBreak/>
        <w:t xml:space="preserve">Al margen de contadas decisiones conservacionistas como esta, lo cierto es que bajo el mandato del Partido de la Justicia y el Desarrollo (AKP), y pese a su origen en el movimiento islamista, </w:t>
      </w:r>
      <w:r w:rsidRPr="00921667">
        <w:rPr>
          <w:rStyle w:val="Textoennegrita"/>
          <w:u w:val="single"/>
        </w:rPr>
        <w:t xml:space="preserve">las metrópolis turcas han cambiado sus siluetas. </w:t>
      </w:r>
      <w:r w:rsidRPr="00921667">
        <w:rPr>
          <w:u w:val="single"/>
        </w:rPr>
        <w:t>Se ha pasado de cielos dominados por los estilizados minaretes de los templos musulmanes a</w:t>
      </w:r>
      <w:r w:rsidRPr="00921667">
        <w:rPr>
          <w:rStyle w:val="Textoennegrita"/>
          <w:u w:val="single"/>
        </w:rPr>
        <w:t> las grúas de construcción</w:t>
      </w:r>
      <w:r w:rsidRPr="00921667">
        <w:rPr>
          <w:u w:val="single"/>
        </w:rPr>
        <w:t>, los rascacielos y los inmensos centros comerciales.</w:t>
      </w:r>
    </w:p>
    <w:p w:rsidR="003969F7" w:rsidRPr="009964D0" w:rsidRDefault="003969F7" w:rsidP="003969F7">
      <w:pPr>
        <w:pStyle w:val="NormalWeb"/>
        <w:jc w:val="both"/>
        <w:rPr>
          <w:u w:val="single"/>
        </w:rPr>
      </w:pPr>
      <w:r w:rsidRPr="00921667">
        <w:rPr>
          <w:u w:val="single"/>
        </w:rPr>
        <w:t>Es el símbolo de la pujante Turquía, un país que, en los 12 años de Gobierno del AKP, ha pasado de ser una economía en quiebra y bajo los estrictos programas del Fondo Monetario Internacional a convertirse en un importante actor internacional</w:t>
      </w:r>
      <w:r>
        <w:t xml:space="preserve">. </w:t>
      </w:r>
      <w:r w:rsidRPr="00921667">
        <w:rPr>
          <w:rStyle w:val="Textoennegrita"/>
          <w:u w:val="single"/>
        </w:rPr>
        <w:t>El PIB turco se ha multiplicado 3,5 veces</w:t>
      </w:r>
      <w:r w:rsidRPr="00921667">
        <w:rPr>
          <w:u w:val="single"/>
        </w:rPr>
        <w:t>, creciendo a un ritmo medio del 5% anual y sorteando la crisis económica global. La inflación ha sido</w:t>
      </w:r>
      <w:r w:rsidR="009B2F21">
        <w:rPr>
          <w:u w:val="single"/>
        </w:rPr>
        <w:t xml:space="preserve"> domeñada –relativamente-</w:t>
      </w:r>
      <w:r w:rsidRPr="00921667">
        <w:rPr>
          <w:u w:val="single"/>
        </w:rPr>
        <w:t xml:space="preserve"> y se ha reducido del 70% a cifras de un solo dígito; se ha incrementado la capacidad adquisitiva de sus ciudadanos; </w:t>
      </w:r>
      <w:r w:rsidRPr="00921667">
        <w:rPr>
          <w:rStyle w:val="Textoennegrita"/>
          <w:u w:val="single"/>
        </w:rPr>
        <w:t>se ha mantenido la tasa de paro por debajo del 10%</w:t>
      </w:r>
      <w:r w:rsidRPr="00921667">
        <w:rPr>
          <w:u w:val="single"/>
        </w:rPr>
        <w:t xml:space="preserve"> y la economía se ha estabilizado, una de las principales razones que dan los electores para </w:t>
      </w:r>
      <w:r w:rsidRPr="009964D0">
        <w:rPr>
          <w:u w:val="single"/>
        </w:rPr>
        <w:t xml:space="preserve">haber </w:t>
      </w:r>
      <w:hyperlink r:id="rId45" w:history="1">
        <w:r w:rsidRPr="009964D0">
          <w:rPr>
            <w:rStyle w:val="Hipervnculo"/>
            <w:color w:val="auto"/>
            <w:u w:val="single"/>
          </w:rPr>
          <w:t>votado una y otra vez al polémico Erdogan</w:t>
        </w:r>
      </w:hyperlink>
      <w:r w:rsidRPr="009964D0">
        <w:rPr>
          <w:u w:val="single"/>
        </w:rPr>
        <w:t>.</w:t>
      </w:r>
    </w:p>
    <w:p w:rsidR="003969F7" w:rsidRDefault="003969F7" w:rsidP="003969F7">
      <w:pPr>
        <w:pStyle w:val="NormalWeb"/>
        <w:jc w:val="both"/>
      </w:pPr>
      <w:r>
        <w:rPr>
          <w:noProof/>
        </w:rPr>
        <w:drawing>
          <wp:inline distT="0" distB="0" distL="0" distR="0" wp14:anchorId="38045AAA" wp14:editId="1A16F81D">
            <wp:extent cx="5397500" cy="25781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7500" cy="2578100"/>
                    </a:xfrm>
                    <a:prstGeom prst="rect">
                      <a:avLst/>
                    </a:prstGeom>
                    <a:noFill/>
                    <a:ln>
                      <a:noFill/>
                    </a:ln>
                  </pic:spPr>
                </pic:pic>
              </a:graphicData>
            </a:graphic>
          </wp:inline>
        </w:drawing>
      </w:r>
    </w:p>
    <w:p w:rsidR="003969F7" w:rsidRPr="00921667" w:rsidRDefault="003969F7" w:rsidP="003969F7">
      <w:pPr>
        <w:pStyle w:val="NormalWeb"/>
        <w:jc w:val="both"/>
        <w:rPr>
          <w:u w:val="single"/>
        </w:rPr>
      </w:pPr>
      <w:r>
        <w:t xml:space="preserve">Una visita a los países de los Balcanes, el Cáucaso u Oriente Medio ofrece una buena perspectiva de cómo los grandes grupos empresariales turcos han conquistado estos mercados. E incluso más allá. </w:t>
      </w:r>
      <w:r w:rsidRPr="00921667">
        <w:rPr>
          <w:rStyle w:val="Textoennegrita"/>
          <w:u w:val="single"/>
        </w:rPr>
        <w:t>El 50% de los televisores que se adquieren en Europa son ya de empresas turcas</w:t>
      </w:r>
      <w:r w:rsidR="00C853E5">
        <w:rPr>
          <w:u w:val="single"/>
        </w:rPr>
        <w:t xml:space="preserve"> después de que Beko -</w:t>
      </w:r>
      <w:r w:rsidRPr="00921667">
        <w:rPr>
          <w:u w:val="single"/>
        </w:rPr>
        <w:t>la marca que ahora ador</w:t>
      </w:r>
      <w:r w:rsidR="00C853E5">
        <w:rPr>
          <w:u w:val="single"/>
        </w:rPr>
        <w:t>na la camiseta del FC Barcelona-</w:t>
      </w:r>
      <w:r w:rsidRPr="00921667">
        <w:rPr>
          <w:u w:val="single"/>
        </w:rPr>
        <w:t xml:space="preserve"> adquiriese el gigante alemán Grundig, tras su quiebra en 2003.</w:t>
      </w:r>
    </w:p>
    <w:p w:rsidR="003969F7" w:rsidRDefault="003969F7" w:rsidP="003969F7">
      <w:pPr>
        <w:pStyle w:val="NormalWeb"/>
        <w:jc w:val="both"/>
      </w:pPr>
      <w:r w:rsidRPr="00921667">
        <w:rPr>
          <w:u w:val="single"/>
        </w:rPr>
        <w:t xml:space="preserve">La </w:t>
      </w:r>
      <w:r w:rsidRPr="00921667">
        <w:rPr>
          <w:rStyle w:val="Textoennegrita"/>
          <w:u w:val="single"/>
        </w:rPr>
        <w:t>flota de camiones turca es la más grande de Europa</w:t>
      </w:r>
      <w:r w:rsidRPr="00921667">
        <w:rPr>
          <w:u w:val="single"/>
        </w:rPr>
        <w:t xml:space="preserve"> y cada vez es más habitual ver los largos</w:t>
      </w:r>
      <w:r w:rsidRPr="00921667">
        <w:rPr>
          <w:rStyle w:val="nfasis"/>
          <w:rFonts w:eastAsiaTheme="majorEastAsia"/>
          <w:u w:val="single"/>
        </w:rPr>
        <w:t xml:space="preserve"> trailer</w:t>
      </w:r>
      <w:r w:rsidRPr="00921667">
        <w:rPr>
          <w:u w:val="single"/>
        </w:rPr>
        <w:t>s con nombres terminados en “oglu” surcar las carreteras del Viejo Continente</w:t>
      </w:r>
      <w:r>
        <w:t xml:space="preserve">. </w:t>
      </w:r>
      <w:r w:rsidRPr="00921667">
        <w:rPr>
          <w:u w:val="single"/>
        </w:rPr>
        <w:t>Otro ejemplo: la segunda mayor fábrica de Renault fuera de Francia está en Turquía, donde también existen factorías de Fiat, Ford, Hyundai, Toyota y Honda</w:t>
      </w:r>
      <w:r>
        <w:t xml:space="preserve">. </w:t>
      </w:r>
      <w:r w:rsidRPr="00921667">
        <w:rPr>
          <w:color w:val="FF0000"/>
          <w:u w:val="single"/>
        </w:rPr>
        <w:t xml:space="preserve">El país euroasiático ofrece al mismo tiempo </w:t>
      </w:r>
      <w:r w:rsidRPr="00921667">
        <w:rPr>
          <w:rStyle w:val="Textoennegrita"/>
          <w:color w:val="FF0000"/>
          <w:u w:val="single"/>
        </w:rPr>
        <w:t>bajos costes laborales</w:t>
      </w:r>
      <w:r w:rsidRPr="00921667">
        <w:rPr>
          <w:color w:val="FF0000"/>
          <w:u w:val="single"/>
        </w:rPr>
        <w:t xml:space="preserve"> y </w:t>
      </w:r>
      <w:r w:rsidRPr="00921667">
        <w:rPr>
          <w:rStyle w:val="Textoennegrita"/>
          <w:color w:val="FF0000"/>
          <w:u w:val="single"/>
        </w:rPr>
        <w:t>cercanía a los mercados más maduros de la UE</w:t>
      </w:r>
      <w:r w:rsidRPr="00921667">
        <w:rPr>
          <w:color w:val="FF0000"/>
          <w:u w:val="single"/>
        </w:rPr>
        <w:t>. Una tercera vía entre Europa y Asia</w:t>
      </w:r>
      <w:r>
        <w:t xml:space="preserve">. De hecho, un ejecutivo de una gran empresa turca de electrodomésticos explica a </w:t>
      </w:r>
      <w:r>
        <w:rPr>
          <w:rStyle w:val="nfasis"/>
          <w:rFonts w:eastAsiaTheme="majorEastAsia"/>
        </w:rPr>
        <w:t>El Confidencial</w:t>
      </w:r>
      <w:r>
        <w:t xml:space="preserve"> que las recientes subidas salariales en China “</w:t>
      </w:r>
      <w:hyperlink r:id="rId47" w:history="1">
        <w:r w:rsidRPr="009964D0">
          <w:rPr>
            <w:rStyle w:val="Hipervnculo"/>
            <w:color w:val="auto"/>
          </w:rPr>
          <w:t>hacen que cada vez compense menos producir allí</w:t>
        </w:r>
      </w:hyperlink>
      <w:r w:rsidRPr="009964D0">
        <w:t>”,</w:t>
      </w:r>
      <w:r>
        <w:t xml:space="preserve"> lo que favorece la producción industrial en Turquía.</w:t>
      </w:r>
    </w:p>
    <w:p w:rsidR="009964D0" w:rsidRDefault="009964D0" w:rsidP="003969F7">
      <w:pPr>
        <w:pStyle w:val="NormalWeb"/>
        <w:jc w:val="both"/>
      </w:pPr>
    </w:p>
    <w:p w:rsidR="003969F7" w:rsidRPr="00491864" w:rsidRDefault="003969F7" w:rsidP="003969F7">
      <w:pPr>
        <w:pStyle w:val="NormalWeb"/>
        <w:jc w:val="both"/>
        <w:rPr>
          <w:b/>
        </w:rPr>
      </w:pPr>
      <w:r w:rsidRPr="00491864">
        <w:rPr>
          <w:rStyle w:val="Textoennegrita"/>
          <w:b w:val="0"/>
        </w:rPr>
        <w:lastRenderedPageBreak/>
        <w:t>El lastre de importar ingentes cantidades de energía</w:t>
      </w:r>
    </w:p>
    <w:p w:rsidR="003969F7" w:rsidRPr="00921667" w:rsidRDefault="003969F7" w:rsidP="003969F7">
      <w:pPr>
        <w:pStyle w:val="NormalWeb"/>
        <w:jc w:val="both"/>
        <w:rPr>
          <w:u w:val="single"/>
        </w:rPr>
      </w:pPr>
      <w:r w:rsidRPr="00921667">
        <w:rPr>
          <w:u w:val="single"/>
        </w:rPr>
        <w:t xml:space="preserve">Pero, pese a la importancia de la industria turca y a que Turquía ha multiplicado en 2,5 veces sus exportaciones desde 2004, su balanza comercial sigue siendo negativa debido a que el país euroasiático se ve </w:t>
      </w:r>
      <w:r w:rsidRPr="00921667">
        <w:rPr>
          <w:rStyle w:val="Textoennegrita"/>
          <w:u w:val="single"/>
        </w:rPr>
        <w:t xml:space="preserve">obligado a importar ingentes cantidades de energía </w:t>
      </w:r>
      <w:r w:rsidRPr="00921667">
        <w:rPr>
          <w:u w:val="single"/>
        </w:rPr>
        <w:t>para u</w:t>
      </w:r>
      <w:r w:rsidR="009964D0">
        <w:rPr>
          <w:u w:val="single"/>
        </w:rPr>
        <w:t>n mercado interno en expansión -</w:t>
      </w:r>
      <w:r w:rsidRPr="00921667">
        <w:rPr>
          <w:u w:val="single"/>
        </w:rPr>
        <w:t>es ca</w:t>
      </w:r>
      <w:r w:rsidR="009964D0">
        <w:rPr>
          <w:u w:val="single"/>
        </w:rPr>
        <w:t>da vez más urbano y menos rural-</w:t>
      </w:r>
      <w:r w:rsidRPr="00921667">
        <w:rPr>
          <w:u w:val="single"/>
        </w:rPr>
        <w:t xml:space="preserve"> y a que su industria, en el fondo, tiene muy poco valor añadido. “Muchas de las piezas y maquinaria que usamos tenemos que importarlas desde fuera”, lamenta una fuente de la industria turca.</w:t>
      </w:r>
    </w:p>
    <w:p w:rsidR="003969F7" w:rsidRPr="00921667" w:rsidRDefault="003969F7" w:rsidP="003969F7">
      <w:pPr>
        <w:pStyle w:val="NormalWeb"/>
        <w:jc w:val="both"/>
        <w:rPr>
          <w:color w:val="FF0000"/>
          <w:u w:val="single"/>
        </w:rPr>
      </w:pPr>
      <w:r w:rsidRPr="00921667">
        <w:rPr>
          <w:u w:val="single"/>
        </w:rPr>
        <w:t xml:space="preserve">El balance negativo del comercio </w:t>
      </w:r>
      <w:r w:rsidR="009964D0">
        <w:rPr>
          <w:u w:val="single"/>
        </w:rPr>
        <w:t>exterior es una de las razones -</w:t>
      </w:r>
      <w:r w:rsidRPr="00921667">
        <w:rPr>
          <w:u w:val="single"/>
        </w:rPr>
        <w:t>jun</w:t>
      </w:r>
      <w:r w:rsidR="009964D0">
        <w:rPr>
          <w:u w:val="single"/>
        </w:rPr>
        <w:t>to al reducido nivel de ahorros-</w:t>
      </w:r>
      <w:r w:rsidRPr="00921667">
        <w:rPr>
          <w:u w:val="single"/>
        </w:rPr>
        <w:t xml:space="preserve"> del </w:t>
      </w:r>
      <w:r w:rsidRPr="00921667">
        <w:rPr>
          <w:rStyle w:val="Textoennegrita"/>
          <w:u w:val="single"/>
        </w:rPr>
        <w:t xml:space="preserve">constante déficit por cuenta corriente que presenta Turquía </w:t>
      </w:r>
      <w:r w:rsidRPr="00921667">
        <w:rPr>
          <w:u w:val="single"/>
        </w:rPr>
        <w:t>y que en 2013 fue de 60.700 millones de dólares, equivalente al 7,1 % de su PIB.</w:t>
      </w:r>
      <w:r>
        <w:t xml:space="preserve"> El propio Gobierno reconoce que, en números absolutos, el déficit por cuenta corriente continuará en aumento en los próximos años, aunque espera que la subida del PIB sirva de colchón relativo. Sin embargo, </w:t>
      </w:r>
      <w:r w:rsidRPr="00921667">
        <w:rPr>
          <w:color w:val="FF0000"/>
          <w:u w:val="single"/>
        </w:rPr>
        <w:t>las instituciones internacionales creen que el crecimiento económico de Turquía está entrando en una etapa de ralentización.</w:t>
      </w:r>
    </w:p>
    <w:p w:rsidR="003969F7" w:rsidRDefault="003969F7" w:rsidP="003969F7">
      <w:pPr>
        <w:pStyle w:val="NormalWeb"/>
        <w:jc w:val="both"/>
      </w:pPr>
      <w:r w:rsidRPr="00921667">
        <w:rPr>
          <w:color w:val="FF0000"/>
          <w:u w:val="single"/>
        </w:rPr>
        <w:t xml:space="preserve">La mayoría de analistas coincide en que este </w:t>
      </w:r>
      <w:r w:rsidRPr="00921667">
        <w:rPr>
          <w:rStyle w:val="Textoennegrita"/>
          <w:color w:val="FF0000"/>
          <w:u w:val="single"/>
        </w:rPr>
        <w:t>déficit por cuenta corriente es uno de los mayores lastres</w:t>
      </w:r>
      <w:r w:rsidRPr="00921667">
        <w:rPr>
          <w:color w:val="FF0000"/>
          <w:u w:val="single"/>
        </w:rPr>
        <w:t xml:space="preserve"> de la economía turca ya que la hace dependiente de la financiación externa</w:t>
      </w:r>
      <w:r>
        <w:t>. Desde que comenzase la crisis financiera global de 2007, esto no fue un problema demasiado grande, ya que, como ocurrió en otros mercados emergentes, los inversores buscaron refugio en Turquía, donde</w:t>
      </w:r>
      <w:r w:rsidR="009964D0">
        <w:t xml:space="preserve"> los intereses que se lograban -reflejo del riesgo país-</w:t>
      </w:r>
      <w:r>
        <w:t xml:space="preserve"> eran muy suculentos en comparación con los ofrecidos por los países de la UE y Estados Unidos, más aún tras la espiral de bajadas de tipos en que se embarcaron los bancos centrales occidentales para tratar de reanimar sus economías.</w:t>
      </w:r>
    </w:p>
    <w:p w:rsidR="003969F7" w:rsidRDefault="003969F7" w:rsidP="003969F7">
      <w:pPr>
        <w:pStyle w:val="NormalWeb"/>
        <w:jc w:val="both"/>
      </w:pPr>
      <w:r>
        <w:t xml:space="preserve">Pero </w:t>
      </w:r>
      <w:r w:rsidRPr="00921667">
        <w:rPr>
          <w:u w:val="single"/>
        </w:rPr>
        <w:t xml:space="preserve">por algo a estos flujos financieros se les llama </w:t>
      </w:r>
      <w:r w:rsidRPr="00921667">
        <w:rPr>
          <w:rStyle w:val="nfasis"/>
          <w:rFonts w:eastAsiaTheme="majorEastAsia"/>
          <w:u w:val="single"/>
        </w:rPr>
        <w:t>hot</w:t>
      </w:r>
      <w:r w:rsidRPr="00921667">
        <w:rPr>
          <w:u w:val="single"/>
        </w:rPr>
        <w:t xml:space="preserve"> </w:t>
      </w:r>
      <w:r w:rsidRPr="00921667">
        <w:rPr>
          <w:rStyle w:val="nfasis"/>
          <w:rFonts w:eastAsiaTheme="majorEastAsia"/>
          <w:u w:val="single"/>
        </w:rPr>
        <w:t>money</w:t>
      </w:r>
      <w:r w:rsidRPr="00921667">
        <w:rPr>
          <w:u w:val="single"/>
        </w:rPr>
        <w:t xml:space="preserve">: en cuanto la Reserva Federal de EEUU decidió el pasado febrero reducir su recompra de bonos, miles de millones de dólares escaparon de los llamados </w:t>
      </w:r>
      <w:r w:rsidRPr="00921667">
        <w:rPr>
          <w:rStyle w:val="nfasis"/>
          <w:rFonts w:eastAsiaTheme="majorEastAsia"/>
          <w:u w:val="single"/>
        </w:rPr>
        <w:t>Fragile Five</w:t>
      </w:r>
      <w:r w:rsidRPr="00921667">
        <w:rPr>
          <w:u w:val="single"/>
        </w:rPr>
        <w:t xml:space="preserve"> (Brasil, Indonesia, Sudáfrica, India y Turquía) provocando </w:t>
      </w:r>
      <w:r w:rsidRPr="00921667">
        <w:rPr>
          <w:rStyle w:val="Textoennegrita"/>
          <w:u w:val="single"/>
        </w:rPr>
        <w:t>una verdadera crisis de sus divisas</w:t>
      </w:r>
      <w:r>
        <w:t xml:space="preserve">. </w:t>
      </w:r>
      <w:r w:rsidRPr="00921667">
        <w:rPr>
          <w:u w:val="single"/>
        </w:rPr>
        <w:t>En sólo dos años, la lira turca ha perdido el 30 % de su valor</w:t>
      </w:r>
      <w:r>
        <w:t>, algo que, según el analista Ege Cansen, puede ayudar a las exportaciones pero sólo a cambio de que su cotización se mantenga estable: “Si prosiguen las subidas y bajadas bruscas, ningún empresario invertirá en la industria”.</w:t>
      </w:r>
    </w:p>
    <w:p w:rsidR="003969F7" w:rsidRDefault="003969F7" w:rsidP="003969F7">
      <w:pPr>
        <w:pStyle w:val="NormalWeb"/>
        <w:jc w:val="both"/>
      </w:pPr>
      <w:r>
        <w:t>Pero volvamos a la calle, fuera de los datos macroeconómicos. En abril, Ayse, una joven turca de profesión autónoma y familia de origen humilde, decidió invertir sus ahorros en la compra de un piso. No era la primera de su grupo de amigas, en el que varias habían decidido</w:t>
      </w:r>
      <w:r>
        <w:rPr>
          <w:rStyle w:val="Textoennegrita"/>
        </w:rPr>
        <w:t xml:space="preserve"> adquirir un inmueble como instrumento de inversión</w:t>
      </w:r>
      <w:r>
        <w:t xml:space="preserve"> para evitar que sus ahorros se viesen afectados por el constante vaivén cambiario de la lira turca. Ya se sabe, el precio de la vivienda siempre sube. En el caso que nos ocupa, Ayse adquirió un pequeño apartamento en un tercer piso con un inquilino que un mes antes de la compraventa había firmado un contrato de alquiler a razón de 1.100 liras al mes (unos 385 euros). Cinco meses después, en la misma calle se pagan alquileres de hasta 1.800 liras.</w:t>
      </w:r>
    </w:p>
    <w:p w:rsidR="003969F7" w:rsidRDefault="003969F7" w:rsidP="003969F7">
      <w:pPr>
        <w:pStyle w:val="NormalWeb"/>
        <w:jc w:val="both"/>
      </w:pPr>
      <w:r w:rsidRPr="002B48B4">
        <w:rPr>
          <w:u w:val="single"/>
        </w:rPr>
        <w:t xml:space="preserve">En 2008, el vicegobernador del Banco Central de Turquía, Ibrahim Turhan, avisaba en una conferencia en EEUU de “la falta de viviendas, que requiere la construcción de más de 500.000 nuevas cada año”, subrayando la tremenda oportunidad de negocio que ello </w:t>
      </w:r>
      <w:r w:rsidRPr="002B48B4">
        <w:rPr>
          <w:u w:val="single"/>
        </w:rPr>
        <w:lastRenderedPageBreak/>
        <w:t xml:space="preserve">representaba. En un país en el que </w:t>
      </w:r>
      <w:r w:rsidRPr="002B48B4">
        <w:rPr>
          <w:rStyle w:val="Textoennegrita"/>
          <w:u w:val="single"/>
        </w:rPr>
        <w:t>el 40 % de la población tiene menos de 25 años</w:t>
      </w:r>
      <w:r w:rsidRPr="002B48B4">
        <w:rPr>
          <w:u w:val="single"/>
        </w:rPr>
        <w:t>, la demanda está asegurada</w:t>
      </w:r>
      <w:r>
        <w:t>. Además, a raíz del terremoto en la provincia oriental de Van en 2011, que provocó la muerte de 644 personas y fue el más letal desde el que en 1999 mató a unas 17.000 personas en la región del mar de Mármara y Estambul, el Gobierno de Recep Tayyip Erdogan prometió la reconstrucción del parque inmobiliario del país para que todos los edificios incluyeran medidas antisísmicas.</w:t>
      </w:r>
    </w:p>
    <w:p w:rsidR="003969F7" w:rsidRPr="002B48B4" w:rsidRDefault="003969F7" w:rsidP="003969F7">
      <w:pPr>
        <w:pStyle w:val="NormalWeb"/>
        <w:jc w:val="both"/>
        <w:rPr>
          <w:u w:val="single"/>
        </w:rPr>
      </w:pPr>
      <w:r w:rsidRPr="002B48B4">
        <w:rPr>
          <w:u w:val="single"/>
        </w:rPr>
        <w:t xml:space="preserve">Esto lo ha aprovechado el Ejecutivo para lanzarse a la </w:t>
      </w:r>
      <w:r w:rsidRPr="002B48B4">
        <w:rPr>
          <w:rStyle w:val="Textoennegrita"/>
          <w:u w:val="single"/>
        </w:rPr>
        <w:t>recalificación de terrenos</w:t>
      </w:r>
      <w:r w:rsidR="009964D0">
        <w:rPr>
          <w:u w:val="single"/>
        </w:rPr>
        <w:t xml:space="preserve"> -</w:t>
      </w:r>
      <w:r w:rsidRPr="002B48B4">
        <w:rPr>
          <w:u w:val="single"/>
        </w:rPr>
        <w:t>no en vano, la revuelta de Gezi del pasado año se inició por una crítica a las políticas urbanistas del partido de Er</w:t>
      </w:r>
      <w:r w:rsidR="009964D0">
        <w:rPr>
          <w:u w:val="single"/>
        </w:rPr>
        <w:t>dogan-</w:t>
      </w:r>
      <w:r w:rsidRPr="002B48B4">
        <w:rPr>
          <w:u w:val="single"/>
        </w:rPr>
        <w:t xml:space="preserve"> y expandir el negocio constructor mientras en otros países del entorno este hacía</w:t>
      </w:r>
      <w:r>
        <w:rPr>
          <w:u w:val="single"/>
        </w:rPr>
        <w:t>n</w:t>
      </w:r>
      <w:r w:rsidRPr="002B48B4">
        <w:rPr>
          <w:u w:val="single"/>
        </w:rPr>
        <w:t xml:space="preserve"> agua</w:t>
      </w:r>
      <w:r>
        <w:t xml:space="preserve">. </w:t>
      </w:r>
      <w:r w:rsidRPr="002B48B4">
        <w:rPr>
          <w:u w:val="single"/>
        </w:rPr>
        <w:t xml:space="preserve">Por si fuera poco, en los últimos años han llegado a Turquía </w:t>
      </w:r>
      <w:r w:rsidRPr="002B48B4">
        <w:rPr>
          <w:rStyle w:val="Textoennegrita"/>
          <w:u w:val="single"/>
        </w:rPr>
        <w:t>1,5 millones de refugiados, fundamentalmente sirios</w:t>
      </w:r>
      <w:r w:rsidRPr="002B48B4">
        <w:rPr>
          <w:u w:val="single"/>
        </w:rPr>
        <w:t>, pero también libios y egipcios, lo que añade presión demográfica al mercado y en varias provincias ha provocado increíbles aumentos del precio de los alquileres.</w:t>
      </w:r>
    </w:p>
    <w:p w:rsidR="003969F7" w:rsidRDefault="003969F7" w:rsidP="003969F7">
      <w:pPr>
        <w:pStyle w:val="NormalWeb"/>
        <w:jc w:val="both"/>
      </w:pPr>
      <w:r>
        <w:t xml:space="preserve">Según datos del propio Banco Central, entre enero de 2011 y mayo de 2014, el precio medio por metro cuadrado de vivienda nueva ha pasado de 950 a 1.400 liras (333 a 491 euros), pero hay que tener en cuenta que Turquía es un país que presenta </w:t>
      </w:r>
      <w:r>
        <w:rPr>
          <w:rStyle w:val="Textoennegrita"/>
        </w:rPr>
        <w:t>profundas desigualdades entre las regiones</w:t>
      </w:r>
      <w:r>
        <w:t>. En Estambul, por ejemplo, la evolución del precio de la vivienda nueva ha sido del 80 % en ese periodo.</w:t>
      </w:r>
    </w:p>
    <w:p w:rsidR="003969F7" w:rsidRPr="00491864" w:rsidRDefault="003969F7" w:rsidP="003969F7">
      <w:pPr>
        <w:pStyle w:val="NormalWeb"/>
        <w:jc w:val="both"/>
        <w:rPr>
          <w:b/>
        </w:rPr>
      </w:pPr>
      <w:r w:rsidRPr="00491864">
        <w:rPr>
          <w:rStyle w:val="Textoennegrita"/>
          <w:b w:val="0"/>
        </w:rPr>
        <w:t>Modelo turco: ladrillo y consumo interno</w:t>
      </w:r>
    </w:p>
    <w:p w:rsidR="003969F7" w:rsidRPr="002B48B4" w:rsidRDefault="003969F7" w:rsidP="003969F7">
      <w:pPr>
        <w:pStyle w:val="NormalWeb"/>
        <w:jc w:val="both"/>
        <w:rPr>
          <w:u w:val="single"/>
        </w:rPr>
      </w:pPr>
      <w:r w:rsidRPr="002B48B4">
        <w:rPr>
          <w:color w:val="FF0000"/>
          <w:u w:val="single"/>
        </w:rPr>
        <w:t>“El modelo de crecimiento del AKP se centra en la construcción y en el consumo interno”,</w:t>
      </w:r>
      <w:r>
        <w:t xml:space="preserve"> sostiene el economista Mustafa Sönmez, a la vez que advierte de que este modelo está incrementando la gran brecha existente no ya sólo entre el oeste y el este de Turquía, sino también entre Estambul y el resto del país. </w:t>
      </w:r>
      <w:r w:rsidRPr="002B48B4">
        <w:rPr>
          <w:u w:val="single"/>
        </w:rPr>
        <w:t>Según Sönmez, capitales financieros en forma de “inversiones que buscan un rápido beneficio” fluyen a Estambul, detrayendo así inversión extranjera directa que podría ir a centros de producción industrial como Esmirna (oeste), Kayseri (centro), Mersin o Adana (sur), lo que</w:t>
      </w:r>
      <w:r w:rsidRPr="002B48B4">
        <w:rPr>
          <w:rStyle w:val="Textoennegrita"/>
          <w:u w:val="single"/>
        </w:rPr>
        <w:t xml:space="preserve"> ha incrementado el desempleo en estas provincias por encima de la media del país</w:t>
      </w:r>
      <w:r w:rsidRPr="002B48B4">
        <w:rPr>
          <w:u w:val="single"/>
        </w:rPr>
        <w:t>. Pero además, el problema es que estos flujos se retroalimentan y, mientras el margen de beneficio de las inversiones en productos financieros e inmobiliarios en</w:t>
      </w:r>
      <w:r>
        <w:rPr>
          <w:u w:val="single"/>
        </w:rPr>
        <w:t>…</w:t>
      </w:r>
      <w:r w:rsidRPr="002B48B4">
        <w:rPr>
          <w:u w:val="single"/>
        </w:rPr>
        <w:t xml:space="preserve"> </w:t>
      </w:r>
    </w:p>
    <w:p w:rsidR="003969F7" w:rsidRPr="002B48B4" w:rsidRDefault="003969F7" w:rsidP="003969F7">
      <w:pPr>
        <w:pStyle w:val="NormalWeb"/>
        <w:jc w:val="both"/>
        <w:rPr>
          <w:u w:val="single"/>
        </w:rPr>
      </w:pPr>
      <w:r w:rsidRPr="002B48B4">
        <w:rPr>
          <w:rStyle w:val="Textoennegrita"/>
          <w:u w:val="single"/>
        </w:rPr>
        <w:t>La inflación ha sido siempre un problema muy grave</w:t>
      </w:r>
      <w:r w:rsidRPr="002B48B4">
        <w:rPr>
          <w:u w:val="single"/>
        </w:rPr>
        <w:t xml:space="preserve"> en Turquía (los precios se han triplicado en los 12 años de gobierno del AKP según los cálculos del Banco Central) pero lo del sector constructor turco adquiere cada vez más los tintes de </w:t>
      </w:r>
      <w:r w:rsidRPr="002B48B4">
        <w:rPr>
          <w:rStyle w:val="Textoennegrita"/>
          <w:u w:val="single"/>
        </w:rPr>
        <w:t>una burbuja inmobiliaria en toda regla</w:t>
      </w:r>
      <w:r w:rsidRPr="002B48B4">
        <w:rPr>
          <w:u w:val="single"/>
        </w:rPr>
        <w:t xml:space="preserve"> y publicaciones internacionales especializadas avisan ya del riesgo de “sobrecalentamiento”.</w:t>
      </w:r>
    </w:p>
    <w:p w:rsidR="003969F7" w:rsidRDefault="003969F7" w:rsidP="003969F7">
      <w:pPr>
        <w:pStyle w:val="NormalWeb"/>
        <w:jc w:val="both"/>
      </w:pPr>
      <w:r>
        <w:t xml:space="preserve">Es cierto que, hasta 2008, en Turquía no existía un mercado hipotecario como tal y que las hipotecas que se conceden están normalmente limitadas al 70 % del precio de mercado de la propiedad (al contrario de lo que ocurría en España en el momento álgido de la burbuja inmobiliaria, en que los bancos ofrecían préstamos superiores al 100% de su valor), pero desde que aquel año se aprobase la </w:t>
      </w:r>
      <w:r>
        <w:rPr>
          <w:rStyle w:val="Textoennegrita"/>
        </w:rPr>
        <w:t>nueva ley de hipotecas</w:t>
      </w:r>
      <w:r>
        <w:t xml:space="preserve">, que permite la titulización de este tipo de créditos y su </w:t>
      </w:r>
      <w:r w:rsidR="009964D0">
        <w:t>comercialización en el mercado -</w:t>
      </w:r>
      <w:r>
        <w:t>una de las principales razones de la crisis financi</w:t>
      </w:r>
      <w:r w:rsidR="009964D0">
        <w:t>era a nivel global-</w:t>
      </w:r>
      <w:r>
        <w:t xml:space="preserve"> se ha producido una explosión de concesiones.</w:t>
      </w:r>
    </w:p>
    <w:p w:rsidR="003969F7" w:rsidRDefault="003969F7" w:rsidP="003969F7">
      <w:pPr>
        <w:pStyle w:val="NormalWeb"/>
        <w:jc w:val="both"/>
      </w:pPr>
      <w:r w:rsidRPr="002B48B4">
        <w:rPr>
          <w:u w:val="single"/>
        </w:rPr>
        <w:lastRenderedPageBreak/>
        <w:t xml:space="preserve">Aunque aún inferior al nivel de los países desarrollados, la </w:t>
      </w:r>
      <w:r w:rsidRPr="002B48B4">
        <w:rPr>
          <w:rStyle w:val="Textoennegrita"/>
          <w:u w:val="single"/>
        </w:rPr>
        <w:t>deuda privada en Turquía ha ido en aumento</w:t>
      </w:r>
      <w:r>
        <w:t xml:space="preserve">. De acuerdo a Vefa Tarhan, </w:t>
      </w:r>
      <w:r w:rsidRPr="002B48B4">
        <w:rPr>
          <w:u w:val="single"/>
        </w:rPr>
        <w:t>la deuda de los hogares “se ha incrementado en torno a un 25% anual durante los últimos 7 años” y el porcentaje de deuda de las 500 mayores empresas turcas equivalía en 2011 al 140% del PIB</w:t>
      </w:r>
      <w:r>
        <w:t>. Algo más preocupante, según este economista, si se tiene en cuenta “que los países desarrollados tienen una cultura de gestión de la deuda, pero la sociedad turca no está todavía en esta etapa de desarrollo”.</w:t>
      </w:r>
    </w:p>
    <w:p w:rsidR="003969F7" w:rsidRDefault="003969F7" w:rsidP="003969F7">
      <w:pPr>
        <w:pStyle w:val="NormalWeb"/>
        <w:jc w:val="both"/>
      </w:pPr>
      <w:r w:rsidRPr="002B48B4">
        <w:rPr>
          <w:u w:val="single"/>
        </w:rPr>
        <w:t xml:space="preserve">El bajo nivel de ingresos de la mayoría de la población turca y un escaso nivel de ahorro que, además, se ha reducido significativamente </w:t>
      </w:r>
      <w:r w:rsidR="009964D0">
        <w:rPr>
          <w:u w:val="single"/>
        </w:rPr>
        <w:t>durante el gobierno de Erdogan -</w:t>
      </w:r>
      <w:r w:rsidRPr="002B48B4">
        <w:rPr>
          <w:u w:val="single"/>
        </w:rPr>
        <w:t>los ahorros privados pasaron del 25,5 % de</w:t>
      </w:r>
      <w:r w:rsidR="009964D0">
        <w:rPr>
          <w:u w:val="single"/>
        </w:rPr>
        <w:t>l PIB en 2001 al 12,3 % en 2010-</w:t>
      </w:r>
      <w:r w:rsidRPr="002B48B4">
        <w:rPr>
          <w:u w:val="single"/>
        </w:rPr>
        <w:t xml:space="preserve"> </w:t>
      </w:r>
      <w:r w:rsidRPr="002B48B4">
        <w:rPr>
          <w:rStyle w:val="Textoennegrita"/>
          <w:u w:val="single"/>
        </w:rPr>
        <w:t>ha elevado el riesgo de morosidad</w:t>
      </w:r>
      <w:r w:rsidRPr="002B48B4">
        <w:rPr>
          <w:u w:val="single"/>
        </w:rPr>
        <w:t>, que, si bien inferior todavía al de los países periféricos de la UE, presenta una tendencia al alza</w:t>
      </w:r>
      <w:r>
        <w:t>. Los últimos datos de la Agencia de Regulación y Supervisión Bancaria (BDDK) muestran que, en el primer semestre de este año, 811.283 personas no pagaron sus deudas de las tarjetas de crédito o préstamos a los bancos, un 22,7 % más que en el mismo periodo de 2013.</w:t>
      </w:r>
    </w:p>
    <w:p w:rsidR="003969F7" w:rsidRPr="002B48B4" w:rsidRDefault="003969F7" w:rsidP="003969F7">
      <w:pPr>
        <w:pStyle w:val="NormalWeb"/>
        <w:jc w:val="both"/>
        <w:rPr>
          <w:u w:val="single"/>
        </w:rPr>
      </w:pPr>
      <w:r w:rsidRPr="002B48B4">
        <w:rPr>
          <w:u w:val="single"/>
        </w:rPr>
        <w:t xml:space="preserve">Durante meses, Erdogan ha presionado al Banco Central </w:t>
      </w:r>
      <w:r w:rsidR="009964D0">
        <w:rPr>
          <w:u w:val="single"/>
        </w:rPr>
        <w:t>para que reduzca los intereses -</w:t>
      </w:r>
      <w:r w:rsidRPr="002B48B4">
        <w:rPr>
          <w:u w:val="single"/>
        </w:rPr>
        <w:t>ante la opinión contraria del goberna</w:t>
      </w:r>
      <w:r w:rsidR="009964D0">
        <w:rPr>
          <w:u w:val="single"/>
        </w:rPr>
        <w:t>dor de la institución monetaria-</w:t>
      </w:r>
      <w:r w:rsidRPr="002B48B4">
        <w:rPr>
          <w:u w:val="single"/>
        </w:rPr>
        <w:t xml:space="preserve"> y, desde su nuevo cargo de jefe de Estado turco, una posición supuestamente independiente, probablemente continuará pidiendo la rebaja de tipos para así poder mantener el flujo de créditos a la economía en un momento en el que </w:t>
      </w:r>
      <w:r w:rsidRPr="002B48B4">
        <w:rPr>
          <w:rStyle w:val="Textoennegrita"/>
          <w:u w:val="single"/>
        </w:rPr>
        <w:t>Turquía ha perdido su segundo mayor mercado de exportación (Irak)</w:t>
      </w:r>
      <w:r w:rsidRPr="002B48B4">
        <w:rPr>
          <w:u w:val="single"/>
        </w:rPr>
        <w:t>. Si el Banco Central cede, supondrá echar más leña al fuego que está haciendo expandir la burbuja econ</w:t>
      </w:r>
      <w:r w:rsidR="009964D0">
        <w:rPr>
          <w:u w:val="single"/>
        </w:rPr>
        <w:t>ómica, algo que en Turquía -</w:t>
      </w:r>
      <w:r w:rsidRPr="002B48B4">
        <w:rPr>
          <w:u w:val="single"/>
        </w:rPr>
        <w:t>un país tremendamente vulner</w:t>
      </w:r>
      <w:r w:rsidR="009964D0">
        <w:rPr>
          <w:u w:val="single"/>
        </w:rPr>
        <w:t>able a las influencias externas-</w:t>
      </w:r>
      <w:r w:rsidRPr="002B48B4">
        <w:rPr>
          <w:u w:val="single"/>
        </w:rPr>
        <w:t xml:space="preserve"> puede hacer que esta explote y degenere en una crisis en toda regla.</w:t>
      </w:r>
    </w:p>
    <w:p w:rsidR="003969F7" w:rsidRDefault="003969F7" w:rsidP="003969F7">
      <w:pPr>
        <w:pStyle w:val="western"/>
        <w:jc w:val="both"/>
        <w:rPr>
          <w:color w:val="000000"/>
        </w:rPr>
      </w:pPr>
      <w:r>
        <w:rPr>
          <w:noProof/>
          <w:color w:val="000000"/>
        </w:rPr>
        <w:drawing>
          <wp:inline distT="0" distB="0" distL="0" distR="0" wp14:anchorId="7E392787" wp14:editId="71AE72AE">
            <wp:extent cx="5397500" cy="23812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3969F7" w:rsidRPr="006F2764" w:rsidRDefault="003969F7" w:rsidP="003969F7">
      <w:pPr>
        <w:pStyle w:val="NormalWeb"/>
        <w:jc w:val="both"/>
      </w:pPr>
      <w:r w:rsidRPr="006F2764">
        <w:t xml:space="preserve">- </w:t>
      </w:r>
      <w:r w:rsidRPr="006F2764">
        <w:rPr>
          <w:u w:val="single"/>
        </w:rPr>
        <w:t>La exagerada muerte de la inflación</w:t>
      </w:r>
      <w:r>
        <w:t xml:space="preserve"> (Project Syndicate - </w:t>
      </w:r>
      <w:r w:rsidRPr="006F2764">
        <w:rPr>
          <w:b/>
        </w:rPr>
        <w:t>2/9/14</w:t>
      </w:r>
      <w:r>
        <w:t>)</w:t>
      </w:r>
    </w:p>
    <w:p w:rsidR="003969F7" w:rsidRPr="006F2764" w:rsidRDefault="009964D0" w:rsidP="003969F7">
      <w:pPr>
        <w:pStyle w:val="NormalWeb"/>
        <w:jc w:val="both"/>
      </w:pPr>
      <w:r>
        <w:t>Cambridge.-</w:t>
      </w:r>
      <w:r w:rsidR="003969F7" w:rsidRPr="006F2764">
        <w:t xml:space="preserve"> </w:t>
      </w:r>
      <w:r w:rsidR="003969F7" w:rsidRPr="00A35109">
        <w:rPr>
          <w:u w:val="single"/>
        </w:rPr>
        <w:t>¿Hemos llegado al fin de la época de los altos índices inflacionarios? Hoy en día, cuando el mundo crece con lentitud, los niveles de deuda son elevados y existen tremendas presiones distributivas, es importante saber si la inflación se ha acabado o está meramente latente.</w:t>
      </w:r>
      <w:r w:rsidR="003969F7" w:rsidRPr="006F2764">
        <w:t xml:space="preserve"> Es cierto que las importantes mejoras institucionales a los bancos centrales han creado enormes barreras a que la inflación alcance niveles altos. Pero, en último término, parte importante de la credibilidad de un banco central deriva del contexto macroeconómico m</w:t>
      </w:r>
      <w:r w:rsidR="003969F7">
        <w:t>ás amplio en el que se enmarca.</w:t>
      </w:r>
    </w:p>
    <w:p w:rsidR="003969F7" w:rsidRPr="00A35109" w:rsidRDefault="003969F7" w:rsidP="003969F7">
      <w:pPr>
        <w:pStyle w:val="NormalWeb"/>
        <w:jc w:val="both"/>
        <w:rPr>
          <w:color w:val="FF0000"/>
          <w:u w:val="single"/>
        </w:rPr>
      </w:pPr>
      <w:r w:rsidRPr="00A35109">
        <w:rPr>
          <w:u w:val="single"/>
        </w:rPr>
        <w:lastRenderedPageBreak/>
        <w:t>En la primera mitad de la década de los 90, el promedio de inflación anual era de un 40% en África, un 230% en América Latina y un 360% en las economías en transición de Europa del Este. Y, a principios de los 80, el promedio en las economías desarrolladas era de cerca de un 10%.</w:t>
      </w:r>
      <w:r w:rsidRPr="006F2764">
        <w:t xml:space="preserve"> </w:t>
      </w:r>
      <w:r w:rsidRPr="00A35109">
        <w:rPr>
          <w:color w:val="FF0000"/>
          <w:u w:val="single"/>
        </w:rPr>
        <w:t>Hoy la alta inflación parece tan remota que muchos analistas la ven poco más que como una curiosidad teórica.</w:t>
      </w:r>
    </w:p>
    <w:p w:rsidR="003969F7" w:rsidRPr="00A35109" w:rsidRDefault="003969F7" w:rsidP="003969F7">
      <w:pPr>
        <w:pStyle w:val="NormalWeb"/>
        <w:jc w:val="both"/>
        <w:rPr>
          <w:color w:val="FF0000"/>
          <w:u w:val="single"/>
        </w:rPr>
      </w:pPr>
      <w:r w:rsidRPr="00A35109">
        <w:rPr>
          <w:color w:val="FF0000"/>
          <w:u w:val="single"/>
        </w:rPr>
        <w:t>Se equivocan. No importa de qué maneras los bancos centrales pueden querer presentar la tasa de inflación como una mera decisión tecnocrática: en última instancia, es una elección social. Y algunas de las presiones que ayudaron a contener la inflación durante las últimas dos décadas están desapareciendo.</w:t>
      </w:r>
    </w:p>
    <w:p w:rsidR="003969F7" w:rsidRPr="006F2764" w:rsidRDefault="003969F7" w:rsidP="003969F7">
      <w:pPr>
        <w:pStyle w:val="NormalWeb"/>
        <w:jc w:val="both"/>
      </w:pPr>
      <w:r w:rsidRPr="00A35109">
        <w:rPr>
          <w:u w:val="single"/>
        </w:rPr>
        <w:t>En los años anteriores a la crisis financiera, el aumento de la globalización y los avances tecnológicos facilitaron mucho a los bancos centrales la tarea de generar un crecimiento sólido con baja inflación</w:t>
      </w:r>
      <w:r w:rsidRPr="006F2764">
        <w:t xml:space="preserve">. No era ese el caso en los años 70, cuando el estancamiento de la productividad y el aumento de los precios de las materias primas convirtieron a los directivos de los bancos centrales en chivos </w:t>
      </w:r>
      <w:r>
        <w:t>expiatorios en lugar de héroes.</w:t>
      </w:r>
    </w:p>
    <w:p w:rsidR="003969F7" w:rsidRPr="00A35109" w:rsidRDefault="003969F7" w:rsidP="003969F7">
      <w:pPr>
        <w:pStyle w:val="NormalWeb"/>
        <w:jc w:val="both"/>
        <w:rPr>
          <w:u w:val="single"/>
        </w:rPr>
      </w:pPr>
      <w:r w:rsidRPr="00A35109">
        <w:rPr>
          <w:u w:val="single"/>
        </w:rPr>
        <w:t>Es cierto que, en ese entonces, las autoridades monetarias se guiaban por antiguos modelos macroeconómicos keynesianos que alentaban la ilusión de que la política monetaria podía impulsar indefinidamente una economía con poca inflación y bajas tasas de interés. Los banqueros centrales de hoy en día ya no son tan ingenuos y el público está mejor informado, pero la tasa de inflación a largo plazo de un país sigue siendo el resultado de decisiones políticas, no tecnocráticas. A medida que se va haciendo más difícil optar, aumenta el riesgo para la estabilidad de los precios.</w:t>
      </w:r>
    </w:p>
    <w:p w:rsidR="003969F7" w:rsidRPr="006F2764" w:rsidRDefault="003969F7" w:rsidP="003969F7">
      <w:pPr>
        <w:pStyle w:val="NormalWeb"/>
        <w:jc w:val="both"/>
      </w:pPr>
      <w:r w:rsidRPr="00A35109">
        <w:rPr>
          <w:color w:val="FF0000"/>
          <w:u w:val="single"/>
        </w:rPr>
        <w:t>Si echamos un vistazo somero a los mercados emergentes, veremos que la inflación está lejos de ser un fenómeno acabado</w:t>
      </w:r>
      <w:r w:rsidRPr="006F2764">
        <w:t>. Según el informe Perspectivas de la economía mundial de abril de 2014, publicado por el Fondo Monetario Internacional, en 2013 la inflación llegó al 6,2% en Brasil,  6,4% en Indonesia,  6,6% en Vietnam, 6,8% en Rusia, 7,5% en Turquía, 8,5% en Nigeria, 9,5% en la India, 10,6% en Argentina y la friolera de 40,7% en Venezuela. Puede que signifiquen una gran mejora si se comparan con los niveles de principios de los años 90, pero ciertamente no constituyen pruebas de l</w:t>
      </w:r>
      <w:r>
        <w:t>a desaparición de la inflación.</w:t>
      </w:r>
    </w:p>
    <w:p w:rsidR="003969F7" w:rsidRPr="00A35109" w:rsidRDefault="003969F7" w:rsidP="003969F7">
      <w:pPr>
        <w:pStyle w:val="NormalWeb"/>
        <w:jc w:val="both"/>
        <w:rPr>
          <w:color w:val="FF0000"/>
          <w:u w:val="single"/>
        </w:rPr>
      </w:pPr>
      <w:r w:rsidRPr="00A35109">
        <w:rPr>
          <w:color w:val="FF0000"/>
          <w:u w:val="single"/>
        </w:rPr>
        <w:t>Es verdad que las economías avanzadas se encuentran hoy en una posición muy diferente, pero no se puede decir que sean inmunes. Muchos de los mismos expertos que nunca imaginaron que estas pudieran acabar sufriendo grandes crisis financieras ahora se manifiestan seguros de que nunca van a padecer crisis inflacionarias.</w:t>
      </w:r>
    </w:p>
    <w:p w:rsidR="003969F7" w:rsidRPr="00A35109" w:rsidRDefault="003969F7" w:rsidP="003969F7">
      <w:pPr>
        <w:pStyle w:val="NormalWeb"/>
        <w:jc w:val="both"/>
        <w:rPr>
          <w:u w:val="single"/>
        </w:rPr>
      </w:pPr>
      <w:r w:rsidRPr="00A35109">
        <w:rPr>
          <w:u w:val="single"/>
        </w:rPr>
        <w:t>Más importante es poder definir con precisión el punto donde trazar la línea entre las economías avanzadas y los mercados emergentes. Por ejemplo, la zona del euro es una mancha difusa. Imaginemos que no existe el euro y los países del sur han conservado sus propias monedas: la lira italiana, la peseta española, el dracma griego y así sucesivamente. ¿El perfil inflacionario de estos países se asemejaría más al de Estados Unidos y Alemania, o al de Brasil y Turquía?</w:t>
      </w:r>
    </w:p>
    <w:p w:rsidR="003969F7" w:rsidRPr="00A35109" w:rsidRDefault="003969F7" w:rsidP="003969F7">
      <w:pPr>
        <w:pStyle w:val="NormalWeb"/>
        <w:jc w:val="both"/>
        <w:rPr>
          <w:u w:val="single"/>
        </w:rPr>
      </w:pPr>
      <w:r w:rsidRPr="00A35109">
        <w:rPr>
          <w:u w:val="single"/>
        </w:rPr>
        <w:t xml:space="preserve">Lo más probable es que sea un punto intermedio. La periferia europea se habría beneficiado de los mismos avances institucionales en la banca central que todos los demás, pero no hay ninguna razón en particular para suponer que sus estructuras políticas hubieran podido evolucionar de una manera radicalmente diferente. Los países </w:t>
      </w:r>
      <w:r w:rsidRPr="00A35109">
        <w:rPr>
          <w:u w:val="single"/>
        </w:rPr>
        <w:lastRenderedPageBreak/>
        <w:t>del sur adoptaron el euro precisamente porque el compromiso de los países del norte con la estabilidad de los precios les dio una moneda con una enorme credibilidad antiinflacionaria.</w:t>
      </w:r>
    </w:p>
    <w:p w:rsidR="003969F7" w:rsidRPr="00A35109" w:rsidRDefault="003969F7" w:rsidP="003969F7">
      <w:pPr>
        <w:pStyle w:val="NormalWeb"/>
        <w:jc w:val="both"/>
        <w:rPr>
          <w:u w:val="single"/>
        </w:rPr>
      </w:pPr>
      <w:r w:rsidRPr="00A35109">
        <w:rPr>
          <w:u w:val="single"/>
        </w:rPr>
        <w:t xml:space="preserve">Al final resultó que el euro no salió tan gratis como parecía. Lo que se ganó en credibilidad en cuanto a inflación tuvo como contrapeso una menor credibilidad en cuanto a su deuda. Si los países de la periferia de Europa tuvieran sus propias monedas, es probable que los problemas de deuda </w:t>
      </w:r>
      <w:r w:rsidR="00C853E5" w:rsidRPr="00A35109">
        <w:rPr>
          <w:u w:val="single"/>
        </w:rPr>
        <w:t>acabaran</w:t>
      </w:r>
      <w:r w:rsidRPr="00A35109">
        <w:rPr>
          <w:u w:val="single"/>
        </w:rPr>
        <w:t xml:space="preserve"> reflejándose en una elevada inflación.</w:t>
      </w:r>
    </w:p>
    <w:p w:rsidR="003969F7" w:rsidRPr="006F2764" w:rsidRDefault="003969F7" w:rsidP="003969F7">
      <w:pPr>
        <w:pStyle w:val="NormalWeb"/>
        <w:jc w:val="both"/>
      </w:pPr>
      <w:r w:rsidRPr="006F2764">
        <w:t>No estoy diciendo que la inflación volverá pro</w:t>
      </w:r>
      <w:r w:rsidR="009964D0">
        <w:t>nto a economías seguras como EE</w:t>
      </w:r>
      <w:r w:rsidRPr="006F2764">
        <w:t>U</w:t>
      </w:r>
      <w:r w:rsidR="009964D0">
        <w:t>U</w:t>
      </w:r>
      <w:r w:rsidRPr="006F2764">
        <w:t xml:space="preserve"> o Japón. Aunque los mercados laborales de Estados Unidos se están reduciendo y el nuevo presidente de la Fed ha subrayado enfáticamente la importancia de lograr el máximo en los niveles de empleo, todavía hay pocos riesgos de que se produzca una alta </w:t>
      </w:r>
      <w:r>
        <w:t>inflación en el futuro cercano.</w:t>
      </w:r>
    </w:p>
    <w:p w:rsidR="003969F7" w:rsidRPr="006F2764" w:rsidRDefault="003969F7" w:rsidP="003969F7">
      <w:pPr>
        <w:pStyle w:val="NormalWeb"/>
        <w:jc w:val="both"/>
      </w:pPr>
      <w:r w:rsidRPr="006F2764">
        <w:t>Aun así, en el largo plazo no hay garantía de que un banco central dado sea capaz de mantener su posición en caso de perturbaciones adversas, como el que persista la lentitud del crecimiento de la productividad, sigan los altos niveles de deuda y se mantenga la presión para reducir la desigualdad a través de las transferencias de fondos estatales. El riesgo sería especialmente alto en el caso de otros acontecimientos adversos de peso, como por ejemplo un aumento generalizado de las tasas de interés reales globales.</w:t>
      </w:r>
    </w:p>
    <w:p w:rsidR="003969F7" w:rsidRPr="006F2764" w:rsidRDefault="003969F7" w:rsidP="003969F7">
      <w:pPr>
        <w:pStyle w:val="NormalWeb"/>
        <w:jc w:val="both"/>
      </w:pPr>
      <w:r w:rsidRPr="00A35109">
        <w:rPr>
          <w:color w:val="FF0000"/>
          <w:u w:val="single"/>
        </w:rPr>
        <w:t>Reconocer que la inflación es un factor latente revela en toda su superficialidad la afirmación común de que cualquier país con un tipo de cambio flexible no tiene nada que temer de tener altos niveles de deuda, siempre y cuando esta se emita en su propia moneda</w:t>
      </w:r>
      <w:r w:rsidRPr="006F2764">
        <w:t>. Imaginemos una vez más que Italia tiene su propia moneda en lugar del euro. Ciertamente, el país tendría mucho menos que temer de una abrupta estampida bancaria sobre su deuda. Sin embargo, dados los enormes problemas de gobernabilidad a los que todavía se enfrenta el país, hay muchas posibilidades de que su tasa de inflación acabaría pareciéndose más a la de Brasil o Turquía y que los problemas de deuda se reflejarían en una acelerac</w:t>
      </w:r>
      <w:r>
        <w:t>ión del aumento de los precios.</w:t>
      </w:r>
    </w:p>
    <w:p w:rsidR="003969F7" w:rsidRPr="00A35109" w:rsidRDefault="003969F7" w:rsidP="003969F7">
      <w:pPr>
        <w:pStyle w:val="NormalWeb"/>
        <w:jc w:val="both"/>
        <w:rPr>
          <w:color w:val="FF0000"/>
          <w:u w:val="single"/>
        </w:rPr>
      </w:pPr>
      <w:r w:rsidRPr="00A35109">
        <w:rPr>
          <w:u w:val="single"/>
        </w:rPr>
        <w:t xml:space="preserve">La banca central moderna ha hecho maravillas para reducir la inflación. Sin embargo, en última instancia las políticas antiinflacionarias sólo pueden funcionar en el contexto de un marco macroeconómico y político comprometido con la estabilidad de los precios. </w:t>
      </w:r>
      <w:r w:rsidRPr="00A35109">
        <w:rPr>
          <w:color w:val="FF0000"/>
          <w:u w:val="single"/>
        </w:rPr>
        <w:t>Puede que la inflación se encuentre en estado latente, pero ciertamente no ha muerto.</w:t>
      </w:r>
    </w:p>
    <w:p w:rsidR="003969F7" w:rsidRDefault="003969F7" w:rsidP="003969F7">
      <w:pPr>
        <w:pStyle w:val="NormalWeb"/>
        <w:jc w:val="both"/>
        <w:rPr>
          <w:lang w:val="en-US"/>
        </w:rPr>
      </w:pPr>
      <w:r>
        <w:rPr>
          <w:lang w:val="en-US"/>
        </w:rPr>
        <w:t>(</w:t>
      </w:r>
      <w:r w:rsidRPr="006F2764">
        <w:rPr>
          <w:lang w:val="en-US"/>
        </w:rPr>
        <w:t>Kenneth Rogoff, Professor of Economics and Public Policy at Harvard University and recipient of the 2011 Deutsche Bank Prize in Financial Economics, was the chief economist of the International Monetary Fund from 2001 to 2003. His most recent book, co-authored with Carmen M. Reinhart, is This Time…</w:t>
      </w:r>
      <w:r>
        <w:rPr>
          <w:lang w:val="en-US"/>
        </w:rPr>
        <w:t>)</w:t>
      </w:r>
    </w:p>
    <w:p w:rsidR="003969F7" w:rsidRPr="00197BD2" w:rsidRDefault="003969F7" w:rsidP="003969F7">
      <w:pPr>
        <w:shd w:val="clear" w:color="auto" w:fill="FFFFFF"/>
        <w:spacing w:after="360" w:line="240" w:lineRule="auto"/>
        <w:jc w:val="both"/>
        <w:rPr>
          <w:rFonts w:ascii="Times New Roman" w:hAnsi="Times New Roman"/>
          <w:color w:val="000000"/>
          <w:sz w:val="24"/>
          <w:szCs w:val="24"/>
        </w:rPr>
      </w:pPr>
      <w:r w:rsidRPr="00197BD2">
        <w:rPr>
          <w:rFonts w:ascii="Times New Roman" w:hAnsi="Times New Roman"/>
          <w:color w:val="000000"/>
          <w:sz w:val="24"/>
          <w:szCs w:val="24"/>
        </w:rPr>
        <w:t xml:space="preserve">- </w:t>
      </w:r>
      <w:r w:rsidRPr="00197BD2">
        <w:rPr>
          <w:rFonts w:ascii="Times New Roman" w:hAnsi="Times New Roman"/>
          <w:color w:val="000000"/>
          <w:sz w:val="24"/>
          <w:szCs w:val="24"/>
          <w:u w:val="single"/>
        </w:rPr>
        <w:t>Así gobiernan los ricos</w:t>
      </w:r>
      <w:r w:rsidRPr="00197BD2">
        <w:rPr>
          <w:rFonts w:ascii="Times New Roman" w:hAnsi="Times New Roman"/>
          <w:color w:val="000000"/>
          <w:sz w:val="24"/>
          <w:szCs w:val="24"/>
        </w:rPr>
        <w:t xml:space="preserve"> (Project Syndicate - </w:t>
      </w:r>
      <w:r w:rsidRPr="00197BD2">
        <w:rPr>
          <w:rFonts w:ascii="Times New Roman" w:hAnsi="Times New Roman"/>
          <w:b/>
          <w:color w:val="000000"/>
          <w:sz w:val="24"/>
          <w:szCs w:val="24"/>
        </w:rPr>
        <w:t>10/9/14</w:t>
      </w:r>
      <w:r w:rsidRPr="00197BD2">
        <w:rPr>
          <w:rFonts w:ascii="Times New Roman" w:hAnsi="Times New Roman"/>
          <w:color w:val="000000"/>
          <w:sz w:val="24"/>
          <w:szCs w:val="24"/>
        </w:rPr>
        <w:t>)</w:t>
      </w:r>
    </w:p>
    <w:p w:rsidR="003969F7" w:rsidRPr="00902D7D" w:rsidRDefault="009964D0" w:rsidP="003969F7">
      <w:pPr>
        <w:shd w:val="clear" w:color="auto" w:fill="FFFFFF"/>
        <w:spacing w:after="360" w:line="240" w:lineRule="auto"/>
        <w:jc w:val="both"/>
        <w:rPr>
          <w:rFonts w:ascii="Times New Roman" w:hAnsi="Times New Roman"/>
          <w:color w:val="000000"/>
          <w:sz w:val="24"/>
          <w:szCs w:val="24"/>
          <w:u w:val="single"/>
        </w:rPr>
      </w:pPr>
      <w:r>
        <w:rPr>
          <w:rFonts w:ascii="Times New Roman" w:hAnsi="Times New Roman"/>
          <w:color w:val="000000"/>
          <w:sz w:val="24"/>
          <w:szCs w:val="24"/>
        </w:rPr>
        <w:t>Princeton.-</w:t>
      </w:r>
      <w:r w:rsidR="003969F7" w:rsidRPr="00197BD2">
        <w:rPr>
          <w:rFonts w:ascii="Times New Roman" w:hAnsi="Times New Roman"/>
          <w:color w:val="000000"/>
          <w:sz w:val="24"/>
          <w:szCs w:val="24"/>
        </w:rPr>
        <w:t xml:space="preserve"> </w:t>
      </w:r>
      <w:r w:rsidR="003969F7" w:rsidRPr="00902D7D">
        <w:rPr>
          <w:rFonts w:ascii="Times New Roman" w:hAnsi="Times New Roman"/>
          <w:color w:val="000000"/>
          <w:sz w:val="24"/>
          <w:szCs w:val="24"/>
          <w:u w:val="single"/>
        </w:rPr>
        <w:t xml:space="preserve">Que los ricos tienen más poder político que los pobres, incluso en países democráticos en los que todo el mundo tiene derecho a emitir su voto en las elecciones, no es noticia precisamente, pero dos expertos en ciencias políticas, Martin Gilens, de la Universidad de Princeton, y Benjamin Page, de la Universidad NorthWestern, han </w:t>
      </w:r>
      <w:r w:rsidR="003969F7" w:rsidRPr="00902D7D">
        <w:rPr>
          <w:rFonts w:ascii="Times New Roman" w:hAnsi="Times New Roman"/>
          <w:color w:val="000000"/>
          <w:sz w:val="24"/>
          <w:szCs w:val="24"/>
          <w:u w:val="single"/>
        </w:rPr>
        <w:lastRenderedPageBreak/>
        <w:t>presentado unas conclusiones desoladoras correspondientes a los Estados Unidos y que tienen consecuencias dramáticas para el funcionamiento de la democracia... en ese país y en otros.</w:t>
      </w:r>
    </w:p>
    <w:p w:rsidR="003969F7" w:rsidRPr="00197BD2" w:rsidRDefault="003969F7" w:rsidP="003969F7">
      <w:pPr>
        <w:shd w:val="clear" w:color="auto" w:fill="FFFFFF"/>
        <w:spacing w:after="360" w:line="240" w:lineRule="auto"/>
        <w:jc w:val="both"/>
        <w:rPr>
          <w:rFonts w:ascii="Times New Roman" w:hAnsi="Times New Roman"/>
          <w:color w:val="000000"/>
          <w:sz w:val="24"/>
          <w:szCs w:val="24"/>
        </w:rPr>
      </w:pPr>
      <w:r w:rsidRPr="00197BD2">
        <w:rPr>
          <w:rFonts w:ascii="Times New Roman" w:hAnsi="Times New Roman"/>
          <w:color w:val="000000"/>
          <w:sz w:val="24"/>
          <w:szCs w:val="24"/>
        </w:rPr>
        <w:t>La investigación de esos autores se basa en una labor anterior de Gilens, que recogió meticulosamente encuestas de opinión sobre casi 2.000 preguntas acerca de políticas de 1981 a 2002. Después los dos examinaron si el Gobierno Federal de los Estados Unidos adoptaba la política de que se tratara en el plazo de cuatro años después de la encuesta y rastrearon hasta qué punto se ajustaba el resultado a las preferencias de los votantes en diferentes puntos de la distribución de la renta.</w:t>
      </w:r>
    </w:p>
    <w:p w:rsidR="003969F7" w:rsidRPr="00197BD2" w:rsidRDefault="003969F7" w:rsidP="003969F7">
      <w:pPr>
        <w:shd w:val="clear" w:color="auto" w:fill="FFFFFF"/>
        <w:spacing w:after="360" w:line="240" w:lineRule="auto"/>
        <w:jc w:val="both"/>
        <w:rPr>
          <w:rFonts w:ascii="Times New Roman" w:hAnsi="Times New Roman"/>
          <w:color w:val="000000"/>
          <w:sz w:val="24"/>
          <w:szCs w:val="24"/>
        </w:rPr>
      </w:pPr>
      <w:r w:rsidRPr="00197BD2">
        <w:rPr>
          <w:rFonts w:ascii="Times New Roman" w:hAnsi="Times New Roman"/>
          <w:color w:val="000000"/>
          <w:sz w:val="24"/>
          <w:szCs w:val="24"/>
        </w:rPr>
        <w:t>Vistas aisladamente, las pr</w:t>
      </w:r>
      <w:r w:rsidR="009964D0">
        <w:rPr>
          <w:rFonts w:ascii="Times New Roman" w:hAnsi="Times New Roman"/>
          <w:color w:val="000000"/>
          <w:sz w:val="24"/>
          <w:szCs w:val="24"/>
        </w:rPr>
        <w:t>eferencias del votante “medio” -</w:t>
      </w:r>
      <w:r w:rsidRPr="00197BD2">
        <w:rPr>
          <w:rFonts w:ascii="Times New Roman" w:hAnsi="Times New Roman"/>
          <w:color w:val="000000"/>
          <w:sz w:val="24"/>
          <w:szCs w:val="24"/>
        </w:rPr>
        <w:t>es decir, un votante del nivel me</w:t>
      </w:r>
      <w:r w:rsidR="009964D0">
        <w:rPr>
          <w:rFonts w:ascii="Times New Roman" w:hAnsi="Times New Roman"/>
          <w:color w:val="000000"/>
          <w:sz w:val="24"/>
          <w:szCs w:val="24"/>
        </w:rPr>
        <w:t>dio de la distribución de renta-</w:t>
      </w:r>
      <w:r w:rsidRPr="00197BD2">
        <w:rPr>
          <w:rFonts w:ascii="Times New Roman" w:hAnsi="Times New Roman"/>
          <w:color w:val="000000"/>
          <w:sz w:val="24"/>
          <w:szCs w:val="24"/>
        </w:rPr>
        <w:t xml:space="preserve"> parecen tener una influencia muy positiva en la reacción del Gobierno en última instancia. Es mucho más probable que se promulgue una política que guste al votante medio.</w:t>
      </w:r>
    </w:p>
    <w:p w:rsidR="003969F7" w:rsidRPr="00197BD2" w:rsidRDefault="003969F7" w:rsidP="003969F7">
      <w:pPr>
        <w:shd w:val="clear" w:color="auto" w:fill="FFFFFF"/>
        <w:spacing w:after="360" w:line="240" w:lineRule="auto"/>
        <w:jc w:val="both"/>
        <w:rPr>
          <w:rFonts w:ascii="Times New Roman" w:hAnsi="Times New Roman"/>
          <w:color w:val="000000"/>
          <w:sz w:val="24"/>
          <w:szCs w:val="24"/>
        </w:rPr>
      </w:pPr>
      <w:r w:rsidRPr="00197BD2">
        <w:rPr>
          <w:rFonts w:ascii="Times New Roman" w:hAnsi="Times New Roman"/>
          <w:color w:val="000000"/>
          <w:sz w:val="24"/>
          <w:szCs w:val="24"/>
        </w:rPr>
        <w:t>Pero, como observan Gilens y Page, así se da una impresión engañosamente optimista de la representatividad de las decisiones de gobierno. Las preferencias del votante medio y de las minorías económicas selectas no son demasiado diferentes respecto de la mayoría de los asuntos normativos. Por ejemplo, a los dos grupos de votantes les gustaría que hubiera una fuerte defensa nacional y una economía sana. Un prueba mejor sería la de examinar lo que hace el Gobierno cuando los dos grupos tienen opiniones diferentes.</w:t>
      </w:r>
    </w:p>
    <w:p w:rsidR="003969F7" w:rsidRPr="00902D7D" w:rsidRDefault="003969F7" w:rsidP="003969F7">
      <w:pPr>
        <w:shd w:val="clear" w:color="auto" w:fill="FFFFFF"/>
        <w:spacing w:after="360" w:line="240" w:lineRule="auto"/>
        <w:jc w:val="both"/>
        <w:rPr>
          <w:rFonts w:ascii="Times New Roman" w:hAnsi="Times New Roman"/>
          <w:color w:val="000000"/>
          <w:sz w:val="24"/>
          <w:szCs w:val="24"/>
          <w:u w:val="single"/>
        </w:rPr>
      </w:pPr>
      <w:r w:rsidRPr="00902D7D">
        <w:rPr>
          <w:rFonts w:ascii="Times New Roman" w:hAnsi="Times New Roman"/>
          <w:color w:val="000000"/>
          <w:sz w:val="24"/>
          <w:szCs w:val="24"/>
          <w:u w:val="single"/>
        </w:rPr>
        <w:t>Para hacer esa prueba, Gilens y Page compararon las preferencias de los votantes medios con las de las minorías económicas selectas, definidas como las personas del décimo percentil del tramo superior de la distribución de la renta,  para ver qué votantes ejercen una mayor influencia. Descubrieron que el efecto del votante medio baja hasta niveles insignificantes, mientras que el de las minorías económicas selectas sigue siendo importante.</w:t>
      </w:r>
    </w:p>
    <w:p w:rsidR="003969F7" w:rsidRPr="00902D7D" w:rsidRDefault="003969F7" w:rsidP="003969F7">
      <w:pPr>
        <w:shd w:val="clear" w:color="auto" w:fill="FFFFFF"/>
        <w:spacing w:after="360" w:line="240" w:lineRule="auto"/>
        <w:jc w:val="both"/>
        <w:rPr>
          <w:rFonts w:ascii="Times New Roman" w:hAnsi="Times New Roman"/>
          <w:color w:val="FF0000"/>
          <w:sz w:val="24"/>
          <w:szCs w:val="24"/>
          <w:u w:val="single"/>
        </w:rPr>
      </w:pPr>
      <w:r w:rsidRPr="00902D7D">
        <w:rPr>
          <w:rFonts w:ascii="Times New Roman" w:hAnsi="Times New Roman"/>
          <w:color w:val="FF0000"/>
          <w:sz w:val="24"/>
          <w:szCs w:val="24"/>
          <w:u w:val="single"/>
        </w:rPr>
        <w:t>La consecuencia es clara: cuando los intereses de las minorías selectas difieren de los del resto de la sociedad, son sus opiniones las que cuentan... casi exclusivamente. (Como explican Gilens y Page, debemos concebir las preferencias del 10 por ciento del tramo superior como representativas de las opiniones de los verdaderamente ricos, el uno por ciento, pongamos por caso, del tramo superior: la verdadera minoría selecta.)</w:t>
      </w:r>
    </w:p>
    <w:p w:rsidR="003969F7" w:rsidRPr="00902D7D" w:rsidRDefault="003969F7" w:rsidP="003969F7">
      <w:pPr>
        <w:shd w:val="clear" w:color="auto" w:fill="FFFFFF"/>
        <w:spacing w:after="360" w:line="240" w:lineRule="auto"/>
        <w:jc w:val="both"/>
        <w:rPr>
          <w:rFonts w:ascii="Times New Roman" w:hAnsi="Times New Roman"/>
          <w:color w:val="FF0000"/>
          <w:sz w:val="24"/>
          <w:szCs w:val="24"/>
          <w:u w:val="single"/>
        </w:rPr>
      </w:pPr>
      <w:r w:rsidRPr="00902D7D">
        <w:rPr>
          <w:rFonts w:ascii="Times New Roman" w:hAnsi="Times New Roman"/>
          <w:color w:val="FF0000"/>
          <w:sz w:val="24"/>
          <w:szCs w:val="24"/>
          <w:u w:val="single"/>
        </w:rPr>
        <w:t>Gilens y Page presentan resultados similares en el caso de los grupos de intereses organizados, que ejercen una poderosa influencia en la formulación de las políticas. Como señalan estos autores, una vez que se tienen en cuenta las orientaciones de los grupos de intereses y las preferencias de los americanos opulentos, “lo que piensa el publicó en general tiene muy poca importancia”.</w:t>
      </w:r>
    </w:p>
    <w:p w:rsidR="003969F7" w:rsidRPr="00902D7D" w:rsidRDefault="003969F7" w:rsidP="003969F7">
      <w:pPr>
        <w:shd w:val="clear" w:color="auto" w:fill="FFFFFF"/>
        <w:spacing w:after="360" w:line="240" w:lineRule="auto"/>
        <w:jc w:val="both"/>
        <w:rPr>
          <w:rFonts w:ascii="Times New Roman" w:hAnsi="Times New Roman"/>
          <w:color w:val="000000"/>
          <w:sz w:val="24"/>
          <w:szCs w:val="24"/>
          <w:u w:val="single"/>
        </w:rPr>
      </w:pPr>
      <w:r w:rsidRPr="00902D7D">
        <w:rPr>
          <w:rFonts w:ascii="Times New Roman" w:hAnsi="Times New Roman"/>
          <w:color w:val="000000"/>
          <w:sz w:val="24"/>
          <w:szCs w:val="24"/>
          <w:u w:val="single"/>
        </w:rPr>
        <w:t>Esos resultados descorazonadores plantean una cuestión importante: ¿cómo es que resultan elegidos unos políticos que no atienden los intereses de la inm</w:t>
      </w:r>
      <w:r w:rsidR="009964D0">
        <w:rPr>
          <w:rFonts w:ascii="Times New Roman" w:hAnsi="Times New Roman"/>
          <w:color w:val="000000"/>
          <w:sz w:val="24"/>
          <w:szCs w:val="24"/>
          <w:u w:val="single"/>
        </w:rPr>
        <w:t>ensa mayoría de sus votantes y -lo que es más importante-</w:t>
      </w:r>
      <w:r w:rsidRPr="00902D7D">
        <w:rPr>
          <w:rFonts w:ascii="Times New Roman" w:hAnsi="Times New Roman"/>
          <w:color w:val="000000"/>
          <w:sz w:val="24"/>
          <w:szCs w:val="24"/>
          <w:u w:val="single"/>
        </w:rPr>
        <w:t xml:space="preserve"> reelegidos, mientras que atienden más que nada a los deseos de los más ricos?</w:t>
      </w:r>
    </w:p>
    <w:p w:rsidR="003969F7" w:rsidRPr="00902D7D" w:rsidRDefault="003969F7" w:rsidP="003969F7">
      <w:pPr>
        <w:shd w:val="clear" w:color="auto" w:fill="FFFFFF"/>
        <w:spacing w:after="360" w:line="240" w:lineRule="auto"/>
        <w:jc w:val="both"/>
        <w:rPr>
          <w:rFonts w:ascii="Times New Roman" w:hAnsi="Times New Roman"/>
          <w:color w:val="000000"/>
          <w:sz w:val="24"/>
          <w:szCs w:val="24"/>
          <w:u w:val="single"/>
        </w:rPr>
      </w:pPr>
      <w:r w:rsidRPr="00902D7D">
        <w:rPr>
          <w:rFonts w:ascii="Times New Roman" w:hAnsi="Times New Roman"/>
          <w:color w:val="000000"/>
          <w:sz w:val="24"/>
          <w:szCs w:val="24"/>
          <w:u w:val="single"/>
        </w:rPr>
        <w:lastRenderedPageBreak/>
        <w:t>Una parte de la explicación puede ser la de que la mayoría de los votantes tienen una comprensión deficiente del funcionamiento del sistema político y de que está orientado a favor de la minoría económica selecta. Como subrayan Gilens y Page, sus resultados no significan que la política del Gobierno empeore la situación económica de los ciudadanos medios. Los ciudadanos de a pie con frecuencia consiguen lo que desean, en virtud de que sus preferencias son con frecuencia similares a las de la minoría selecta. Esa correlación de las preferencias de los dos grupos puede dificultar a los votantes la posibilidad de discernir la parcialidad de los políticos.</w:t>
      </w:r>
    </w:p>
    <w:p w:rsidR="003969F7" w:rsidRPr="00902D7D" w:rsidRDefault="003969F7" w:rsidP="003969F7">
      <w:pPr>
        <w:shd w:val="clear" w:color="auto" w:fill="FFFFFF"/>
        <w:spacing w:after="360" w:line="240" w:lineRule="auto"/>
        <w:jc w:val="both"/>
        <w:rPr>
          <w:rFonts w:ascii="Times New Roman" w:hAnsi="Times New Roman"/>
          <w:color w:val="000000"/>
          <w:sz w:val="24"/>
          <w:szCs w:val="24"/>
          <w:u w:val="single"/>
        </w:rPr>
      </w:pPr>
      <w:r w:rsidRPr="00902D7D">
        <w:rPr>
          <w:rFonts w:ascii="Times New Roman" w:hAnsi="Times New Roman"/>
          <w:color w:val="000000"/>
          <w:sz w:val="24"/>
          <w:szCs w:val="24"/>
          <w:u w:val="single"/>
        </w:rPr>
        <w:t>Pero otra –y más perniciosa– parte de la respuesta puede estribar en las estrategias a las que los dirigentes políticos recurren para obtener su elección. Un político que represente primordialmente los intereses de las minorías económicas selectas debe encontrar otros medios de atraerse a las masas. Esa otra opción está representada por la política de nacionalismo, sectarismo e identidad: una política basada en valores y símbolos culturales en lugar de intereses básicos. Cuando la política se basa en esos argumentos, ganan las elecciones quienes logran “estimular” mejor nuestros marcadores culturales y psicológicos latentes, no los que representan mejor nuestros intereses.</w:t>
      </w:r>
    </w:p>
    <w:p w:rsidR="003969F7" w:rsidRPr="00902D7D" w:rsidRDefault="003969F7" w:rsidP="003969F7">
      <w:pPr>
        <w:shd w:val="clear" w:color="auto" w:fill="FFFFFF"/>
        <w:spacing w:after="360" w:line="240" w:lineRule="auto"/>
        <w:jc w:val="both"/>
        <w:rPr>
          <w:rFonts w:ascii="Times New Roman" w:hAnsi="Times New Roman"/>
          <w:color w:val="FF0000"/>
          <w:sz w:val="24"/>
          <w:szCs w:val="24"/>
          <w:u w:val="single"/>
        </w:rPr>
      </w:pPr>
      <w:r w:rsidRPr="00902D7D">
        <w:rPr>
          <w:rFonts w:ascii="Times New Roman" w:hAnsi="Times New Roman"/>
          <w:color w:val="FF0000"/>
          <w:sz w:val="24"/>
          <w:szCs w:val="24"/>
          <w:u w:val="single"/>
        </w:rPr>
        <w:t>Una máxima célebre de Karl Marx fue la de que la r</w:t>
      </w:r>
      <w:r w:rsidR="00491864">
        <w:rPr>
          <w:rFonts w:ascii="Times New Roman" w:hAnsi="Times New Roman"/>
          <w:color w:val="FF0000"/>
          <w:sz w:val="24"/>
          <w:szCs w:val="24"/>
          <w:u w:val="single"/>
        </w:rPr>
        <w:t>eligión es “el opio del pueblo”.</w:t>
      </w:r>
      <w:r w:rsidRPr="00902D7D">
        <w:rPr>
          <w:rFonts w:ascii="Times New Roman" w:hAnsi="Times New Roman"/>
          <w:color w:val="FF0000"/>
          <w:sz w:val="24"/>
          <w:szCs w:val="24"/>
          <w:u w:val="single"/>
        </w:rPr>
        <w:t xml:space="preserve"> Lo que quería decir era que el sentimiento religioso podía ocultar las privaciones materiales que los trabajadores y otras personas explotadas experimentan en su vida diaria.</w:t>
      </w:r>
    </w:p>
    <w:p w:rsidR="003969F7" w:rsidRPr="00902D7D" w:rsidRDefault="003969F7" w:rsidP="003969F7">
      <w:pPr>
        <w:shd w:val="clear" w:color="auto" w:fill="FFFFFF"/>
        <w:spacing w:after="360" w:line="240" w:lineRule="auto"/>
        <w:jc w:val="both"/>
        <w:rPr>
          <w:rFonts w:ascii="Times New Roman" w:hAnsi="Times New Roman"/>
          <w:color w:val="FF0000"/>
          <w:sz w:val="24"/>
          <w:szCs w:val="24"/>
          <w:u w:val="single"/>
        </w:rPr>
      </w:pPr>
      <w:r w:rsidRPr="00902D7D">
        <w:rPr>
          <w:rFonts w:ascii="Times New Roman" w:hAnsi="Times New Roman"/>
          <w:color w:val="FF0000"/>
          <w:sz w:val="24"/>
          <w:szCs w:val="24"/>
          <w:u w:val="single"/>
        </w:rPr>
        <w:t>De forma muy semejante, el ascenso de la derecha religiosa y con ella las guerras culturales sobre los “valores de la familia” y otros asuntos muy polarizadores (por ejemplo, la inmigración) han servido para aislar la política americana del rápido aumento de la desigualdad económica desde finales del decenio de 1970. A consecuencia de ello, los conservadores han podido conservar el poder, pese a su aplicación de políticas económicas y sociales negativas para los intereses de las clases medias y bajas.</w:t>
      </w:r>
    </w:p>
    <w:p w:rsidR="003969F7" w:rsidRPr="00902D7D" w:rsidRDefault="003969F7" w:rsidP="003969F7">
      <w:pPr>
        <w:shd w:val="clear" w:color="auto" w:fill="FFFFFF"/>
        <w:spacing w:after="360" w:line="240" w:lineRule="auto"/>
        <w:jc w:val="both"/>
        <w:rPr>
          <w:rFonts w:ascii="Times New Roman" w:hAnsi="Times New Roman"/>
          <w:color w:val="000000"/>
          <w:sz w:val="24"/>
          <w:szCs w:val="24"/>
          <w:u w:val="single"/>
        </w:rPr>
      </w:pPr>
      <w:r w:rsidRPr="00197BD2">
        <w:rPr>
          <w:rFonts w:ascii="Times New Roman" w:hAnsi="Times New Roman"/>
          <w:color w:val="000000"/>
          <w:sz w:val="24"/>
          <w:szCs w:val="24"/>
        </w:rPr>
        <w:t xml:space="preserve">La política de la identidad es maligna, porque suele trazar límites en torno a un grupo privilegiado y requiere la exclusión de quienes no pertenecen a él: los de otros países, valores, religiones o etnias. </w:t>
      </w:r>
      <w:r w:rsidRPr="00902D7D">
        <w:rPr>
          <w:rFonts w:ascii="Times New Roman" w:hAnsi="Times New Roman"/>
          <w:color w:val="000000"/>
          <w:sz w:val="24"/>
          <w:szCs w:val="24"/>
          <w:u w:val="single"/>
        </w:rPr>
        <w:t xml:space="preserve">Se ve con la mayor claridad en las democracias no liberales, como, por ejemplo, Rusia, Turquía y Hungría. Para solidificar su base electoral, los dirigentes de esos países apelan intensamente a los símbolos nacionales, culturales y religiosos. </w:t>
      </w:r>
    </w:p>
    <w:p w:rsidR="003969F7" w:rsidRPr="00197BD2" w:rsidRDefault="003969F7" w:rsidP="003969F7">
      <w:pPr>
        <w:shd w:val="clear" w:color="auto" w:fill="FFFFFF"/>
        <w:spacing w:after="360" w:line="240" w:lineRule="auto"/>
        <w:jc w:val="both"/>
        <w:rPr>
          <w:rFonts w:ascii="Times New Roman" w:hAnsi="Times New Roman"/>
          <w:color w:val="000000"/>
          <w:sz w:val="24"/>
          <w:szCs w:val="24"/>
        </w:rPr>
      </w:pPr>
      <w:r w:rsidRPr="00902D7D">
        <w:rPr>
          <w:rFonts w:ascii="Times New Roman" w:hAnsi="Times New Roman"/>
          <w:color w:val="000000"/>
          <w:sz w:val="24"/>
          <w:szCs w:val="24"/>
          <w:u w:val="single"/>
        </w:rPr>
        <w:t>Al hacerlo, suelen inflamar las pasiones contra las minorías religiosas y étnicas</w:t>
      </w:r>
      <w:r w:rsidRPr="00197BD2">
        <w:rPr>
          <w:rFonts w:ascii="Times New Roman" w:hAnsi="Times New Roman"/>
          <w:color w:val="000000"/>
          <w:sz w:val="24"/>
          <w:szCs w:val="24"/>
        </w:rPr>
        <w:t>. Para regímenes que representan a minorías económicas selectas (y con frecuencia son profundamente corruptos), es una estratagema que da resultados estupendos en las urnas.</w:t>
      </w:r>
    </w:p>
    <w:p w:rsidR="003969F7" w:rsidRPr="00902D7D" w:rsidRDefault="003969F7" w:rsidP="003969F7">
      <w:pPr>
        <w:shd w:val="clear" w:color="auto" w:fill="FFFFFF"/>
        <w:spacing w:after="360" w:line="240" w:lineRule="auto"/>
        <w:jc w:val="both"/>
        <w:rPr>
          <w:rFonts w:ascii="Times New Roman" w:hAnsi="Times New Roman"/>
          <w:color w:val="FF0000"/>
          <w:sz w:val="24"/>
          <w:szCs w:val="24"/>
          <w:u w:val="single"/>
        </w:rPr>
      </w:pPr>
      <w:r w:rsidRPr="00902D7D">
        <w:rPr>
          <w:rFonts w:ascii="Times New Roman" w:hAnsi="Times New Roman"/>
          <w:color w:val="FF0000"/>
          <w:sz w:val="24"/>
          <w:szCs w:val="24"/>
          <w:u w:val="single"/>
        </w:rPr>
        <w:t>Así, pues, la desigualdad en aumento en los países avanzados y en desarrollo del mundo inflige dos golpes a la política democrática. No sólo contribuye a perjudicar más a las clases medias y bajas, sino que, además, fomenta entre la minoría selecta una dañina política de sectarismo.</w:t>
      </w:r>
    </w:p>
    <w:p w:rsidR="003969F7" w:rsidRDefault="003969F7" w:rsidP="003969F7">
      <w:pPr>
        <w:shd w:val="clear" w:color="auto" w:fill="FFFFFF"/>
        <w:spacing w:after="360" w:line="240" w:lineRule="auto"/>
        <w:jc w:val="both"/>
        <w:rPr>
          <w:rFonts w:ascii="Times New Roman" w:hAnsi="Times New Roman"/>
          <w:color w:val="000000"/>
          <w:sz w:val="24"/>
          <w:szCs w:val="24"/>
          <w:lang w:val="en-US"/>
        </w:rPr>
      </w:pPr>
      <w:r w:rsidRPr="00197BD2">
        <w:rPr>
          <w:rFonts w:ascii="Times New Roman" w:hAnsi="Times New Roman"/>
          <w:color w:val="000000"/>
          <w:sz w:val="24"/>
          <w:szCs w:val="24"/>
          <w:lang w:val="en-US"/>
        </w:rPr>
        <w:lastRenderedPageBreak/>
        <w:t>(Dani Rodrik is Professor of Social Science at the Institute for Advanced Study, Princeton, New Jersey. He is the author of One Economics, Many Recipes: Globalization, Institutions, and Economic Growth and, most recently, The Globalization Paradox: Democracy and the Future of the World Economy.…)</w:t>
      </w:r>
    </w:p>
    <w:p w:rsidR="003969F7" w:rsidRPr="0009766A"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09766A">
        <w:rPr>
          <w:rFonts w:ascii="Times New Roman" w:hAnsi="Times New Roman"/>
          <w:color w:val="000000"/>
          <w:sz w:val="24"/>
          <w:szCs w:val="24"/>
          <w:u w:val="single"/>
        </w:rPr>
        <w:t>ISIS, una crisis para Turquía</w:t>
      </w:r>
      <w:r>
        <w:rPr>
          <w:rFonts w:ascii="Times New Roman" w:hAnsi="Times New Roman"/>
          <w:color w:val="000000"/>
          <w:sz w:val="24"/>
          <w:szCs w:val="24"/>
        </w:rPr>
        <w:t xml:space="preserve"> (Project Syndicate - </w:t>
      </w:r>
      <w:r w:rsidRPr="0009766A">
        <w:rPr>
          <w:rFonts w:ascii="Times New Roman" w:hAnsi="Times New Roman"/>
          <w:b/>
          <w:color w:val="000000"/>
          <w:sz w:val="24"/>
          <w:szCs w:val="24"/>
        </w:rPr>
        <w:t>2/10/14</w:t>
      </w:r>
      <w:r>
        <w:rPr>
          <w:rFonts w:ascii="Times New Roman" w:hAnsi="Times New Roman"/>
          <w:color w:val="000000"/>
          <w:sz w:val="24"/>
          <w:szCs w:val="24"/>
        </w:rPr>
        <w:t>)</w:t>
      </w:r>
    </w:p>
    <w:p w:rsidR="003969F7" w:rsidRPr="00361EB5" w:rsidRDefault="009964D0" w:rsidP="003969F7">
      <w:pPr>
        <w:shd w:val="clear" w:color="auto" w:fill="FFFFFF"/>
        <w:spacing w:before="100" w:beforeAutospacing="1" w:after="100" w:afterAutospacing="1" w:line="240" w:lineRule="auto"/>
        <w:jc w:val="both"/>
        <w:rPr>
          <w:rFonts w:ascii="Times New Roman" w:hAnsi="Times New Roman"/>
          <w:color w:val="000000"/>
          <w:sz w:val="24"/>
          <w:szCs w:val="24"/>
          <w:u w:val="single"/>
        </w:rPr>
      </w:pPr>
      <w:r>
        <w:rPr>
          <w:rFonts w:ascii="Times New Roman" w:hAnsi="Times New Roman"/>
          <w:color w:val="000000"/>
          <w:sz w:val="24"/>
          <w:szCs w:val="24"/>
        </w:rPr>
        <w:t>Estambul.-</w:t>
      </w:r>
      <w:r w:rsidR="003969F7" w:rsidRPr="0009766A">
        <w:rPr>
          <w:rFonts w:ascii="Times New Roman" w:hAnsi="Times New Roman"/>
          <w:color w:val="000000"/>
          <w:sz w:val="24"/>
          <w:szCs w:val="24"/>
        </w:rPr>
        <w:t xml:space="preserve"> </w:t>
      </w:r>
      <w:r w:rsidR="003969F7" w:rsidRPr="00361EB5">
        <w:rPr>
          <w:rFonts w:ascii="Times New Roman" w:hAnsi="Times New Roman"/>
          <w:color w:val="000000"/>
          <w:sz w:val="24"/>
          <w:szCs w:val="24"/>
          <w:u w:val="single"/>
        </w:rPr>
        <w:t xml:space="preserve">El reciente regreso </w:t>
      </w:r>
      <w:r w:rsidR="00C853E5" w:rsidRPr="00361EB5">
        <w:rPr>
          <w:rFonts w:ascii="Times New Roman" w:hAnsi="Times New Roman"/>
          <w:color w:val="000000"/>
          <w:sz w:val="24"/>
          <w:szCs w:val="24"/>
          <w:u w:val="single"/>
        </w:rPr>
        <w:t>sano y salvo</w:t>
      </w:r>
      <w:r w:rsidR="003969F7" w:rsidRPr="00361EB5">
        <w:rPr>
          <w:rFonts w:ascii="Times New Roman" w:hAnsi="Times New Roman"/>
          <w:color w:val="000000"/>
          <w:sz w:val="24"/>
          <w:szCs w:val="24"/>
          <w:u w:val="single"/>
        </w:rPr>
        <w:t xml:space="preserve"> de 46 rehenes turcos del Estado Islámico generó en Estados Unidos esperanzas de que finalmente Turquía se comprometa a unirse a la coalición internacional que ahora combate a la milicia islámica. Pero la voluntad turca de sumarse todavía debe superar dos escollos: la herencia de la desafortunada política de Ankara hacia Siria y una desconexión estratégica fundamental entre los gobiernos de Recep Tayyip Erdoğan y Barack Obama.</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361EB5">
        <w:rPr>
          <w:rFonts w:ascii="Times New Roman" w:hAnsi="Times New Roman"/>
          <w:color w:val="FF0000"/>
          <w:sz w:val="24"/>
          <w:szCs w:val="24"/>
          <w:u w:val="single"/>
        </w:rPr>
        <w:t>Desde el comienzo de la guerra civil siria, hace tres años, Turquía proveyó apoyo logístico y financiero a casi todos los elementos de la oposición siria, y les permitió usar el territorio turco para reagruparse tras sus operaciones militares al otro lado de la frontera. Comprometida con un cambio de régimen en Siria, Turquía hizo la vista gorda ante las tácticas brutales, las ideologías radicales y las ambiciones desmedidas de algunos de estos grupos; ahora se teme que esta condescendencia haya permitido al Estado Islámico infiltrarse en Turquía y preparar los medios para ejecutar actos terroristas en suelo turco, con lo que podría tomar represalias contra la participación de Ankara en la coalición liderada por Estados Unidos.</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FF0000"/>
          <w:sz w:val="24"/>
          <w:szCs w:val="24"/>
          <w:u w:val="single"/>
        </w:rPr>
      </w:pPr>
      <w:r w:rsidRPr="00361EB5">
        <w:rPr>
          <w:rFonts w:ascii="Times New Roman" w:hAnsi="Times New Roman"/>
          <w:color w:val="FF0000"/>
          <w:sz w:val="24"/>
          <w:szCs w:val="24"/>
          <w:u w:val="single"/>
        </w:rPr>
        <w:t>Pero la reticencia de Turquía a integrarse a la coalición esconde algo más. Entre Turquía y Estados Unidos hay un desacuerdo básico respecto de cómo interpretar y enfrentar la amenaza del Estado Islámico. En pocas palabras, para Estados Unidos el Estado Islámico es el problema más apremiante de Medio Oriente, mientras que para Turquía es un síntoma de patologías más profundas.</w:t>
      </w:r>
    </w:p>
    <w:p w:rsidR="003969F7" w:rsidRPr="0009766A"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rPr>
      </w:pPr>
      <w:r w:rsidRPr="0009766A">
        <w:rPr>
          <w:rFonts w:ascii="Times New Roman" w:hAnsi="Times New Roman"/>
          <w:color w:val="000000"/>
          <w:sz w:val="24"/>
          <w:szCs w:val="24"/>
        </w:rPr>
        <w:t>Según la visión turca, una campaña cuyo solo objetivo sea destruir al Estado Islámico no impedirá que aparezcan amenazas similares en un futuro cercano. Y a diferencia de Estados Unidos, los países de Medio Oriente y sus vecinos no pueden ejecutar un “giro estratégico” hacia otra región si las consecuencias de intervenciones mal planif</w:t>
      </w:r>
      <w:r>
        <w:rPr>
          <w:rFonts w:ascii="Times New Roman" w:hAnsi="Times New Roman"/>
          <w:color w:val="000000"/>
          <w:sz w:val="24"/>
          <w:szCs w:val="24"/>
        </w:rPr>
        <w:t>icadas se les van de las manos.</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361EB5">
        <w:rPr>
          <w:rFonts w:ascii="Times New Roman" w:hAnsi="Times New Roman"/>
          <w:color w:val="000000"/>
          <w:sz w:val="24"/>
          <w:szCs w:val="24"/>
          <w:u w:val="single"/>
        </w:rPr>
        <w:t>En este contexto, los líderes turcos creen que la respuesta internacional al Estado Islámico debe ser mucho más ambiciosa: el objetivo debe ser reparar las causas subyacentes del actual desorden. Esto incluye convencer al nuevo gobierno iraquí de que abandone el sectarismo del ex primer ministro Nuri Al Maliki y ayudarlo a proveer servicios sanitarios, educativos y municipales básicos a todos los ciudadanos de Irak.</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361EB5">
        <w:rPr>
          <w:rFonts w:ascii="Times New Roman" w:hAnsi="Times New Roman"/>
          <w:color w:val="000000"/>
          <w:sz w:val="24"/>
          <w:szCs w:val="24"/>
          <w:u w:val="single"/>
        </w:rPr>
        <w:t>En cuanto a Siria, el único camino creíble hacia la normalidad pasa por obligar al presidente Bashar Al Assad a ceder poder. A tal fin, Estados Unidos y sus aliados deberían pensar en golpear los bastiones de Assad en Siria y crear áreas seguras para la oposición moderada bajo el manto protector de una zona de exclusión aérea.</w:t>
      </w:r>
    </w:p>
    <w:p w:rsidR="003969F7" w:rsidRPr="0009766A"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rPr>
      </w:pPr>
      <w:r w:rsidRPr="0009766A">
        <w:rPr>
          <w:rFonts w:ascii="Times New Roman" w:hAnsi="Times New Roman"/>
          <w:color w:val="000000"/>
          <w:sz w:val="24"/>
          <w:szCs w:val="24"/>
        </w:rPr>
        <w:t>En esto Turquía podría tener un papel central. La creación de áreas seguras para los sirios desplazados por el conflicto es vital para Turquía, que desde el comienzo de la crisis en 2011 recibió a más de un millón de refugiados sirios en su territorio.</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361EB5">
        <w:rPr>
          <w:rFonts w:ascii="Times New Roman" w:hAnsi="Times New Roman"/>
          <w:color w:val="000000"/>
          <w:sz w:val="24"/>
          <w:szCs w:val="24"/>
          <w:u w:val="single"/>
        </w:rPr>
        <w:lastRenderedPageBreak/>
        <w:t>En un solo fin de semana tras ataques del Estado Islámico sobre enclaves kurdos, cruzaron la frontera con Turquía más de 120.000 refugiados. Esta cifra es aproximadamente igual al número de sirios a los que se les permitió buscar refugio en toda la Unión Europea desde 2011.</w:t>
      </w:r>
    </w:p>
    <w:p w:rsidR="003969F7" w:rsidRPr="00361EB5"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u w:val="single"/>
        </w:rPr>
      </w:pPr>
      <w:r w:rsidRPr="00361EB5">
        <w:rPr>
          <w:rFonts w:ascii="Times New Roman" w:hAnsi="Times New Roman"/>
          <w:color w:val="000000"/>
          <w:sz w:val="24"/>
          <w:szCs w:val="24"/>
          <w:u w:val="single"/>
        </w:rPr>
        <w:t>No hay duda de que una campaña militar conjunta contra el Estado Islámico creará más desplazados en Siria, pero para Turquía, eso no implica que deban cruzar la frontera para obtener seguridad. En cambio, Turquía propone crear infraestructuras para atender las necesidades de la población siria desplazada, dentro de las fronteras de su país. Pero estos proyectos sólo tendrán sentido en el contexto de áreas seguras garantizadas por la comunidad internacional y protegidas por una zona de exclusión aérea.</w:t>
      </w:r>
    </w:p>
    <w:p w:rsidR="003969F7" w:rsidRPr="0009766A"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rPr>
      </w:pPr>
      <w:r w:rsidRPr="00361EB5">
        <w:rPr>
          <w:rFonts w:ascii="Times New Roman" w:hAnsi="Times New Roman"/>
          <w:color w:val="FF0000"/>
          <w:sz w:val="24"/>
          <w:szCs w:val="24"/>
          <w:u w:val="single"/>
        </w:rPr>
        <w:t>El Estado Islámico plantea una amenaza mayor para Turquía que para cualquier otro país occidental, de modo que Turquía está obligada a participar en la campaña en su contra</w:t>
      </w:r>
      <w:r w:rsidRPr="0009766A">
        <w:rPr>
          <w:rFonts w:ascii="Times New Roman" w:hAnsi="Times New Roman"/>
          <w:color w:val="000000"/>
          <w:sz w:val="24"/>
          <w:szCs w:val="24"/>
        </w:rPr>
        <w:t>. Esto implica, antes que nada, aplicar puertas adentro una política de tolerancia cero que impida al Estado Islámico recabar financiación y adeptos en suelo turco. También es esencial una mejora continua de la seguridad fronteriza y una mayor cooperación con los organismos de inteligencia occidentales en la cuestión d</w:t>
      </w:r>
      <w:r>
        <w:rPr>
          <w:rFonts w:ascii="Times New Roman" w:hAnsi="Times New Roman"/>
          <w:color w:val="000000"/>
          <w:sz w:val="24"/>
          <w:szCs w:val="24"/>
        </w:rPr>
        <w:t>e los combatientes extranjeros.</w:t>
      </w:r>
    </w:p>
    <w:p w:rsidR="003969F7"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rPr>
      </w:pPr>
      <w:r w:rsidRPr="0009766A">
        <w:rPr>
          <w:rFonts w:ascii="Times New Roman" w:hAnsi="Times New Roman"/>
          <w:color w:val="000000"/>
          <w:sz w:val="24"/>
          <w:szCs w:val="24"/>
        </w:rPr>
        <w:t>Pero la necesidad turca de combatir al Estado Islámico no anula ni invalida las inquietudes de los líderes turcos respecto de los objetivos de Obama a largo plazo. Para que Estados Unidos y Turquía puedan colaborar en la erradicación del Estado Islámico, primero deben acordar una estrategia duradera para restablecer cierta apariencia de orden en una región convulsionada.</w:t>
      </w:r>
    </w:p>
    <w:p w:rsidR="003969F7" w:rsidRPr="0009766A" w:rsidRDefault="003969F7" w:rsidP="003969F7">
      <w:pPr>
        <w:shd w:val="clear" w:color="auto" w:fill="FFFFFF"/>
        <w:spacing w:before="100" w:beforeAutospacing="1" w:after="100" w:afterAutospacing="1"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09766A">
        <w:rPr>
          <w:rFonts w:ascii="Times New Roman" w:hAnsi="Times New Roman"/>
          <w:color w:val="000000"/>
          <w:sz w:val="24"/>
          <w:szCs w:val="24"/>
          <w:lang w:val="en-US"/>
        </w:rPr>
        <w:t>Sinan Ülgen is Chairman of the Istanbul-based Center for Economics and Foreign Policy Studies (EDAM) and a visiting scholar</w:t>
      </w:r>
      <w:r>
        <w:rPr>
          <w:rFonts w:ascii="Times New Roman" w:hAnsi="Times New Roman"/>
          <w:color w:val="000000"/>
          <w:sz w:val="24"/>
          <w:szCs w:val="24"/>
          <w:lang w:val="en-US"/>
        </w:rPr>
        <w:t xml:space="preserve"> at Carnegie Europe in Brussels)</w:t>
      </w:r>
    </w:p>
    <w:p w:rsidR="003969F7" w:rsidRPr="00A80B06" w:rsidRDefault="003969F7" w:rsidP="003969F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9964D0">
        <w:rPr>
          <w:rFonts w:ascii="Times New Roman" w:eastAsia="Times New Roman" w:hAnsi="Times New Roman" w:cs="Times New Roman"/>
          <w:sz w:val="24"/>
          <w:szCs w:val="24"/>
          <w:u w:val="single"/>
          <w:lang w:eastAsia="es-ES"/>
        </w:rPr>
        <w:t>El nuevo palacio del “sultán”</w:t>
      </w:r>
      <w:r w:rsidRPr="00A80B06">
        <w:rPr>
          <w:rFonts w:ascii="Times New Roman" w:eastAsia="Times New Roman" w:hAnsi="Times New Roman" w:cs="Times New Roman"/>
          <w:sz w:val="24"/>
          <w:szCs w:val="24"/>
          <w:u w:val="single"/>
          <w:lang w:eastAsia="es-ES"/>
        </w:rPr>
        <w:t xml:space="preserve"> Erdogan</w:t>
      </w:r>
      <w:r>
        <w:rPr>
          <w:rFonts w:ascii="Times New Roman" w:eastAsia="Times New Roman" w:hAnsi="Times New Roman" w:cs="Times New Roman"/>
          <w:sz w:val="24"/>
          <w:szCs w:val="24"/>
          <w:lang w:eastAsia="es-ES"/>
        </w:rPr>
        <w:t xml:space="preserve"> (El Confidencial - </w:t>
      </w:r>
      <w:r w:rsidRPr="00A80B06">
        <w:rPr>
          <w:rFonts w:ascii="Times New Roman" w:eastAsia="Times New Roman" w:hAnsi="Times New Roman" w:cs="Times New Roman"/>
          <w:b/>
          <w:sz w:val="24"/>
          <w:szCs w:val="24"/>
          <w:lang w:eastAsia="es-ES"/>
        </w:rPr>
        <w:t>11/11/14</w:t>
      </w:r>
      <w:r>
        <w:rPr>
          <w:rFonts w:ascii="Times New Roman" w:eastAsia="Times New Roman" w:hAnsi="Times New Roman" w:cs="Times New Roman"/>
          <w:sz w:val="24"/>
          <w:szCs w:val="24"/>
          <w:lang w:eastAsia="es-ES"/>
        </w:rPr>
        <w:t>)</w:t>
      </w:r>
    </w:p>
    <w:p w:rsidR="003969F7" w:rsidRDefault="003969F7" w:rsidP="003969F7">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Andrés Mourenza)</w:t>
      </w:r>
    </w:p>
    <w:p w:rsidR="003969F7" w:rsidRPr="006B2E28" w:rsidRDefault="003969F7" w:rsidP="003969F7">
      <w:pPr>
        <w:pStyle w:val="NormalWeb"/>
        <w:jc w:val="both"/>
        <w:rPr>
          <w:u w:val="single"/>
        </w:rPr>
      </w:pPr>
      <w:r w:rsidRPr="006B2E28">
        <w:rPr>
          <w:u w:val="single"/>
        </w:rPr>
        <w:t xml:space="preserve">Piensen en el Palacio Real de Madrid, en el Palacio de Buckingham o en el de Versalles. Los tres fueron residencias reales y, construidas entre los siglos XVII y XVIII, reflejan la fastuosidad propia de la monarquía absoluta. A ellos sólo puede compararse en dimensiones el </w:t>
      </w:r>
      <w:r w:rsidRPr="006B2E28">
        <w:rPr>
          <w:rStyle w:val="Textoennegrita"/>
          <w:u w:val="single"/>
        </w:rPr>
        <w:t xml:space="preserve">recién estrenado palacio del </w:t>
      </w:r>
      <w:hyperlink r:id="rId49" w:history="1">
        <w:r w:rsidRPr="009964D0">
          <w:rPr>
            <w:rStyle w:val="Hipervnculo"/>
            <w:color w:val="auto"/>
            <w:u w:val="single"/>
          </w:rPr>
          <w:t>presidente turco, Recep Tayyip Erdogan</w:t>
        </w:r>
      </w:hyperlink>
      <w:r w:rsidRPr="009964D0">
        <w:rPr>
          <w:u w:val="single"/>
        </w:rPr>
        <w:t xml:space="preserve">, </w:t>
      </w:r>
      <w:r w:rsidRPr="006B2E28">
        <w:rPr>
          <w:u w:val="single"/>
        </w:rPr>
        <w:t xml:space="preserve">levantado en Ankara sobre un terreno de más de 20 hectáreas y cuyos edificios ocupan una superficie de unos </w:t>
      </w:r>
      <w:r w:rsidRPr="006B2E28">
        <w:rPr>
          <w:rStyle w:val="Textoennegrita"/>
          <w:u w:val="single"/>
        </w:rPr>
        <w:t>40.000 metros cuadrados</w:t>
      </w:r>
      <w:r w:rsidRPr="006B2E28">
        <w:rPr>
          <w:u w:val="single"/>
        </w:rPr>
        <w:t>. Las residencias de los jefes de Estado de las pr</w:t>
      </w:r>
      <w:r w:rsidR="009B2F21">
        <w:rPr>
          <w:u w:val="single"/>
        </w:rPr>
        <w:t>incipales repúblicas del mundo -</w:t>
      </w:r>
      <w:r w:rsidRPr="006B2E28">
        <w:rPr>
          <w:u w:val="single"/>
        </w:rPr>
        <w:t xml:space="preserve">incluidos la Casa Blanca de Obama, el Palacio del Eliseo de Hollande o el Palacio del Senado del Kremlin, </w:t>
      </w:r>
      <w:r w:rsidR="009B2F21">
        <w:rPr>
          <w:u w:val="single"/>
        </w:rPr>
        <w:t>sede de la presidencia de Putin-</w:t>
      </w:r>
      <w:r w:rsidRPr="006B2E28">
        <w:rPr>
          <w:u w:val="single"/>
        </w:rPr>
        <w:t xml:space="preserve"> se quedan pequeñas en comparación con la nueva morada de Erdogan.</w:t>
      </w:r>
    </w:p>
    <w:p w:rsidR="003969F7" w:rsidRDefault="003969F7" w:rsidP="003969F7">
      <w:pPr>
        <w:pStyle w:val="NormalWeb"/>
        <w:jc w:val="both"/>
      </w:pPr>
      <w:r>
        <w:t xml:space="preserve">Aunque el nombre oficial del complejo es simplemente Palacio Presidencial, la nueva residencia ha recibido el nombre oficioso de Palacio Blanco, en turco </w:t>
      </w:r>
      <w:r>
        <w:rPr>
          <w:rStyle w:val="nfasis"/>
        </w:rPr>
        <w:t>Ak Saray</w:t>
      </w:r>
      <w:r>
        <w:t xml:space="preserve">, un guiño a las siglas del partido </w:t>
      </w:r>
      <w:r>
        <w:rPr>
          <w:rStyle w:val="Textoennegrita"/>
        </w:rPr>
        <w:t>islamista moderado que gobierna en Turquía</w:t>
      </w:r>
      <w:r>
        <w:t xml:space="preserve"> (AK Parti) y a la forma en que los turcos llaman a la residencia del presidente de Estados Unidos: Palacio Blanco. Otros, en cambio, han preferido bautizarlo como </w:t>
      </w:r>
      <w:r>
        <w:rPr>
          <w:rStyle w:val="nfasis"/>
        </w:rPr>
        <w:t>Kaçak Saray</w:t>
      </w:r>
      <w:r>
        <w:t xml:space="preserve">, es decir, </w:t>
      </w:r>
      <w:r>
        <w:rPr>
          <w:rStyle w:val="Textoennegrita"/>
        </w:rPr>
        <w:t>el Palacio Ilícito, porque su construcción está sembrada de polémica</w:t>
      </w:r>
      <w:r>
        <w:t>.</w:t>
      </w:r>
    </w:p>
    <w:p w:rsidR="003969F7" w:rsidRPr="006B2E28" w:rsidRDefault="003969F7" w:rsidP="003969F7">
      <w:pPr>
        <w:spacing w:line="240" w:lineRule="auto"/>
        <w:jc w:val="both"/>
        <w:rPr>
          <w:rFonts w:ascii="Times New Roman" w:hAnsi="Times New Roman" w:cs="Times New Roman"/>
          <w:sz w:val="24"/>
          <w:szCs w:val="24"/>
          <w:u w:val="single"/>
        </w:rPr>
      </w:pPr>
      <w:r w:rsidRPr="00AE04B4">
        <w:rPr>
          <w:rFonts w:ascii="Times New Roman" w:hAnsi="Times New Roman" w:cs="Times New Roman"/>
          <w:sz w:val="24"/>
          <w:szCs w:val="24"/>
        </w:rPr>
        <w:lastRenderedPageBreak/>
        <w:t>Rodeado de fuentes y jardines, los tres edificios principales del complejo levantan cinco plantas del suelo y</w:t>
      </w:r>
      <w:r w:rsidR="009B2F21">
        <w:rPr>
          <w:rFonts w:ascii="Times New Roman" w:hAnsi="Times New Roman" w:cs="Times New Roman"/>
          <w:sz w:val="24"/>
          <w:szCs w:val="24"/>
        </w:rPr>
        <w:t xml:space="preserve"> su fachadas se han construido -</w:t>
      </w:r>
      <w:r w:rsidRPr="00AE04B4">
        <w:rPr>
          <w:rFonts w:ascii="Times New Roman" w:hAnsi="Times New Roman" w:cs="Times New Roman"/>
          <w:sz w:val="24"/>
          <w:szCs w:val="24"/>
        </w:rPr>
        <w:t>bajo l</w:t>
      </w:r>
      <w:r w:rsidR="009B2F21">
        <w:rPr>
          <w:rFonts w:ascii="Times New Roman" w:hAnsi="Times New Roman" w:cs="Times New Roman"/>
          <w:sz w:val="24"/>
          <w:szCs w:val="24"/>
        </w:rPr>
        <w:t>a atenta supervisión de Erdogan-</w:t>
      </w:r>
      <w:r w:rsidRPr="00AE04B4">
        <w:rPr>
          <w:rFonts w:ascii="Times New Roman" w:hAnsi="Times New Roman" w:cs="Times New Roman"/>
          <w:sz w:val="24"/>
          <w:szCs w:val="24"/>
        </w:rPr>
        <w:t xml:space="preserve"> en un estilo que </w:t>
      </w:r>
      <w:r w:rsidRPr="00AE04B4">
        <w:rPr>
          <w:rStyle w:val="Textoennegrita"/>
          <w:rFonts w:ascii="Times New Roman" w:hAnsi="Times New Roman" w:cs="Times New Roman"/>
          <w:sz w:val="24"/>
          <w:szCs w:val="24"/>
        </w:rPr>
        <w:t>mezcla la modernidad con la tradición de los turcos selyúcidas</w:t>
      </w:r>
      <w:r w:rsidRPr="00AE04B4">
        <w:rPr>
          <w:rFonts w:ascii="Times New Roman" w:hAnsi="Times New Roman" w:cs="Times New Roman"/>
          <w:sz w:val="24"/>
          <w:szCs w:val="24"/>
        </w:rPr>
        <w:t xml:space="preserve">, que gobernaron en Anatolia entre los siglos XI y XIV. En su interior, brillan los suelos de mármol y granito gracias a los enormes ventanales y a los lujosos candelabros. </w:t>
      </w:r>
      <w:r w:rsidRPr="00AE04B4">
        <w:rPr>
          <w:rStyle w:val="Textoennegrita"/>
          <w:rFonts w:ascii="Times New Roman" w:hAnsi="Times New Roman" w:cs="Times New Roman"/>
          <w:sz w:val="24"/>
          <w:szCs w:val="24"/>
        </w:rPr>
        <w:t>Hay suntuosos atrios y largos pasillos</w:t>
      </w:r>
      <w:r w:rsidRPr="00AE04B4">
        <w:rPr>
          <w:rFonts w:ascii="Times New Roman" w:hAnsi="Times New Roman" w:cs="Times New Roman"/>
          <w:sz w:val="24"/>
          <w:szCs w:val="24"/>
        </w:rPr>
        <w:t xml:space="preserve">, escaleras de influencia barroca </w:t>
      </w:r>
      <w:r w:rsidRPr="00AE04B4">
        <w:rPr>
          <w:rStyle w:val="Textoennegrita"/>
          <w:rFonts w:ascii="Times New Roman" w:hAnsi="Times New Roman" w:cs="Times New Roman"/>
          <w:sz w:val="24"/>
          <w:szCs w:val="24"/>
        </w:rPr>
        <w:t xml:space="preserve">e incluso árboles que crecen en el interior. </w:t>
      </w:r>
      <w:r w:rsidRPr="006B2E28">
        <w:rPr>
          <w:rFonts w:ascii="Times New Roman" w:hAnsi="Times New Roman" w:cs="Times New Roman"/>
          <w:sz w:val="24"/>
          <w:szCs w:val="24"/>
          <w:u w:val="single"/>
        </w:rPr>
        <w:t xml:space="preserve">En total, son </w:t>
      </w:r>
      <w:r w:rsidRPr="006B2E28">
        <w:rPr>
          <w:rStyle w:val="Textoennegrita"/>
          <w:rFonts w:ascii="Times New Roman" w:hAnsi="Times New Roman" w:cs="Times New Roman"/>
          <w:sz w:val="24"/>
          <w:szCs w:val="24"/>
          <w:u w:val="single"/>
        </w:rPr>
        <w:t>1.000 habitaciones</w:t>
      </w:r>
      <w:r w:rsidRPr="006B2E28">
        <w:rPr>
          <w:rFonts w:ascii="Times New Roman" w:hAnsi="Times New Roman" w:cs="Times New Roman"/>
          <w:sz w:val="24"/>
          <w:szCs w:val="24"/>
          <w:u w:val="single"/>
        </w:rPr>
        <w:t>, parte de ellas para el uso privado de la familia y otras utilizadas como salas de trabajo.</w:t>
      </w:r>
    </w:p>
    <w:p w:rsidR="003969F7" w:rsidRPr="006B2E28" w:rsidRDefault="003969F7" w:rsidP="003969F7">
      <w:pPr>
        <w:pStyle w:val="NormalWeb"/>
        <w:jc w:val="both"/>
        <w:rPr>
          <w:u w:val="single"/>
        </w:rPr>
      </w:pPr>
      <w:r>
        <w:t xml:space="preserve">Pero, sobre todo, el Palacio Blanco incluye medidas punteras de seguridad, como no podía ser de otra forma para </w:t>
      </w:r>
      <w:hyperlink r:id="rId50" w:history="1">
        <w:r w:rsidRPr="009964D0">
          <w:rPr>
            <w:rStyle w:val="Hipervnculo"/>
            <w:color w:val="auto"/>
          </w:rPr>
          <w:t>un presidente obsesionado por los complots</w:t>
        </w:r>
      </w:hyperlink>
      <w:r w:rsidRPr="009964D0">
        <w:t xml:space="preserve">: en los últimos dos años ha acusado a medios  de comunicación internacionales, </w:t>
      </w:r>
      <w:hyperlink r:id="rId51" w:history="1">
        <w:r w:rsidRPr="009964D0">
          <w:rPr>
            <w:rStyle w:val="Hipervnculo"/>
            <w:color w:val="auto"/>
          </w:rPr>
          <w:t>círculos económicos y antiguos aliados de su Gobierno de querer apartarle del poder</w:t>
        </w:r>
      </w:hyperlink>
      <w:r>
        <w:t xml:space="preserve">, e incluso un asesor suyo llegó a asegurar que lo querían matar por medio de la “telequinesis”. Así, </w:t>
      </w:r>
      <w:r w:rsidRPr="006B2E28">
        <w:rPr>
          <w:u w:val="single"/>
        </w:rPr>
        <w:t xml:space="preserve">la residencia presidencial incorpora tecnología antiescuchas y </w:t>
      </w:r>
      <w:r w:rsidRPr="006B2E28">
        <w:rPr>
          <w:rStyle w:val="Textoennegrita"/>
          <w:u w:val="single"/>
        </w:rPr>
        <w:t>sistemas para evitar ataques cibernéticos</w:t>
      </w:r>
      <w:r w:rsidRPr="006B2E28">
        <w:rPr>
          <w:u w:val="single"/>
        </w:rPr>
        <w:t xml:space="preserve"> y, dos pisos bajo tierra, se halla </w:t>
      </w:r>
      <w:r w:rsidRPr="006B2E28">
        <w:rPr>
          <w:rStyle w:val="Textoennegrita"/>
          <w:u w:val="single"/>
        </w:rPr>
        <w:t>un búnker, protegido frente a ataques terroristas, nucleares y químicos</w:t>
      </w:r>
      <w:r w:rsidRPr="006B2E28">
        <w:rPr>
          <w:u w:val="single"/>
        </w:rPr>
        <w:t>, que podría servir como base de operaciones militares en caso de amenaza a la seguridad nacional.</w:t>
      </w:r>
    </w:p>
    <w:p w:rsidR="003969F7" w:rsidRDefault="003969F7" w:rsidP="003969F7">
      <w:pPr>
        <w:pStyle w:val="NormalWeb"/>
        <w:jc w:val="both"/>
      </w:pPr>
      <w:r w:rsidRPr="006B2E28">
        <w:rPr>
          <w:u w:val="single"/>
        </w:rPr>
        <w:t xml:space="preserve">El coste total del Palacio Blanco, según reveló la pasada semana el ministro de Finanzas, Mehmet Simsek, asciende a 1.370 millones de liras turcas (487 millones de euros), algo que la oposición ha tachado de obsceno en un país en que siguen existiendo grandes bolsas de pobreza. Sin embargo, y dado que aún se están edificando partes del complejo, como una gran mezquita, </w:t>
      </w:r>
      <w:r w:rsidRPr="006B2E28">
        <w:rPr>
          <w:rStyle w:val="Textoennegrita"/>
          <w:u w:val="single"/>
        </w:rPr>
        <w:t>otras estimaciones hablan de que el monto total podría ascender a los 2.000 millones de liras</w:t>
      </w:r>
      <w:r>
        <w:t>. “En todo el mundo, los edificios y palacios presidenciales son lugares de prestigio. En algunos lugares son palacios heredados de otros tiempos, también hay parlamentos que son así. A veces es necesario tener símbolos de grandeza y pompa. En la tradición otomana así ha sido”, justificó el viceprimer ministro, Bülent Arinç.</w:t>
      </w:r>
    </w:p>
    <w:p w:rsidR="003969F7" w:rsidRDefault="003969F7" w:rsidP="003969F7">
      <w:pPr>
        <w:pStyle w:val="NormalWeb"/>
        <w:jc w:val="both"/>
      </w:pPr>
      <w:r>
        <w:t xml:space="preserve">El precio no es el único escándalo al que ha tenido que hacer frente el Palacio Blanco. La construcción se ha llevado a cabo </w:t>
      </w:r>
      <w:r>
        <w:rPr>
          <w:rStyle w:val="Textoennegrita"/>
        </w:rPr>
        <w:t>en la Granja Forestal Atatürk, un espacio boscoso de la capital turca protegido por ley</w:t>
      </w:r>
      <w:r>
        <w:t xml:space="preserve">. Para hacer lugar al complejo presidencial se han talado unos 3.000 árboles y otros 10.000 se han cambiado de lugar y además se han tenido que recalificar numerosas hectáreas, algo que ha llevado a que urbanistas, arquitectos y organizaciones sociales interpusieran una </w:t>
      </w:r>
      <w:r>
        <w:rPr>
          <w:rStyle w:val="Textoennegrita"/>
        </w:rPr>
        <w:t>treintena de pleitos, en la mayoría de los cuales la Justicia ha dado la razón a los demandantes</w:t>
      </w:r>
      <w:r>
        <w:t xml:space="preserve"> y ha pedido que se parasen las obras. Pero esto son minucias para Erdogan, quien el pasado marzo, tras una decisión que ordenaba la detención cautelar de los trabajos, espetó a la prensa: “Que lo derriben si tienen suficiente poder para ello. No serán capaces de pararlo”.</w:t>
      </w:r>
    </w:p>
    <w:p w:rsidR="003969F7" w:rsidRPr="006B2E28" w:rsidRDefault="003969F7" w:rsidP="003969F7">
      <w:pPr>
        <w:pStyle w:val="NormalWeb"/>
        <w:jc w:val="both"/>
        <w:rPr>
          <w:u w:val="single"/>
        </w:rPr>
      </w:pPr>
      <w:r w:rsidRPr="006B2E28">
        <w:rPr>
          <w:u w:val="single"/>
        </w:rPr>
        <w:t>“</w:t>
      </w:r>
      <w:r w:rsidRPr="006B2E28">
        <w:rPr>
          <w:rStyle w:val="Textoennegrita"/>
          <w:u w:val="single"/>
        </w:rPr>
        <w:t>Erdogan trata de establecer un sultanato y esto es una buena muestra de ello</w:t>
      </w:r>
      <w:r w:rsidRPr="006B2E28">
        <w:rPr>
          <w:u w:val="single"/>
        </w:rPr>
        <w:t xml:space="preserve">”, critica el presidente de la Unión de Colegios de Arquitectos e Ingenieros de Turquía (TMMOB), Mehmet Soganci, en declaraciones a </w:t>
      </w:r>
      <w:r w:rsidRPr="006B2E28">
        <w:rPr>
          <w:rStyle w:val="nfasis"/>
          <w:u w:val="single"/>
        </w:rPr>
        <w:t>El Confidencial</w:t>
      </w:r>
      <w:r w:rsidRPr="006B2E28">
        <w:rPr>
          <w:u w:val="single"/>
        </w:rPr>
        <w:t>: “No sólo se ha construido el palacio sin los necesarios permisos arquitectónicos, sino que además se han ignorado las sentencias judiciales. Pero no es la primera vez que lo hace, en todas las ciudades su Gobierno se niega a acatar la ley. Es un grave problema para la democracia en Turquía”.</w:t>
      </w:r>
    </w:p>
    <w:p w:rsidR="003969F7" w:rsidRPr="00491864" w:rsidRDefault="003969F7" w:rsidP="003969F7">
      <w:pPr>
        <w:pStyle w:val="NormalWeb"/>
        <w:jc w:val="both"/>
        <w:rPr>
          <w:b/>
        </w:rPr>
      </w:pPr>
      <w:r w:rsidRPr="00491864">
        <w:rPr>
          <w:rStyle w:val="Textoennegrita"/>
          <w:b w:val="0"/>
        </w:rPr>
        <w:lastRenderedPageBreak/>
        <w:t>El Air Force One turco y el palacete de Estambul</w:t>
      </w:r>
    </w:p>
    <w:p w:rsidR="003969F7" w:rsidRPr="006B2E28" w:rsidRDefault="003969F7" w:rsidP="003969F7">
      <w:pPr>
        <w:pStyle w:val="NormalWeb"/>
        <w:jc w:val="both"/>
        <w:rPr>
          <w:u w:val="single"/>
        </w:rPr>
      </w:pPr>
      <w:r w:rsidRPr="006B2E28">
        <w:rPr>
          <w:u w:val="single"/>
        </w:rPr>
        <w:t xml:space="preserve">Pero esta no es la única adquisición de Erdogan en sus escasos tres meses al frente de la Presidencia de la República. En Estambul acaba de completarse la </w:t>
      </w:r>
      <w:r w:rsidRPr="006B2E28">
        <w:rPr>
          <w:rStyle w:val="Textoennegrita"/>
          <w:u w:val="single"/>
        </w:rPr>
        <w:t>renovación de un conjunto de palacetes que ocupan una superficie de 50.000 metros</w:t>
      </w:r>
      <w:r w:rsidRPr="006B2E28">
        <w:rPr>
          <w:u w:val="single"/>
        </w:rPr>
        <w:t xml:space="preserve"> cuadrados y que conformarán su nueva oficina de trabajo en la metrópolis del Bósforo. El principal de ellos es el Palacete de Vahdettin, con vistas al estrecho que separa Europa y Asia y que fue morada del último sultán otomano antes de ascender al trono con el nombre de Mehmet VI.</w:t>
      </w:r>
    </w:p>
    <w:p w:rsidR="003969F7" w:rsidRDefault="003969F7" w:rsidP="003969F7">
      <w:pPr>
        <w:pStyle w:val="NormalWeb"/>
        <w:jc w:val="both"/>
      </w:pPr>
      <w:r>
        <w:t xml:space="preserve">Y esta obra tampoco ha estado exenta de polémica ya que, pese a estar incluido el palacete en la lista de </w:t>
      </w:r>
      <w:r>
        <w:rPr>
          <w:rStyle w:val="Textoennegrita"/>
        </w:rPr>
        <w:t>patrimonio cultural inmueble, ha sido sometido a numerosos cambios</w:t>
      </w:r>
      <w:r>
        <w:t>: por ejemplo, la madera que enlucía la fachada ha sido sustituida por cemento y la cúpula que culminaba una de las torres, destruida para luego ser rehecha de forma diferente a la original. Otras cuatro mansiones que formarán parte del complejo han sido derribadas y luego reconstruidas por los operarios. Incluso Ilber Ortayli, uno de los principales expertos en historia otomana y exdirector del Palacio de Topkapi, denunció que “la renovación no ha sido hecha de acuerdo a la estructura original” del palacete.</w:t>
      </w:r>
    </w:p>
    <w:p w:rsidR="003969F7" w:rsidRPr="006B2E28" w:rsidRDefault="003969F7" w:rsidP="003969F7">
      <w:pPr>
        <w:pStyle w:val="NormalWeb"/>
        <w:jc w:val="both"/>
        <w:rPr>
          <w:u w:val="single"/>
        </w:rPr>
      </w:pPr>
      <w:r w:rsidRPr="006B2E28">
        <w:rPr>
          <w:u w:val="single"/>
        </w:rPr>
        <w:t xml:space="preserve">Por otra parte, en la misma comparecencia en que se anunció el coste del Palacio Blanco, el ministro Simsek también informó de que </w:t>
      </w:r>
      <w:r w:rsidRPr="006B2E28">
        <w:rPr>
          <w:rStyle w:val="Textoennegrita"/>
          <w:u w:val="single"/>
        </w:rPr>
        <w:t>se han pagado unos 150 millones de euros por el nuevo avión presidencial</w:t>
      </w:r>
      <w:r w:rsidRPr="006B2E28">
        <w:rPr>
          <w:u w:val="single"/>
        </w:rPr>
        <w:t xml:space="preserve">, bautizado por los comentaristas como “el Air Force One turco”, en referencia al que utiliza el jefe de Estado en EEUU. Este </w:t>
      </w:r>
      <w:r w:rsidRPr="006B2E28">
        <w:rPr>
          <w:rStyle w:val="nfasis"/>
          <w:u w:val="single"/>
        </w:rPr>
        <w:t>Airbus 330 Presidential</w:t>
      </w:r>
      <w:r w:rsidRPr="006B2E28">
        <w:rPr>
          <w:u w:val="single"/>
        </w:rPr>
        <w:t xml:space="preserve"> está equipado con cocina, salas de reuniones y los más modernos sistemas de seguridad, y según el propio Erdogan era necesario para poder hacer “vuelos sin escalas”.</w:t>
      </w:r>
    </w:p>
    <w:p w:rsidR="003969F7" w:rsidRPr="006B2E28" w:rsidRDefault="003969F7" w:rsidP="003969F7">
      <w:pPr>
        <w:pStyle w:val="NormalWeb"/>
        <w:jc w:val="both"/>
        <w:rPr>
          <w:u w:val="single"/>
        </w:rPr>
      </w:pPr>
      <w:r w:rsidRPr="006B2E28">
        <w:rPr>
          <w:u w:val="single"/>
        </w:rPr>
        <w:t xml:space="preserve">Casualmente, el avión había sido encargado hace dos años y medio, pero no se estrenó hasta el día en que comenzó la presidencia de Erdogan, a finales del pasado agosto. La oficina de trabajo en Estambul también había sido planeada con antelación, lo que indica que </w:t>
      </w:r>
      <w:r w:rsidRPr="006B2E28">
        <w:rPr>
          <w:rStyle w:val="Textoennegrita"/>
          <w:u w:val="single"/>
        </w:rPr>
        <w:t>el mandatario islamista ya había decidido hace tiempo que continuaría gobernando pesase a quien pesase</w:t>
      </w:r>
      <w:r w:rsidRPr="006B2E28">
        <w:rPr>
          <w:u w:val="single"/>
        </w:rPr>
        <w:t xml:space="preserve">, bien desde su puesto como primer ministro o desde la actual presidencia. Los estatutos del Partido de la Justicia y el Desarrollo (AKP o AK Parti) prohíben que sus miembros pueda ejercer un cargo público durante más de tres legislaturas consecutivas y de ahí que Erdogan </w:t>
      </w:r>
      <w:r w:rsidRPr="006B2E28">
        <w:rPr>
          <w:rStyle w:val="Textoennegrita"/>
          <w:u w:val="single"/>
        </w:rPr>
        <w:t>buscase su elección como presidente tras once años como primer ministro</w:t>
      </w:r>
      <w:r w:rsidRPr="006B2E28">
        <w:rPr>
          <w:u w:val="single"/>
        </w:rPr>
        <w:t>, pues esta regla le impedía presentarse a las elecciones generales de 2015</w:t>
      </w:r>
      <w:r>
        <w:t xml:space="preserve">. </w:t>
      </w:r>
      <w:r w:rsidRPr="006B2E28">
        <w:rPr>
          <w:u w:val="single"/>
        </w:rPr>
        <w:t>Otro dato indicativo de que el político turco pretendía mantener las riendas del poder es que el Palacio Blanco había sido encargado originalmente como residencia del primer ministro, una designación que no ha tenido empacho en modificar en cuanto ha ascendido a la Presidencia. </w:t>
      </w:r>
    </w:p>
    <w:p w:rsidR="003969F7" w:rsidRPr="00491864" w:rsidRDefault="003969F7" w:rsidP="003969F7">
      <w:pPr>
        <w:pStyle w:val="NormalWeb"/>
        <w:jc w:val="both"/>
        <w:rPr>
          <w:b/>
        </w:rPr>
      </w:pPr>
      <w:r w:rsidRPr="00491864">
        <w:rPr>
          <w:rStyle w:val="Textoennegrita"/>
          <w:b w:val="0"/>
        </w:rPr>
        <w:t>La Nueva Turquía de Erdogan</w:t>
      </w:r>
    </w:p>
    <w:p w:rsidR="003969F7" w:rsidRDefault="003969F7" w:rsidP="003969F7">
      <w:pPr>
        <w:pStyle w:val="NormalWeb"/>
        <w:jc w:val="both"/>
      </w:pPr>
      <w:r>
        <w:t xml:space="preserve">Desde la fundación de la República sobre las cenizas del Imperio Otomano en 1923, los presidentes turcos se habían alojado en la Mansión Rosa de Çankaya, donde ejerció sus funciones el fundador de la moderna Turquía, Mustafa Kemal Atatürk. Ahora, este edificio alojará al primer ministro, el delfín de Erdogan, Ahmet Davutoglu, a quien la oposición tacha de </w:t>
      </w:r>
      <w:r w:rsidR="009964D0">
        <w:rPr>
          <w:rStyle w:val="Textoennegrita"/>
        </w:rPr>
        <w:t>mera “marioneta”</w:t>
      </w:r>
      <w:r>
        <w:rPr>
          <w:rStyle w:val="Textoennegrita"/>
        </w:rPr>
        <w:t xml:space="preserve"> del presidente</w:t>
      </w:r>
      <w:r>
        <w:t xml:space="preserve">. Mientras tanto, Erdogan se alojará en el mucho mayor Palacio Blanco, una nueva muestra de que pretende dar a la </w:t>
      </w:r>
      <w:r>
        <w:lastRenderedPageBreak/>
        <w:t xml:space="preserve">jefatura de Estado un papel más ejecutivo que el que tenía hasta ahora, prácticamente sólo ceremonial, y </w:t>
      </w:r>
      <w:r>
        <w:rPr>
          <w:rStyle w:val="Textoennegrita"/>
        </w:rPr>
        <w:t>evolucionar así hacia un régimen presidencialista</w:t>
      </w:r>
      <w:r>
        <w:t>.</w:t>
      </w:r>
    </w:p>
    <w:p w:rsidR="003969F7" w:rsidRPr="006B2E28" w:rsidRDefault="003969F7" w:rsidP="003969F7">
      <w:pPr>
        <w:pStyle w:val="NormalWeb"/>
        <w:jc w:val="both"/>
        <w:rPr>
          <w:u w:val="single"/>
        </w:rPr>
      </w:pPr>
      <w:r w:rsidRPr="006B2E28">
        <w:rPr>
          <w:u w:val="single"/>
        </w:rPr>
        <w:t>“Nos hemos trasladado al nuevo Palacio Presidencial porque la actual residencia no ofrecía los servicios adecuados para la presidencia. Ya saben ustedes que ahora estamos en la Nueva Turquía. Y el nuevo lugar, hecho a nuestro estilo, es la herencia de una civilización”, explicó Erdogan tras la inauguración de su nuevo palacio, subrayando la influencia “selyúcida” y “otomana” del edificio.</w:t>
      </w:r>
    </w:p>
    <w:p w:rsidR="003969F7" w:rsidRDefault="003969F7" w:rsidP="003969F7">
      <w:pPr>
        <w:pStyle w:val="NormalWeb"/>
        <w:jc w:val="both"/>
      </w:pPr>
      <w:r>
        <w:t>Para Mehmet Soganci, el nuevo palacio tiene un importante componente “ideológico”. “</w:t>
      </w:r>
      <w:hyperlink r:id="rId52" w:history="1">
        <w:r w:rsidRPr="009964D0">
          <w:rPr>
            <w:rStyle w:val="Hipervnculo"/>
            <w:color w:val="auto"/>
          </w:rPr>
          <w:t>Erdogan quiere acabar con la herencia de Atatürk</w:t>
        </w:r>
      </w:hyperlink>
      <w:r w:rsidRPr="009964D0">
        <w:t xml:space="preserve">”, </w:t>
      </w:r>
      <w:r>
        <w:t>añade el presidente de TMMOB, en referencia al considerado padre de la patria turca, quien modernizó el país y estableció un régimen laico y modelado a la francesa.</w:t>
      </w:r>
    </w:p>
    <w:p w:rsidR="00E3231C" w:rsidRDefault="003969F7" w:rsidP="00686719">
      <w:pPr>
        <w:pStyle w:val="NormalWeb"/>
        <w:jc w:val="both"/>
      </w:pPr>
      <w:r>
        <w:t>“</w:t>
      </w:r>
      <w:r>
        <w:rPr>
          <w:rStyle w:val="Textoennegrita"/>
        </w:rPr>
        <w:t>Todo orden político nuevo establece también un nuevo orden espacial</w:t>
      </w:r>
      <w:r>
        <w:t xml:space="preserve"> que represente su proyecto político”, explica a </w:t>
      </w:r>
      <w:r>
        <w:rPr>
          <w:rStyle w:val="nfasis"/>
        </w:rPr>
        <w:t>El Confidencial</w:t>
      </w:r>
      <w:r>
        <w:t xml:space="preserve"> Tarik Sengul, profesor de Teoría política, social y urbana en la Universidad Técnica de Oriente Medio (ODTÜ): </w:t>
      </w:r>
      <w:r w:rsidRPr="006B2E28">
        <w:rPr>
          <w:color w:val="FF0000"/>
          <w:u w:val="single"/>
        </w:rPr>
        <w:t xml:space="preserve">“Y el Palacio </w:t>
      </w:r>
      <w:r w:rsidRPr="006B2E28">
        <w:rPr>
          <w:rStyle w:val="Textoennegrita"/>
          <w:color w:val="FF0000"/>
          <w:u w:val="single"/>
        </w:rPr>
        <w:t>representa una ruptura radical de Erdogan con el anterior orden vigente</w:t>
      </w:r>
      <w:r w:rsidRPr="006B2E28">
        <w:rPr>
          <w:color w:val="FF0000"/>
          <w:u w:val="single"/>
        </w:rPr>
        <w:t>, el kemalista. Intenta así presentarse como el fundador de un nuevo orden”.</w:t>
      </w:r>
      <w:r w:rsidRPr="006B2E28">
        <w:rPr>
          <w:color w:val="FF0000"/>
        </w:rPr>
        <w:t xml:space="preserve"> </w:t>
      </w:r>
      <w:r>
        <w:t xml:space="preserve">Para Sengul, lo más preocupante es el hecho de que Erdogan se muestre abiertamente contrario a acatar las decisiones judiciales sobre las obras del Palacio: “Cuando estableces un nuevo sistema político, siempre hay un cierto grado de violencia política. Y supongo que esto, pasar por encima de la ley, es la violencia política que necesita Erdogan para fundar el nuevo sistema, </w:t>
      </w:r>
      <w:r>
        <w:rPr>
          <w:rStyle w:val="Textoennegrita"/>
        </w:rPr>
        <w:t>la Nueva Turquía</w:t>
      </w:r>
      <w:r w:rsidR="00686719">
        <w:t>”.</w:t>
      </w:r>
    </w:p>
    <w:p w:rsidR="00E3231C" w:rsidRDefault="00E3231C" w:rsidP="00E3231C">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 xml:space="preserve">En el </w:t>
      </w:r>
      <w:r w:rsidRPr="00DA2FF1">
        <w:rPr>
          <w:rFonts w:ascii="Times New Roman" w:hAnsi="Times New Roman"/>
          <w:b/>
          <w:sz w:val="24"/>
          <w:szCs w:val="24"/>
        </w:rPr>
        <w:t>Anexo</w:t>
      </w:r>
      <w:r>
        <w:rPr>
          <w:rFonts w:ascii="Times New Roman" w:hAnsi="Times New Roman"/>
          <w:b/>
          <w:sz w:val="24"/>
          <w:szCs w:val="24"/>
        </w:rPr>
        <w:t xml:space="preserve"> II</w:t>
      </w:r>
      <w:r>
        <w:rPr>
          <w:rFonts w:ascii="Times New Roman" w:hAnsi="Times New Roman"/>
          <w:sz w:val="24"/>
          <w:szCs w:val="24"/>
        </w:rPr>
        <w:t xml:space="preserve"> se presenta una amplia información estadística, para que ustedes mismos, puedan elaborar sus conclusiones particulares (dar o quitar razón). </w:t>
      </w:r>
    </w:p>
    <w:p w:rsidR="00686719" w:rsidRPr="009E4F6A" w:rsidRDefault="00686719" w:rsidP="00686719">
      <w:pPr>
        <w:spacing w:line="240" w:lineRule="auto"/>
        <w:jc w:val="both"/>
        <w:rPr>
          <w:rFonts w:ascii="Times New Roman" w:eastAsia="Times New Roman" w:hAnsi="Times New Roman" w:cs="Times New Roman"/>
          <w:b/>
          <w:sz w:val="24"/>
          <w:szCs w:val="24"/>
          <w:lang w:val="en-US" w:eastAsia="es-ES"/>
        </w:rPr>
      </w:pPr>
      <w:r w:rsidRPr="000B6C89">
        <w:rPr>
          <w:rFonts w:ascii="Times New Roman" w:hAnsi="Times New Roman" w:cs="Times New Roman"/>
          <w:b/>
          <w:sz w:val="24"/>
          <w:szCs w:val="24"/>
          <w:lang w:val="en-US"/>
        </w:rPr>
        <w:t>Turkey Overview</w:t>
      </w:r>
      <w:r>
        <w:rPr>
          <w:rFonts w:ascii="Times New Roman" w:hAnsi="Times New Roman" w:cs="Times New Roman"/>
          <w:b/>
          <w:sz w:val="24"/>
          <w:szCs w:val="24"/>
          <w:lang w:val="en-US"/>
        </w:rPr>
        <w:t xml:space="preserve"> </w:t>
      </w:r>
      <w:r w:rsidRPr="009E4F6A">
        <w:rPr>
          <w:rFonts w:ascii="Times New Roman" w:hAnsi="Times New Roman" w:cs="Times New Roman"/>
          <w:b/>
          <w:sz w:val="24"/>
          <w:szCs w:val="24"/>
          <w:lang w:val="en-US"/>
        </w:rPr>
        <w:t xml:space="preserve">- </w:t>
      </w:r>
      <w:r w:rsidRPr="009E4F6A">
        <w:rPr>
          <w:rFonts w:ascii="Times New Roman" w:eastAsia="Times New Roman" w:hAnsi="Times New Roman" w:cs="Times New Roman"/>
          <w:b/>
          <w:sz w:val="24"/>
          <w:szCs w:val="24"/>
          <w:lang w:val="en-US" w:eastAsia="es-ES"/>
        </w:rPr>
        <w:t>World Bank Group (WBG)</w:t>
      </w:r>
    </w:p>
    <w:p w:rsidR="00686719" w:rsidRPr="00833447" w:rsidRDefault="00686719" w:rsidP="00686719">
      <w:pPr>
        <w:spacing w:line="240" w:lineRule="auto"/>
        <w:jc w:val="both"/>
        <w:rPr>
          <w:rFonts w:ascii="Times New Roman" w:hAnsi="Times New Roman" w:cs="Times New Roman"/>
          <w:b/>
          <w:sz w:val="24"/>
          <w:szCs w:val="24"/>
          <w:lang w:val="en-US"/>
        </w:rPr>
      </w:pPr>
      <w:r w:rsidRPr="00EF2EED">
        <w:rPr>
          <w:rFonts w:ascii="Times New Roman" w:hAnsi="Times New Roman" w:cs="Times New Roman"/>
          <w:b/>
          <w:sz w:val="24"/>
          <w:szCs w:val="24"/>
          <w:lang w:val="en-US"/>
        </w:rPr>
        <w:t>C</w:t>
      </w:r>
      <w:r>
        <w:rPr>
          <w:rFonts w:ascii="Times New Roman" w:hAnsi="Times New Roman" w:cs="Times New Roman"/>
          <w:b/>
          <w:sz w:val="24"/>
          <w:szCs w:val="24"/>
          <w:lang w:val="en-US"/>
        </w:rPr>
        <w:t xml:space="preserve">ountry and regional perspectives (WEO - FMI) - </w:t>
      </w:r>
      <w:r w:rsidRPr="00833447">
        <w:rPr>
          <w:rFonts w:ascii="Times New Roman" w:hAnsi="Times New Roman" w:cs="Times New Roman"/>
          <w:b/>
          <w:sz w:val="24"/>
          <w:szCs w:val="24"/>
          <w:lang w:val="en-US"/>
        </w:rPr>
        <w:t xml:space="preserve">October 2014 </w:t>
      </w:r>
    </w:p>
    <w:p w:rsidR="00686719" w:rsidRDefault="00686719" w:rsidP="00686719">
      <w:pPr>
        <w:spacing w:line="240" w:lineRule="auto"/>
        <w:jc w:val="both"/>
        <w:rPr>
          <w:rFonts w:ascii="Times New Roman" w:hAnsi="Times New Roman" w:cs="Times New Roman"/>
          <w:b/>
          <w:color w:val="FF0000"/>
          <w:sz w:val="24"/>
          <w:szCs w:val="24"/>
          <w:lang w:val="en-US"/>
        </w:rPr>
      </w:pPr>
      <w:r w:rsidRPr="00871B8E">
        <w:rPr>
          <w:rFonts w:ascii="Times New Roman" w:hAnsi="Times New Roman" w:cs="Times New Roman"/>
          <w:b/>
          <w:sz w:val="24"/>
          <w:szCs w:val="24"/>
          <w:lang w:val="en-US"/>
        </w:rPr>
        <w:t>C</w:t>
      </w:r>
      <w:r>
        <w:rPr>
          <w:rFonts w:ascii="Times New Roman" w:hAnsi="Times New Roman" w:cs="Times New Roman"/>
          <w:b/>
          <w:sz w:val="24"/>
          <w:szCs w:val="24"/>
          <w:lang w:val="en-US"/>
        </w:rPr>
        <w:t>ountry Statistical Profiles</w:t>
      </w:r>
      <w:r w:rsidRPr="00871B8E">
        <w:rPr>
          <w:rFonts w:ascii="Times New Roman" w:hAnsi="Times New Roman" w:cs="Times New Roman"/>
          <w:b/>
          <w:sz w:val="24"/>
          <w:szCs w:val="24"/>
          <w:lang w:val="en-US"/>
        </w:rPr>
        <w:t>: K</w:t>
      </w:r>
      <w:r>
        <w:rPr>
          <w:rFonts w:ascii="Times New Roman" w:hAnsi="Times New Roman" w:cs="Times New Roman"/>
          <w:b/>
          <w:sz w:val="24"/>
          <w:szCs w:val="24"/>
          <w:lang w:val="en-US"/>
        </w:rPr>
        <w:t>ey</w:t>
      </w:r>
      <w:r w:rsidRPr="00871B8E">
        <w:rPr>
          <w:rFonts w:ascii="Times New Roman" w:hAnsi="Times New Roman" w:cs="Times New Roman"/>
          <w:b/>
          <w:sz w:val="24"/>
          <w:szCs w:val="24"/>
          <w:lang w:val="en-US"/>
        </w:rPr>
        <w:t xml:space="preserve"> T</w:t>
      </w:r>
      <w:r>
        <w:rPr>
          <w:rFonts w:ascii="Times New Roman" w:hAnsi="Times New Roman" w:cs="Times New Roman"/>
          <w:b/>
          <w:sz w:val="24"/>
          <w:szCs w:val="24"/>
          <w:lang w:val="en-US"/>
        </w:rPr>
        <w:t>ables from OECD -</w:t>
      </w:r>
      <w:r w:rsidRPr="00871B8E">
        <w:rPr>
          <w:rFonts w:ascii="Times New Roman" w:hAnsi="Times New Roman" w:cs="Times New Roman"/>
          <w:b/>
          <w:sz w:val="24"/>
          <w:szCs w:val="24"/>
          <w:lang w:val="en-US"/>
        </w:rPr>
        <w:t xml:space="preserve"> © OECD 2014</w:t>
      </w:r>
    </w:p>
    <w:p w:rsidR="00686719" w:rsidRPr="00376EE2" w:rsidRDefault="00686719" w:rsidP="00686719">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t>OECD Economic Surveys: Turkey 2014</w:t>
      </w:r>
    </w:p>
    <w:p w:rsidR="00686719" w:rsidRDefault="00686719" w:rsidP="00686719">
      <w:pPr>
        <w:spacing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Invest in Turkey </w:t>
      </w:r>
      <w:r>
        <w:rPr>
          <w:rFonts w:ascii="Times New Roman" w:hAnsi="Times New Roman" w:cs="Times New Roman"/>
          <w:sz w:val="24"/>
          <w:szCs w:val="24"/>
          <w:lang w:val="en-US"/>
        </w:rPr>
        <w:t>(</w:t>
      </w:r>
      <w:r w:rsidRPr="00C63C86">
        <w:rPr>
          <w:rFonts w:ascii="Times New Roman" w:hAnsi="Times New Roman" w:cs="Times New Roman"/>
          <w:sz w:val="24"/>
          <w:szCs w:val="24"/>
          <w:lang w:val="en-US"/>
        </w:rPr>
        <w:t xml:space="preserve">Investment Support and Promotion Agency - </w:t>
      </w:r>
      <w:hyperlink r:id="rId53" w:history="1">
        <w:r w:rsidRPr="00686719">
          <w:rPr>
            <w:rStyle w:val="Hipervnculo"/>
            <w:rFonts w:ascii="Times New Roman" w:hAnsi="Times New Roman" w:cs="Times New Roman"/>
            <w:color w:val="auto"/>
            <w:lang w:val="en-US"/>
          </w:rPr>
          <w:t>www.invest.gov.tr</w:t>
        </w:r>
      </w:hyperlink>
      <w:r w:rsidRPr="00D057D7">
        <w:rPr>
          <w:rFonts w:ascii="Times New Roman" w:hAnsi="Times New Roman" w:cs="Times New Roman"/>
          <w:sz w:val="24"/>
          <w:szCs w:val="24"/>
          <w:lang w:val="en-US"/>
        </w:rPr>
        <w:t xml:space="preserve"> </w:t>
      </w:r>
      <w:r>
        <w:rPr>
          <w:rFonts w:ascii="Times New Roman" w:hAnsi="Times New Roman" w:cs="Times New Roman"/>
          <w:sz w:val="24"/>
          <w:szCs w:val="24"/>
          <w:lang w:val="en-US"/>
        </w:rPr>
        <w:t>- 2014)</w:t>
      </w:r>
    </w:p>
    <w:p w:rsidR="00686719" w:rsidRPr="00686719" w:rsidRDefault="00686719" w:rsidP="00686719">
      <w:pPr>
        <w:spacing w:before="100" w:beforeAutospacing="1" w:after="100" w:afterAutospacing="1" w:line="240" w:lineRule="auto"/>
        <w:jc w:val="both"/>
        <w:rPr>
          <w:rFonts w:ascii="Times New Roman" w:eastAsia="Times New Roman" w:hAnsi="Times New Roman" w:cs="Times New Roman"/>
          <w:noProof/>
          <w:sz w:val="24"/>
          <w:szCs w:val="24"/>
          <w:lang w:val="en-US" w:eastAsia="es-ES"/>
        </w:rPr>
      </w:pPr>
      <w:r w:rsidRPr="00686719">
        <w:rPr>
          <w:rFonts w:ascii="Times New Roman" w:eastAsia="Times New Roman" w:hAnsi="Times New Roman" w:cs="Times New Roman"/>
          <w:b/>
          <w:noProof/>
          <w:color w:val="000000"/>
          <w:sz w:val="24"/>
          <w:szCs w:val="24"/>
          <w:lang w:val="en-US" w:eastAsia="es-ES"/>
        </w:rPr>
        <w:t>Est.</w:t>
      </w:r>
      <w:r>
        <w:rPr>
          <w:rFonts w:ascii="Times New Roman" w:eastAsia="Times New Roman" w:hAnsi="Times New Roman" w:cs="Times New Roman"/>
          <w:b/>
          <w:noProof/>
          <w:color w:val="000000"/>
          <w:sz w:val="24"/>
          <w:szCs w:val="24"/>
          <w:lang w:val="en-US" w:eastAsia="es-ES"/>
        </w:rPr>
        <w:t xml:space="preserve"> </w:t>
      </w:r>
      <w:r w:rsidRPr="00686719">
        <w:rPr>
          <w:rFonts w:ascii="Times New Roman" w:eastAsia="Times New Roman" w:hAnsi="Times New Roman" w:cs="Times New Roman"/>
          <w:b/>
          <w:noProof/>
          <w:color w:val="000000"/>
          <w:sz w:val="24"/>
          <w:szCs w:val="24"/>
          <w:lang w:val="en-US" w:eastAsia="es-ES"/>
        </w:rPr>
        <w:t>del</w:t>
      </w:r>
      <w:r>
        <w:rPr>
          <w:rFonts w:ascii="Times New Roman" w:eastAsia="Times New Roman" w:hAnsi="Times New Roman" w:cs="Times New Roman"/>
          <w:b/>
          <w:noProof/>
          <w:color w:val="000000"/>
          <w:sz w:val="24"/>
          <w:szCs w:val="24"/>
          <w:lang w:val="en-US" w:eastAsia="es-ES"/>
        </w:rPr>
        <w:t xml:space="preserve"> Com. Internac</w:t>
      </w:r>
      <w:r w:rsidRPr="00686719">
        <w:rPr>
          <w:rFonts w:ascii="Times New Roman" w:eastAsia="Times New Roman" w:hAnsi="Times New Roman" w:cs="Times New Roman"/>
          <w:b/>
          <w:noProof/>
          <w:sz w:val="24"/>
          <w:szCs w:val="24"/>
          <w:lang w:val="en-US" w:eastAsia="es-ES"/>
        </w:rPr>
        <w:t xml:space="preserve">. </w:t>
      </w:r>
      <w:hyperlink r:id="rId54" w:history="1">
        <w:r w:rsidRPr="00686719">
          <w:rPr>
            <w:rStyle w:val="Hipervnculo"/>
            <w:rFonts w:ascii="Times New Roman" w:eastAsia="Times New Roman" w:hAnsi="Times New Roman" w:cs="Times New Roman"/>
            <w:noProof/>
            <w:color w:val="auto"/>
            <w:lang w:val="en-US" w:eastAsia="es-ES"/>
          </w:rPr>
          <w:t>www.wto.org/spanish/res_s/statis_s/its2014_s/its14_toc_s.htm</w:t>
        </w:r>
      </w:hyperlink>
    </w:p>
    <w:p w:rsidR="00686719" w:rsidRDefault="00686719" w:rsidP="00686719">
      <w:pPr>
        <w:spacing w:line="240" w:lineRule="auto"/>
        <w:jc w:val="both"/>
        <w:rPr>
          <w:rFonts w:ascii="Times New Roman" w:hAnsi="Times New Roman" w:cs="Times New Roman"/>
          <w:b/>
          <w:sz w:val="24"/>
          <w:szCs w:val="24"/>
          <w:lang w:val="en-US"/>
        </w:rPr>
      </w:pPr>
      <w:r w:rsidRPr="00744529">
        <w:rPr>
          <w:rFonts w:ascii="Times New Roman" w:hAnsi="Times New Roman" w:cs="Times New Roman"/>
          <w:b/>
          <w:sz w:val="24"/>
          <w:szCs w:val="24"/>
          <w:lang w:val="en-US"/>
        </w:rPr>
        <w:t>World Bank Group - Turkey Partne</w:t>
      </w:r>
      <w:r>
        <w:rPr>
          <w:rFonts w:ascii="Times New Roman" w:hAnsi="Times New Roman" w:cs="Times New Roman"/>
          <w:b/>
          <w:sz w:val="24"/>
          <w:szCs w:val="24"/>
          <w:lang w:val="en-US"/>
        </w:rPr>
        <w:t xml:space="preserve">rship: Country Program Snapshot - </w:t>
      </w:r>
      <w:r w:rsidRPr="00744529">
        <w:rPr>
          <w:rFonts w:ascii="Times New Roman" w:hAnsi="Times New Roman" w:cs="Times New Roman"/>
          <w:b/>
          <w:sz w:val="24"/>
          <w:szCs w:val="24"/>
          <w:lang w:val="en-US"/>
        </w:rPr>
        <w:t>October 2014</w:t>
      </w:r>
    </w:p>
    <w:p w:rsidR="00686719" w:rsidRDefault="00686719" w:rsidP="00686719">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World Bank - </w:t>
      </w:r>
      <w:r w:rsidRPr="006966D1">
        <w:rPr>
          <w:rFonts w:ascii="Times New Roman" w:hAnsi="Times New Roman" w:cs="Times New Roman"/>
          <w:b/>
          <w:sz w:val="24"/>
          <w:szCs w:val="24"/>
          <w:lang w:val="en-US"/>
        </w:rPr>
        <w:t xml:space="preserve">Trading up to high income </w:t>
      </w:r>
      <w:r>
        <w:rPr>
          <w:rFonts w:ascii="Times New Roman" w:hAnsi="Times New Roman" w:cs="Times New Roman"/>
          <w:b/>
          <w:sz w:val="24"/>
          <w:szCs w:val="24"/>
          <w:lang w:val="en-US"/>
        </w:rPr>
        <w:t>-</w:t>
      </w:r>
      <w:r w:rsidRPr="006966D1">
        <w:rPr>
          <w:rFonts w:ascii="Times New Roman" w:hAnsi="Times New Roman" w:cs="Times New Roman"/>
          <w:b/>
          <w:sz w:val="24"/>
          <w:szCs w:val="24"/>
          <w:lang w:val="en-US"/>
        </w:rPr>
        <w:t xml:space="preserve"> Turkey country </w:t>
      </w:r>
      <w:r>
        <w:rPr>
          <w:rFonts w:ascii="Times New Roman" w:hAnsi="Times New Roman" w:cs="Times New Roman"/>
          <w:b/>
          <w:sz w:val="24"/>
          <w:szCs w:val="24"/>
          <w:lang w:val="en-US"/>
        </w:rPr>
        <w:t xml:space="preserve">Economic Memorandum - </w:t>
      </w:r>
      <w:r w:rsidRPr="001E0B11">
        <w:rPr>
          <w:rFonts w:ascii="Times New Roman" w:hAnsi="Times New Roman" w:cs="Times New Roman"/>
          <w:b/>
          <w:sz w:val="24"/>
          <w:szCs w:val="24"/>
          <w:lang w:val="en-US"/>
        </w:rPr>
        <w:t xml:space="preserve">May 2014 </w:t>
      </w:r>
    </w:p>
    <w:p w:rsidR="00412D0F" w:rsidRDefault="00686719" w:rsidP="00686719">
      <w:pPr>
        <w:spacing w:line="240" w:lineRule="auto"/>
        <w:jc w:val="both"/>
        <w:rPr>
          <w:rFonts w:ascii="Times New Roman" w:hAnsi="Times New Roman" w:cs="Times New Roman"/>
          <w:b/>
          <w:sz w:val="24"/>
          <w:szCs w:val="24"/>
          <w:lang w:val="en-US"/>
        </w:rPr>
      </w:pPr>
      <w:r w:rsidRPr="00357AD6">
        <w:rPr>
          <w:rFonts w:ascii="Times New Roman" w:hAnsi="Times New Roman" w:cs="Times New Roman"/>
          <w:b/>
          <w:sz w:val="24"/>
          <w:szCs w:val="24"/>
          <w:lang w:val="en-US"/>
        </w:rPr>
        <w:t>Country partnership strategy for Republic of Turkey for the period 2012-2015</w:t>
      </w:r>
      <w:r>
        <w:rPr>
          <w:rFonts w:ascii="Times New Roman" w:hAnsi="Times New Roman" w:cs="Times New Roman"/>
          <w:b/>
          <w:sz w:val="24"/>
          <w:szCs w:val="24"/>
          <w:lang w:val="en-US"/>
        </w:rPr>
        <w:t xml:space="preserve"> - The World Bank Group </w:t>
      </w:r>
    </w:p>
    <w:p w:rsidR="00686719" w:rsidRDefault="00B40E68" w:rsidP="00686719">
      <w:pPr>
        <w:shd w:val="clear" w:color="auto" w:fill="FFFFFF"/>
        <w:spacing w:after="360" w:line="240" w:lineRule="auto"/>
        <w:jc w:val="both"/>
        <w:rPr>
          <w:rFonts w:ascii="Times New Roman" w:hAnsi="Times New Roman"/>
          <w:sz w:val="24"/>
          <w:szCs w:val="24"/>
        </w:rPr>
      </w:pPr>
      <w:r>
        <w:rPr>
          <w:rFonts w:ascii="Times New Roman" w:hAnsi="Times New Roman"/>
          <w:sz w:val="24"/>
          <w:szCs w:val="24"/>
        </w:rPr>
        <w:t>Los espero en Estambu</w:t>
      </w:r>
      <w:r w:rsidR="00686719">
        <w:rPr>
          <w:rFonts w:ascii="Times New Roman" w:hAnsi="Times New Roman"/>
          <w:sz w:val="24"/>
          <w:szCs w:val="24"/>
        </w:rPr>
        <w:t>l…</w:t>
      </w:r>
    </w:p>
    <w:p w:rsidR="00925405" w:rsidRPr="00686719" w:rsidRDefault="00E3231C" w:rsidP="00686719">
      <w:pPr>
        <w:shd w:val="clear" w:color="auto" w:fill="FFFFFF"/>
        <w:spacing w:after="360" w:line="240" w:lineRule="auto"/>
        <w:jc w:val="both"/>
        <w:rPr>
          <w:rFonts w:ascii="Times New Roman" w:hAnsi="Times New Roman"/>
          <w:sz w:val="24"/>
          <w:szCs w:val="24"/>
        </w:rPr>
      </w:pPr>
      <w:r w:rsidRPr="00925405">
        <w:rPr>
          <w:rFonts w:ascii="Times New Roman" w:hAnsi="Times New Roman" w:cs="Times New Roman"/>
          <w:b/>
          <w:sz w:val="24"/>
          <w:szCs w:val="24"/>
        </w:rPr>
        <w:lastRenderedPageBreak/>
        <w:t>Ane</w:t>
      </w:r>
      <w:r w:rsidR="00925405" w:rsidRPr="00925405">
        <w:rPr>
          <w:rFonts w:ascii="Times New Roman" w:hAnsi="Times New Roman" w:cs="Times New Roman"/>
          <w:b/>
          <w:sz w:val="24"/>
          <w:szCs w:val="24"/>
        </w:rPr>
        <w:t xml:space="preserve">xo II </w:t>
      </w:r>
      <w:r w:rsidR="00925405">
        <w:rPr>
          <w:rFonts w:ascii="Times New Roman" w:hAnsi="Times New Roman" w:cs="Times New Roman"/>
          <w:b/>
          <w:sz w:val="24"/>
          <w:szCs w:val="24"/>
        </w:rPr>
        <w:t>-</w:t>
      </w:r>
      <w:r w:rsidR="00925405" w:rsidRPr="00925405">
        <w:rPr>
          <w:rFonts w:ascii="Times New Roman" w:hAnsi="Times New Roman" w:cs="Times New Roman"/>
          <w:b/>
          <w:sz w:val="24"/>
          <w:szCs w:val="24"/>
        </w:rPr>
        <w:t xml:space="preserve"> </w:t>
      </w:r>
      <w:r w:rsidR="00925405" w:rsidRPr="0040444D">
        <w:rPr>
          <w:rFonts w:ascii="Times New Roman" w:hAnsi="Times New Roman" w:cs="Times New Roman"/>
          <w:b/>
          <w:sz w:val="24"/>
          <w:szCs w:val="24"/>
        </w:rPr>
        <w:t>Turkey</w:t>
      </w: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C727B2A" wp14:editId="5EEBE122">
            <wp:extent cx="5397500" cy="22288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7500" cy="22288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p>
    <w:p w:rsidR="00925405" w:rsidRDefault="00925405" w:rsidP="00925405">
      <w:pPr>
        <w:spacing w:line="240" w:lineRule="auto"/>
        <w:jc w:val="both"/>
        <w:rPr>
          <w:rFonts w:ascii="Times New Roman" w:hAnsi="Times New Roman" w:cs="Times New Roman"/>
          <w:b/>
          <w:sz w:val="24"/>
          <w:szCs w:val="24"/>
          <w:lang w:val="en-US"/>
        </w:rPr>
      </w:pPr>
      <w:r w:rsidRPr="000B6C89">
        <w:rPr>
          <w:rFonts w:ascii="Times New Roman" w:hAnsi="Times New Roman" w:cs="Times New Roman"/>
          <w:b/>
          <w:sz w:val="24"/>
          <w:szCs w:val="24"/>
          <w:lang w:val="en-US"/>
        </w:rPr>
        <w:t>World Development Indicators</w:t>
      </w:r>
    </w:p>
    <w:p w:rsidR="00925405" w:rsidRDefault="00925405" w:rsidP="00925405">
      <w:pPr>
        <w:spacing w:line="240" w:lineRule="auto"/>
        <w:jc w:val="both"/>
        <w:rPr>
          <w:rFonts w:ascii="Times New Roman" w:hAnsi="Times New Roman" w:cs="Times New Roman"/>
          <w:b/>
          <w:sz w:val="24"/>
          <w:szCs w:val="24"/>
          <w:lang w:val="en-US"/>
        </w:rPr>
      </w:pP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A28BE41" wp14:editId="2817827B">
            <wp:extent cx="5391150" cy="24003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1150" cy="24003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8F56B5F" wp14:editId="6A24E850">
            <wp:extent cx="5397500" cy="238125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p>
    <w:p w:rsidR="00925405" w:rsidRDefault="00925405" w:rsidP="00925405">
      <w:pPr>
        <w:spacing w:line="240" w:lineRule="auto"/>
        <w:jc w:val="both"/>
        <w:rPr>
          <w:rFonts w:ascii="Times New Roman" w:hAnsi="Times New Roman" w:cs="Times New Roman"/>
          <w:b/>
          <w:sz w:val="24"/>
          <w:szCs w:val="24"/>
          <w:lang w:val="en-US"/>
        </w:rPr>
      </w:pPr>
      <w:r w:rsidRPr="00D746BD">
        <w:rPr>
          <w:rFonts w:ascii="Times New Roman" w:hAnsi="Times New Roman" w:cs="Times New Roman"/>
          <w:b/>
          <w:sz w:val="24"/>
          <w:szCs w:val="24"/>
          <w:lang w:val="en-US"/>
        </w:rPr>
        <w:lastRenderedPageBreak/>
        <w:t xml:space="preserve">Global Economic Prospects </w:t>
      </w:r>
      <w:r>
        <w:rPr>
          <w:rFonts w:ascii="Times New Roman" w:hAnsi="Times New Roman" w:cs="Times New Roman"/>
          <w:b/>
          <w:sz w:val="24"/>
          <w:szCs w:val="24"/>
          <w:lang w:val="en-US"/>
        </w:rPr>
        <w:t>-</w:t>
      </w:r>
      <w:r w:rsidRPr="00D746BD">
        <w:rPr>
          <w:rFonts w:ascii="Times New Roman" w:hAnsi="Times New Roman" w:cs="Times New Roman"/>
          <w:b/>
          <w:sz w:val="24"/>
          <w:szCs w:val="24"/>
          <w:lang w:val="en-US"/>
        </w:rPr>
        <w:t xml:space="preserve"> Forecasts</w:t>
      </w: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4F125DF" wp14:editId="5246A990">
            <wp:extent cx="5391150" cy="23495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23495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r w:rsidRPr="000B6C89">
        <w:rPr>
          <w:rFonts w:ascii="Times New Roman" w:hAnsi="Times New Roman" w:cs="Times New Roman"/>
          <w:b/>
          <w:sz w:val="24"/>
          <w:szCs w:val="24"/>
          <w:lang w:val="en-US"/>
        </w:rPr>
        <w:t>Turkey Overview</w:t>
      </w: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Context</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Turkey is one of the largest middle-income partners of the World Bank Group (WBG).  With a Gross Domestic Product (GDP) of $</w:t>
      </w:r>
      <w:r w:rsidR="00686719">
        <w:rPr>
          <w:rFonts w:ascii="Times New Roman" w:eastAsia="Times New Roman" w:hAnsi="Times New Roman" w:cs="Times New Roman"/>
          <w:sz w:val="24"/>
          <w:szCs w:val="24"/>
          <w:lang w:val="en-US" w:eastAsia="es-ES"/>
        </w:rPr>
        <w:t xml:space="preserve"> </w:t>
      </w:r>
      <w:r w:rsidRPr="000B6C89">
        <w:rPr>
          <w:rFonts w:ascii="Times New Roman" w:eastAsia="Times New Roman" w:hAnsi="Times New Roman" w:cs="Times New Roman"/>
          <w:sz w:val="24"/>
          <w:szCs w:val="24"/>
          <w:lang w:val="en-US" w:eastAsia="es-ES"/>
        </w:rPr>
        <w:t>786 billion, Turkey is the 18</w:t>
      </w:r>
      <w:r w:rsidRPr="000B6C89">
        <w:rPr>
          <w:rFonts w:ascii="Times New Roman" w:eastAsia="Times New Roman" w:hAnsi="Times New Roman" w:cs="Times New Roman"/>
          <w:sz w:val="24"/>
          <w:szCs w:val="24"/>
          <w:vertAlign w:val="superscript"/>
          <w:lang w:val="en-US" w:eastAsia="es-ES"/>
        </w:rPr>
        <w:t>th</w:t>
      </w:r>
      <w:r w:rsidRPr="000B6C89">
        <w:rPr>
          <w:rFonts w:ascii="Times New Roman" w:eastAsia="Times New Roman" w:hAnsi="Times New Roman" w:cs="Times New Roman"/>
          <w:sz w:val="24"/>
          <w:szCs w:val="24"/>
          <w:lang w:val="en-US" w:eastAsia="es-ES"/>
        </w:rPr>
        <w:t xml:space="preserve"> largest economy in the world. In less than a decade, per capita income in the country has nearly tripled and now exceeds $</w:t>
      </w:r>
      <w:r w:rsidR="00686719">
        <w:rPr>
          <w:rFonts w:ascii="Times New Roman" w:eastAsia="Times New Roman" w:hAnsi="Times New Roman" w:cs="Times New Roman"/>
          <w:sz w:val="24"/>
          <w:szCs w:val="24"/>
          <w:lang w:val="en-US" w:eastAsia="es-ES"/>
        </w:rPr>
        <w:t xml:space="preserve"> </w:t>
      </w:r>
      <w:r w:rsidRPr="000B6C89">
        <w:rPr>
          <w:rFonts w:ascii="Times New Roman" w:eastAsia="Times New Roman" w:hAnsi="Times New Roman" w:cs="Times New Roman"/>
          <w:sz w:val="24"/>
          <w:szCs w:val="24"/>
          <w:lang w:val="en-US" w:eastAsia="es-ES"/>
        </w:rPr>
        <w:t>10,000. Although economic growth was slowed by the onset of the global economic crisis in 2008, it has</w:t>
      </w:r>
      <w:r w:rsidR="009964D0">
        <w:rPr>
          <w:rFonts w:ascii="Times New Roman" w:eastAsia="Times New Roman" w:hAnsi="Times New Roman" w:cs="Times New Roman"/>
          <w:sz w:val="24"/>
          <w:szCs w:val="24"/>
          <w:lang w:val="en-US" w:eastAsia="es-ES"/>
        </w:rPr>
        <w:t xml:space="preserve"> nonetheless remained resilient -</w:t>
      </w:r>
      <w:r w:rsidRPr="000B6C89">
        <w:rPr>
          <w:rFonts w:ascii="Times New Roman" w:eastAsia="Times New Roman" w:hAnsi="Times New Roman" w:cs="Times New Roman"/>
          <w:sz w:val="24"/>
          <w:szCs w:val="24"/>
          <w:lang w:val="en-US" w:eastAsia="es-ES"/>
        </w:rPr>
        <w:t>making Turkey an example from which other countries in the region can learn. Labor markets have recovered fast after the crisis and both the seasonally-adjusted unemployment and employment rates have also improved on their pre-crisis levels.</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Turkey has made considerable advances in competitiveness over the past decade, moving ahead 16 spots to number 43 in the World Economic Forum’s Global Competitiveness Index, for example. During this time Foreign Direct Investment (FDI) has grown from just over $1 billion to an average of $</w:t>
      </w:r>
      <w:r w:rsidR="00686719">
        <w:rPr>
          <w:rFonts w:ascii="Times New Roman" w:eastAsia="Times New Roman" w:hAnsi="Times New Roman" w:cs="Times New Roman"/>
          <w:sz w:val="24"/>
          <w:szCs w:val="24"/>
          <w:lang w:val="en-US" w:eastAsia="es-ES"/>
        </w:rPr>
        <w:t xml:space="preserve"> </w:t>
      </w:r>
      <w:r w:rsidRPr="000B6C89">
        <w:rPr>
          <w:rFonts w:ascii="Times New Roman" w:eastAsia="Times New Roman" w:hAnsi="Times New Roman" w:cs="Times New Roman"/>
          <w:sz w:val="24"/>
          <w:szCs w:val="24"/>
          <w:lang w:val="en-US" w:eastAsia="es-ES"/>
        </w:rPr>
        <w:t>13 billion in the past five years.</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Furthermore, fundamental reforms carried out after 2001 have allowed Turkey’s financial sector to remain relatively strong in spite of the global economic crisis. Turkey was the only country in the Organization for Economic Cooperation and Development (OECD) which did not provide public sector support to the banking sector in the wake of the crisis.</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While Turkey’s economic outlook remains favorable compared to the rest of Europe or indeed the MENA region, the country’s medium-term challenge is to increase productivity and competitiveness while simultaneously reducing its reliance on foreign savings to make growth less volatile and more sustainable throughout the country.</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 xml:space="preserve">Turkey has a deep-rooted, albeit complex relationship with the European Union (EU). The EU remains Turkey’s largest economic partner, accounting for 46% of Turkish trade in 2011. Turkey became a candidate for full membership in the EU at the Helsinki summit in 1999. Accession negotiations began in October 2005 and continue to progress, despite a number of political obstacles (including relations with Cyprus). Following the June 2011 elections, the Government upgraded the institution that </w:t>
      </w:r>
      <w:r w:rsidRPr="000B6C89">
        <w:rPr>
          <w:rFonts w:ascii="Times New Roman" w:eastAsia="Times New Roman" w:hAnsi="Times New Roman" w:cs="Times New Roman"/>
          <w:sz w:val="24"/>
          <w:szCs w:val="24"/>
          <w:lang w:val="en-US" w:eastAsia="es-ES"/>
        </w:rPr>
        <w:lastRenderedPageBreak/>
        <w:t xml:space="preserve">oversees EU accession into the new Ministry for EU Affairs. Negotiations on 13 chapters of the </w:t>
      </w:r>
      <w:r w:rsidRPr="000B6C89">
        <w:rPr>
          <w:rFonts w:ascii="Times New Roman" w:eastAsia="Times New Roman" w:hAnsi="Times New Roman" w:cs="Times New Roman"/>
          <w:i/>
          <w:iCs/>
          <w:sz w:val="24"/>
          <w:szCs w:val="24"/>
          <w:lang w:val="en-US" w:eastAsia="es-ES"/>
        </w:rPr>
        <w:t>acquis communautaire, </w:t>
      </w:r>
      <w:r w:rsidRPr="000B6C89">
        <w:rPr>
          <w:rFonts w:ascii="Times New Roman" w:eastAsia="Times New Roman" w:hAnsi="Times New Roman" w:cs="Times New Roman"/>
          <w:sz w:val="24"/>
          <w:szCs w:val="24"/>
          <w:lang w:val="en-US" w:eastAsia="es-ES"/>
        </w:rPr>
        <w:t>the legal order of the EU, are currently open.</w:t>
      </w:r>
    </w:p>
    <w:p w:rsidR="00925405" w:rsidRPr="000B6C89"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Turkey is a member of the OECD and the G20, and an increasingly important donor to bilateral Official Development Assistance (ODA). </w:t>
      </w:r>
    </w:p>
    <w:p w:rsidR="00925405" w:rsidRDefault="00925405" w:rsidP="00925405">
      <w:pPr>
        <w:spacing w:after="300" w:line="240" w:lineRule="auto"/>
        <w:jc w:val="both"/>
        <w:rPr>
          <w:rFonts w:ascii="Times New Roman" w:eastAsia="Times New Roman" w:hAnsi="Times New Roman" w:cs="Times New Roman"/>
          <w:sz w:val="24"/>
          <w:szCs w:val="24"/>
          <w:lang w:val="en-US" w:eastAsia="es-ES"/>
        </w:rPr>
      </w:pPr>
      <w:r w:rsidRPr="000B6C89">
        <w:rPr>
          <w:rFonts w:ascii="Times New Roman" w:eastAsia="Times New Roman" w:hAnsi="Times New Roman" w:cs="Times New Roman"/>
          <w:sz w:val="24"/>
          <w:szCs w:val="24"/>
          <w:lang w:val="en-US" w:eastAsia="es-ES"/>
        </w:rPr>
        <w:t>The World Bank Group continues to support the government of Turkey in achieving its development goals through the implementation of a program that is highly focused on results, through lending and the provision of technical advisory services. Strategic areas of engagement include private sector development, public finances, energy, climate change, health, education, environmental management and municipal services.</w:t>
      </w:r>
    </w:p>
    <w:p w:rsidR="00925405" w:rsidRPr="000B6C89" w:rsidRDefault="00925405" w:rsidP="00925405">
      <w:pPr>
        <w:spacing w:after="300" w:line="240" w:lineRule="auto"/>
        <w:jc w:val="both"/>
        <w:rPr>
          <w:rFonts w:ascii="Times New Roman" w:eastAsia="Times New Roman" w:hAnsi="Times New Roman" w:cs="Times New Roman"/>
          <w:b/>
          <w:sz w:val="24"/>
          <w:szCs w:val="24"/>
          <w:lang w:val="en-US" w:eastAsia="es-ES"/>
        </w:rPr>
      </w:pPr>
      <w:r w:rsidRPr="000B6C89">
        <w:rPr>
          <w:rFonts w:ascii="Times New Roman" w:eastAsia="Times New Roman" w:hAnsi="Times New Roman" w:cs="Times New Roman"/>
          <w:b/>
          <w:sz w:val="24"/>
          <w:szCs w:val="24"/>
          <w:lang w:val="en-US" w:eastAsia="es-ES"/>
        </w:rPr>
        <w:t>Strategy</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Turkey has been a member of the World Bank Group for more than 60 years, first joining in 1947. The most recent Country Partnership</w:t>
      </w:r>
      <w:r w:rsidR="009964D0">
        <w:rPr>
          <w:rFonts w:ascii="Times New Roman" w:hAnsi="Times New Roman" w:cs="Times New Roman"/>
          <w:sz w:val="24"/>
          <w:szCs w:val="24"/>
          <w:lang w:val="en-US"/>
        </w:rPr>
        <w:t xml:space="preserve"> Strategy (CPS) for Turkey 2012-</w:t>
      </w:r>
      <w:r w:rsidRPr="000B6C89">
        <w:rPr>
          <w:rFonts w:ascii="Times New Roman" w:hAnsi="Times New Roman" w:cs="Times New Roman"/>
          <w:sz w:val="24"/>
          <w:szCs w:val="24"/>
          <w:lang w:val="en-US"/>
        </w:rPr>
        <w:t>2015 envisages financing levels of up to $</w:t>
      </w:r>
      <w:r w:rsidR="00686719">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4.45 billion and the increased provision of analytical and advisory services, as well as new services and instruments, including fee-based services. This latest CPS has three main st</w:t>
      </w:r>
      <w:r>
        <w:rPr>
          <w:rFonts w:ascii="Times New Roman" w:hAnsi="Times New Roman" w:cs="Times New Roman"/>
          <w:sz w:val="24"/>
          <w:szCs w:val="24"/>
          <w:lang w:val="en-US"/>
        </w:rPr>
        <w:t>rategic objectives and pillars: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   Enhanc</w:t>
      </w:r>
      <w:r>
        <w:rPr>
          <w:rFonts w:ascii="Times New Roman" w:hAnsi="Times New Roman" w:cs="Times New Roman"/>
          <w:sz w:val="24"/>
          <w:szCs w:val="24"/>
          <w:lang w:val="en-US"/>
        </w:rPr>
        <w:t>ed Competiveness and Employment</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ii)   Impr</w:t>
      </w:r>
      <w:r>
        <w:rPr>
          <w:rFonts w:ascii="Times New Roman" w:hAnsi="Times New Roman" w:cs="Times New Roman"/>
          <w:sz w:val="24"/>
          <w:szCs w:val="24"/>
          <w:lang w:val="en-US"/>
        </w:rPr>
        <w:t>oved Equity and Public Services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iii)   D</w:t>
      </w:r>
      <w:r>
        <w:rPr>
          <w:rFonts w:ascii="Times New Roman" w:hAnsi="Times New Roman" w:cs="Times New Roman"/>
          <w:sz w:val="24"/>
          <w:szCs w:val="24"/>
          <w:lang w:val="en-US"/>
        </w:rPr>
        <w:t>eepened Sustainable Development</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This portfolio includes 10 lending projects focusing on financial and private sector development, urban development, energy, transport, and health. This work is supplemented by an additional $</w:t>
      </w:r>
      <w:r w:rsidR="009964D0">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109 million from the Turkey Trust Fund Portfolio, most of which ($</w:t>
      </w:r>
      <w:r w:rsidR="009964D0">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100 million) is from the Clean Technology Fund (CTF). The World Bank Group also carries out an Analytical and Advisory Program with the Government of Turkey and a broad range of stakeholders. These services focus on long term structural and institutional issues, including improvement in the investment climate, boosting domestic savings, promoting skills and job creation with a particular focus on female employment, and dive</w:t>
      </w:r>
      <w:r>
        <w:rPr>
          <w:rFonts w:ascii="Times New Roman" w:hAnsi="Times New Roman" w:cs="Times New Roman"/>
          <w:sz w:val="24"/>
          <w:szCs w:val="24"/>
          <w:lang w:val="en-US"/>
        </w:rPr>
        <w:t>rsifying the country’s exports.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The International Finance Corporation maintains an active partnership with Turkey. Turkey has been a member of the IFC since 1956 and is now the secon</w:t>
      </w:r>
      <w:r w:rsidR="009964D0">
        <w:rPr>
          <w:rFonts w:ascii="Times New Roman" w:hAnsi="Times New Roman" w:cs="Times New Roman"/>
          <w:sz w:val="24"/>
          <w:szCs w:val="24"/>
          <w:lang w:val="en-US"/>
        </w:rPr>
        <w:t>d largest IFC client. From 2008-</w:t>
      </w:r>
      <w:r w:rsidRPr="000B6C89">
        <w:rPr>
          <w:rFonts w:ascii="Times New Roman" w:hAnsi="Times New Roman" w:cs="Times New Roman"/>
          <w:sz w:val="24"/>
          <w:szCs w:val="24"/>
          <w:lang w:val="en-US"/>
        </w:rPr>
        <w:t>2011 the IFC invested $</w:t>
      </w:r>
      <w:r w:rsidR="002373E8">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3.7 billion in Turkey through 47 projects, and in 2010, the IFC established the first IFC Operations Ce</w:t>
      </w:r>
      <w:r w:rsidR="009964D0">
        <w:rPr>
          <w:rFonts w:ascii="Times New Roman" w:hAnsi="Times New Roman" w:cs="Times New Roman"/>
          <w:sz w:val="24"/>
          <w:szCs w:val="24"/>
          <w:lang w:val="en-US"/>
        </w:rPr>
        <w:t>nter in Istanbul. During FY2012-</w:t>
      </w:r>
      <w:r w:rsidRPr="000B6C89">
        <w:rPr>
          <w:rFonts w:ascii="Times New Roman" w:hAnsi="Times New Roman" w:cs="Times New Roman"/>
          <w:sz w:val="24"/>
          <w:szCs w:val="24"/>
          <w:lang w:val="en-US"/>
        </w:rPr>
        <w:t>2015, IFC’s own account investment program in Turkey will be up to $</w:t>
      </w:r>
      <w:r w:rsidR="009964D0">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 xml:space="preserve">2.0 billion. </w:t>
      </w:r>
    </w:p>
    <w:p w:rsidR="00925405"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The IFC aims its support toward under-served segments of the economy, including female entrepreneurs and micro, small, and medium enterprises (MSMEs).  The IFC is also planning to invest in energy efficiency, renewable energy, municipalities, and poorer regions of Turkey and has a growing partnership with Turkish companies to implement investments in third markets.</w:t>
      </w:r>
    </w:p>
    <w:p w:rsidR="009964D0" w:rsidRDefault="009964D0"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Pr="00896870"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b/>
          <w:sz w:val="24"/>
          <w:szCs w:val="24"/>
          <w:lang w:val="en-US"/>
        </w:rPr>
        <w:lastRenderedPageBreak/>
        <w:t>Results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Turkey’s development achievements are impressive, and the country is on track to meet its Millennium Development Goals. The World Bank Group has supported these achievements in selected areas, such as competitiveness, employment, health, ed</w:t>
      </w:r>
      <w:r>
        <w:rPr>
          <w:rFonts w:ascii="Times New Roman" w:hAnsi="Times New Roman" w:cs="Times New Roman"/>
          <w:sz w:val="24"/>
          <w:szCs w:val="24"/>
          <w:lang w:val="en-US"/>
        </w:rPr>
        <w:t>ucation, and the energy sector.</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Enhancing Competitiveness and Employment: Turkey has advanced considerably in global competitiveness rankings during the past decade, and in 2012, Turkey advanced 16 ranks to 43rd place in the World Economic Forum’</w:t>
      </w:r>
      <w:r>
        <w:rPr>
          <w:rFonts w:ascii="Times New Roman" w:hAnsi="Times New Roman" w:cs="Times New Roman"/>
          <w:sz w:val="24"/>
          <w:szCs w:val="24"/>
          <w:lang w:val="en-US"/>
        </w:rPr>
        <w:t>s Global Competitiveness Index.</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Foreign Direct Investment rose from just over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 billion in the early 2000s to an average of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13 billion in the past five years. A new incentive scheme launched in April 2012 and a series of legal initiatives, including the introduction of a new commercial code, contribute to making Turkey a globally competitive place to do business. Turkey’s efforts to promote investment and competitiveness also focused on deepening and broadening financial markets, and to expand medium and long-term access to finance for Small and Medium Enterprises (SMEs). World Bank support includes the ongoing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900 million Fourth Export Finance Intermediary Loan, which is the last in a series that provided financing to medium-sized exporters in Turkey amounting to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1.7 billion. The First and Second Access to Finance for SMEs credit lines provided financing to SMEs amounting to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1.2 billion. Advisory work and technical assistance focus on investment climate, including access to finance, financial market diversification and innovation, e</w:t>
      </w:r>
      <w:r>
        <w:rPr>
          <w:rFonts w:ascii="Times New Roman" w:hAnsi="Times New Roman" w:cs="Times New Roman"/>
          <w:sz w:val="24"/>
          <w:szCs w:val="24"/>
          <w:lang w:val="en-US"/>
        </w:rPr>
        <w:t>mployment policies, and gender.</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•SMEs and exporting firms had access to medium-term access to finance through SME credit lines, amounting to some $</w:t>
      </w:r>
      <w:r w:rsidR="00AD5B97">
        <w:rPr>
          <w:rFonts w:ascii="Times New Roman" w:hAnsi="Times New Roman" w:cs="Times New Roman"/>
          <w:sz w:val="24"/>
          <w:szCs w:val="24"/>
          <w:lang w:val="en-US"/>
        </w:rPr>
        <w:t xml:space="preserve"> </w:t>
      </w:r>
      <w:r w:rsidR="00686719">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4 billion over the past 10 years.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•During 2011, nine IFC client companies issued more than 465,000 micro loans and almost 460,000 SME loans, and held outstanding MSME portfolio exceeding of $</w:t>
      </w:r>
      <w:r w:rsidR="00686719">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35.1 billion (end of 2011).</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•More than 17,500 jobs were saved in SMEs which benefitted from medium-term financing under World Bank-financed credit lines.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•As of January 2012, IFC’s portfolio companies in Turkey provided more than 90,000 jobs (29 companies reported employment figures).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 new commercial code was introduced in 2012.</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Investment Advisory Council was established in 2004.  On an annual basis, the Council brings together top private sector executives, Government policy makers and international financial institutions to discuss and agree on measures to improve Turkey’s investment climate.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•IFC invested over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500 million in 20 projects with Turkish comp</w:t>
      </w:r>
      <w:r>
        <w:rPr>
          <w:rFonts w:ascii="Times New Roman" w:hAnsi="Times New Roman" w:cs="Times New Roman"/>
          <w:sz w:val="24"/>
          <w:szCs w:val="24"/>
          <w:lang w:val="en-US"/>
        </w:rPr>
        <w:t>anies investing outside Turkey.</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Improved Equity and Public Services: Turkey’s rapid growth and development over the past decade is one of the success stories of the global economy.  After a banking crisis in 2001, the country embarked on a concerted path of structural reform.  Per-capita income almost tripled in less than a decade and Turkey, with a population of 75 million, </w:t>
      </w:r>
      <w:r w:rsidRPr="000B6C89">
        <w:rPr>
          <w:rFonts w:ascii="Times New Roman" w:hAnsi="Times New Roman" w:cs="Times New Roman"/>
          <w:sz w:val="24"/>
          <w:szCs w:val="24"/>
          <w:lang w:val="en-US"/>
        </w:rPr>
        <w:lastRenderedPageBreak/>
        <w:t xml:space="preserve">is now an upper middle-income country and the world’s 18th largest economy.  Social outcomes have also improved considerably as a result of economic growth and improved public service delivery, with increased access to education (and virtually universal enrollment at the primary level as well as rapidly increasing secondary enrolment) and health services (linked to the </w:t>
      </w:r>
      <w:r>
        <w:rPr>
          <w:rFonts w:ascii="Times New Roman" w:hAnsi="Times New Roman" w:cs="Times New Roman"/>
          <w:sz w:val="24"/>
          <w:szCs w:val="24"/>
          <w:lang w:val="en-US"/>
        </w:rPr>
        <w:t>Health Transformation Program).</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1. Supporting Turkey’s Health Transformation Program: Turkey’s Health Transformation Program is an inspiration and example to others of how health performance can be turned around quickly. Turkey introduced the Health Transformation Program in 2003 to reform the way health care was financed, delivered, organized, and managed. Turkey has since then considerably reduced maternal mortality, which fell from 28.5 deaths per 100,000 live births in 2005 to 15.5 deaths in 2011. It has therefore already met its Millennium Development Goal on this indicator. There has also been a sharp decline in infant mortality, from 20.3 deaths per 1,000 live births in 2005 to 12.2 in 2012. The World Bank supported Turkey’s Health Transformation Program in two phases. The first phase, through the Health Transition Project, supported the introduction of the family medicine model, and helped build the capacity of the Ministry of Health and the Social Security Institute to expand health insurance coverage and improve family medicine service delivery. The second phase, through the ongoing Project in Support of Restructuring of Health Sector, supports reforms aimed at increasing hospital autonomy, expanding family medicine services, and further strengthening performance management and pa</w:t>
      </w:r>
      <w:r>
        <w:rPr>
          <w:rFonts w:ascii="Times New Roman" w:hAnsi="Times New Roman" w:cs="Times New Roman"/>
          <w:sz w:val="24"/>
          <w:szCs w:val="24"/>
          <w:lang w:val="en-US"/>
        </w:rPr>
        <w:t xml:space="preserve">y-for-performance initiatives. </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increase in coverage of health insurance, from 71% of the population in 2003, to 99% in 2011. Starting from 2012, the entire population is covered by the Universal Health Insurance by law.</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increase in population enrolled with family medicine from zero in 15 pilot provinces in 2003, to the entire population by 2010.</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increase in the utilization of primary care services to 3.3 outpatient visits per capita in 2011 compared with 2.1 in 2008.</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increase in patient satisfaction with primary care services in provinces where family medicine was introduced, from 69% in 2004 to 89.8% in 2012.</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•An increase in patient satisfaction with health services in public hospitals from 41% in 2003 to 76% in 2011.</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•Unification of social security systems, and transfer of all hospitals to the Ministry of Health, giving people the possibility</w:t>
      </w:r>
      <w:r>
        <w:rPr>
          <w:rFonts w:ascii="Times New Roman" w:hAnsi="Times New Roman" w:cs="Times New Roman"/>
          <w:sz w:val="24"/>
          <w:szCs w:val="24"/>
          <w:lang w:val="en-US"/>
        </w:rPr>
        <w:t xml:space="preserve"> to choose where to be treated.</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2. Better Quality and Equity of Education: Turkey has made remarkable progress in improving educ</w:t>
      </w:r>
      <w:r w:rsidR="002373E8">
        <w:rPr>
          <w:rFonts w:ascii="Times New Roman" w:hAnsi="Times New Roman" w:cs="Times New Roman"/>
          <w:sz w:val="24"/>
          <w:szCs w:val="24"/>
          <w:lang w:val="en-US"/>
        </w:rPr>
        <w:t xml:space="preserve">ation in the last two decades. </w:t>
      </w:r>
      <w:r w:rsidRPr="000B6C89">
        <w:rPr>
          <w:rFonts w:ascii="Times New Roman" w:hAnsi="Times New Roman" w:cs="Times New Roman"/>
          <w:sz w:val="24"/>
          <w:szCs w:val="24"/>
          <w:lang w:val="en-US"/>
        </w:rPr>
        <w:t xml:space="preserve">Turkey has achieved almost universal primary education (net enrollment rate of 98 percent) and has significantly increased net secondary school enrollment (70 percent). Results from the 2012 Program for International Student Assessment (PISA), which measures learning outcomes of 15 year olds, show remarkable progress since 2003. This progress represents more than a </w:t>
      </w:r>
      <w:r w:rsidR="00AD5B97" w:rsidRPr="000B6C89">
        <w:rPr>
          <w:rFonts w:ascii="Times New Roman" w:hAnsi="Times New Roman" w:cs="Times New Roman"/>
          <w:sz w:val="24"/>
          <w:szCs w:val="24"/>
          <w:lang w:val="en-US"/>
        </w:rPr>
        <w:t>half year</w:t>
      </w:r>
      <w:r w:rsidRPr="000B6C89">
        <w:rPr>
          <w:rFonts w:ascii="Times New Roman" w:hAnsi="Times New Roman" w:cs="Times New Roman"/>
          <w:sz w:val="24"/>
          <w:szCs w:val="24"/>
          <w:lang w:val="en-US"/>
        </w:rPr>
        <w:t xml:space="preserve"> of schooling in each of the tested subjects. At the same time, inequalities in results have decreased substantially. The World Bank continues its engagement with the </w:t>
      </w:r>
      <w:r w:rsidRPr="000B6C89">
        <w:rPr>
          <w:rFonts w:ascii="Times New Roman" w:hAnsi="Times New Roman" w:cs="Times New Roman"/>
          <w:sz w:val="24"/>
          <w:szCs w:val="24"/>
          <w:lang w:val="en-US"/>
        </w:rPr>
        <w:lastRenderedPageBreak/>
        <w:t>Ministry of National Education, through a series of analytical studies that draw from international best practices, in the areas of early childhood education and quality and efficiency of education. Proposed future work will assess issues around school</w:t>
      </w:r>
      <w:r>
        <w:rPr>
          <w:rFonts w:ascii="Times New Roman" w:hAnsi="Times New Roman" w:cs="Times New Roman"/>
          <w:sz w:val="24"/>
          <w:szCs w:val="24"/>
          <w:lang w:val="en-US"/>
        </w:rPr>
        <w:t xml:space="preserve"> autonomy and school financing.</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•Revision of 66 secondary education curricula.</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•Development of 1,151 modules for vocational education.</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•Revision of 50 secondary education textbooks.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•Introduction of a web-based career guidance system in 2010.</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•School grants made available to 3,671 schools in 60 sub-provinces with low enrollment rates</w:t>
      </w:r>
      <w:r>
        <w:rPr>
          <w:rFonts w:ascii="Times New Roman" w:hAnsi="Times New Roman" w:cs="Times New Roman"/>
          <w:sz w:val="24"/>
          <w:szCs w:val="24"/>
          <w:lang w:val="en-US"/>
        </w:rPr>
        <w:t xml:space="preserve"> to finance school-level needs.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Deepened Sustainable Development:   Turkey’s comprehensive energy reforms over the past decade have transformed the sector, achieving more effective management and regulation, mobilizing substantial levels of private investment, increasing energy security and reliability of energy supply to households and firms, developing significant renewable energy capacity and investments, and beginning to increase energy efficiency and reducing greenhouse gas emissions to mitigate climate change.  Sustainable management of natural resources are growing in importance, as Turkey’s natural resources face increasing pressures, and cities are at the forefront of Turkey’s sustainable development agenda. World Bank financing and technical assistance supports reforms in the energy sector, climate change, as well as measures to strengthen environmental management at th</w:t>
      </w:r>
      <w:r>
        <w:rPr>
          <w:rFonts w:ascii="Times New Roman" w:hAnsi="Times New Roman" w:cs="Times New Roman"/>
          <w:sz w:val="24"/>
          <w:szCs w:val="24"/>
          <w:lang w:val="en-US"/>
        </w:rPr>
        <w:t>e national and municipal level.</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1. Increased Energy Efficiency and Reliability, Increased Use of Renewable Energy: Electricity demand has been growing between 7% and 8% annually on average, driven by Turkey’s rapid economic growth, industrialization and steady population growth. Energy efficiency has emerged as a policy priority due to the relative high energy intensity of the economy and its need to maintain its competitiveness. Although total primary energy supply per capita in Turkey is s</w:t>
      </w:r>
      <w:r w:rsidR="002373E8">
        <w:rPr>
          <w:rFonts w:ascii="Times New Roman" w:hAnsi="Times New Roman" w:cs="Times New Roman"/>
          <w:sz w:val="24"/>
          <w:szCs w:val="24"/>
          <w:lang w:val="en-US"/>
        </w:rPr>
        <w:t>till low -</w:t>
      </w:r>
      <w:r w:rsidRPr="000B6C89">
        <w:rPr>
          <w:rFonts w:ascii="Times New Roman" w:hAnsi="Times New Roman" w:cs="Times New Roman"/>
          <w:sz w:val="24"/>
          <w:szCs w:val="24"/>
          <w:lang w:val="en-US"/>
        </w:rPr>
        <w:t xml:space="preserve">1.44 tons of oil equivalent (toe)/capita in 2010, compared to the </w:t>
      </w:r>
      <w:r w:rsidR="002373E8">
        <w:rPr>
          <w:rFonts w:ascii="Times New Roman" w:hAnsi="Times New Roman" w:cs="Times New Roman"/>
          <w:sz w:val="24"/>
          <w:szCs w:val="24"/>
          <w:lang w:val="en-US"/>
        </w:rPr>
        <w:t>OECD average of 4.39 toe/capita</w:t>
      </w:r>
      <w:r w:rsidRPr="000B6C89">
        <w:rPr>
          <w:rFonts w:ascii="Times New Roman" w:hAnsi="Times New Roman" w:cs="Times New Roman"/>
          <w:sz w:val="24"/>
          <w:szCs w:val="24"/>
          <w:lang w:val="en-US"/>
        </w:rPr>
        <w:t>- the Turkish economy is comparatively energy intensive. The energy sector represents one of the largest portions of the World Bank’s financing portfolio in Turkey, at about</w:t>
      </w:r>
      <w:r>
        <w:rPr>
          <w:rFonts w:ascii="Times New Roman" w:hAnsi="Times New Roman" w:cs="Times New Roman"/>
          <w:sz w:val="24"/>
          <w:szCs w:val="24"/>
          <w:lang w:val="en-US"/>
        </w:rPr>
        <w:t xml:space="preserve"> 35% of total net commitments. </w:t>
      </w:r>
      <w:r w:rsidRPr="000B6C89">
        <w:rPr>
          <w:rFonts w:ascii="Times New Roman" w:hAnsi="Times New Roman" w:cs="Times New Roman"/>
          <w:sz w:val="24"/>
          <w:szCs w:val="24"/>
          <w:lang w:val="en-US"/>
        </w:rPr>
        <w:t>World Bank-financed projects range from electricity transmission to private sector financing for renewable energy and energy efficiency. During the last five years, IFC significantly increased its financing in the renewable energy projects and has invested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2.3 billion in 5 projects in the power generation sector. Also, IFC has invested about $</w:t>
      </w:r>
      <w:r w:rsidR="00AD5B97">
        <w:rPr>
          <w:rFonts w:ascii="Times New Roman" w:hAnsi="Times New Roman" w:cs="Times New Roman"/>
          <w:sz w:val="24"/>
          <w:szCs w:val="24"/>
          <w:lang w:val="en-US"/>
        </w:rPr>
        <w:t xml:space="preserve"> </w:t>
      </w:r>
      <w:r w:rsidRPr="000B6C89">
        <w:rPr>
          <w:rFonts w:ascii="Times New Roman" w:hAnsi="Times New Roman" w:cs="Times New Roman"/>
          <w:sz w:val="24"/>
          <w:szCs w:val="24"/>
          <w:lang w:val="en-US"/>
        </w:rPr>
        <w:t>700 million in 17 energy efficiency projects, of which more than half was channeled through commercial banks for on-lending to energy efficiency projects. Turkey was the first country to benefit from the Clean Technology Fund. The Environmental Sustainability and Energy Sector Development Policy Loan series focused on enhancing private sector clean technology investments and on integrating climate change considerations in key sector policies and programs. Through the World Bank, Turkey is participating in the Partnership for Market-Readiness to help it set-up a Green House Gas monitoring, reporting, and verification system in the power and industrial sectors and prepare for a possible use of a market-</w:t>
      </w:r>
      <w:r w:rsidRPr="000B6C89">
        <w:rPr>
          <w:rFonts w:ascii="Times New Roman" w:hAnsi="Times New Roman" w:cs="Times New Roman"/>
          <w:sz w:val="24"/>
          <w:szCs w:val="24"/>
          <w:lang w:val="en-US"/>
        </w:rPr>
        <w:lastRenderedPageBreak/>
        <w:t>based instrument to mitigate the impact of climate change. Starting in 2013, World Bank technical assistance will be scaled up, utilizing the EU Instrument for Pre-Accession Assistance to support energy reforms in line with EU policies, and strengthen institutional capacity in the areas of power and gas market development, energy efficiency, an</w:t>
      </w:r>
      <w:r>
        <w:rPr>
          <w:rFonts w:ascii="Times New Roman" w:hAnsi="Times New Roman" w:cs="Times New Roman"/>
          <w:sz w:val="24"/>
          <w:szCs w:val="24"/>
          <w:lang w:val="en-US"/>
        </w:rPr>
        <w:t>d renewable energy integration.</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•Greenhouse gas emission reduction estimated at 3.3 million ton per year through the financing of renewable energy and energy efficiency projects.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•Electricity produced from privately owned renewable generation facilities increased by more than seventeen times, from 1,490 GWh in 2002 to 26,234 GWh in 2012.</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•Through its investments in the power sector IFC has reached 7.9 million customers. </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•Expansion of electricity transmission lines of about 7,000 Km from 2002 to 2011. Transmission expansion and upgrades have strengthened the system's reliability by adding transfer capacity equivalent to supply power to an estimated additional 4.6 million households.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•Decrease in the number and duration of interruptions faced by consumers in eight regional companies between 39% and 37% and 78% and 82%, respectively.  </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•Improvement in collection efficiency of eight regional c</w:t>
      </w:r>
      <w:r>
        <w:rPr>
          <w:rFonts w:ascii="Times New Roman" w:hAnsi="Times New Roman" w:cs="Times New Roman"/>
          <w:sz w:val="24"/>
          <w:szCs w:val="24"/>
          <w:lang w:val="en-US"/>
        </w:rPr>
        <w:t>ompanies, between 96% and 103%.</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2. Strengthened Disaster Prevention and Management. Turkey remains vulnerable to natural disasters, particularly earthquakes, and the city of Istanbul remains highly vulnerable due to its location on the North Anatolian Fault, high population, and commercial/industrial densities. The World Bank provides support through the Istanbul Seismic Mitigation and Emergency Preparedness (ISMEP) Project, which aims at improving the city’s preparedness for a potential earthquake through enhancing the institutional and technical capacity for disaster management and emergency response, strengthening critical public facilities for earthquake resistance, and supporting measures for better</w:t>
      </w:r>
      <w:r>
        <w:rPr>
          <w:rFonts w:ascii="Times New Roman" w:hAnsi="Times New Roman" w:cs="Times New Roman"/>
          <w:sz w:val="24"/>
          <w:szCs w:val="24"/>
          <w:lang w:val="en-US"/>
        </w:rPr>
        <w:t xml:space="preserve"> enforcement of building codes.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•702 public buildings were retrofitted or constructed in Istanbul, including schools that serve more than 750,000 students and teachers, and hospitals/clinics that serve about 1 million patients annually. </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•The back-up Disaster Management Center is operational and the construction of the Istanbul Governorship’s main Disaster Management Center was completed.</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•A first-in-Turkey digital inventory of cultural heritage buildings of Istanbul was developed under the authority of the Ministry of Culture and Tourism.</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•450,000 people were trained in disaster preparedness and an estimated 5 million citizens reached via social and public media through the Public Awareness and Neighborhood Community Volunteers programs.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lastRenderedPageBreak/>
        <w:t>•3,630 engineers throughout the country were trained in the seismic retrofitting code, and two pilot municipalities of Pendik and Bagcilar became the first in Turkey to introduce e-services for building permi</w:t>
      </w:r>
      <w:r>
        <w:rPr>
          <w:rFonts w:ascii="Times New Roman" w:hAnsi="Times New Roman" w:cs="Times New Roman"/>
          <w:sz w:val="24"/>
          <w:szCs w:val="24"/>
          <w:lang w:val="en-US"/>
        </w:rPr>
        <w:t>ts issuances to their citizens.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Improved Municipal Services and Urban Environmental Management. The demand for quality urban environmental ma</w:t>
      </w:r>
      <w:r w:rsidR="00AD5B97">
        <w:rPr>
          <w:rFonts w:ascii="Times New Roman" w:hAnsi="Times New Roman" w:cs="Times New Roman"/>
          <w:sz w:val="24"/>
          <w:szCs w:val="24"/>
          <w:lang w:val="en-US"/>
        </w:rPr>
        <w:t>nagement and municipal services -</w:t>
      </w:r>
      <w:r w:rsidRPr="000B6C89">
        <w:rPr>
          <w:rFonts w:ascii="Times New Roman" w:hAnsi="Times New Roman" w:cs="Times New Roman"/>
          <w:sz w:val="24"/>
          <w:szCs w:val="24"/>
          <w:lang w:val="en-US"/>
        </w:rPr>
        <w:t>water, wastewater treatment, solid waste collecti</w:t>
      </w:r>
      <w:r w:rsidR="00AD5B97">
        <w:rPr>
          <w:rFonts w:ascii="Times New Roman" w:hAnsi="Times New Roman" w:cs="Times New Roman"/>
          <w:sz w:val="24"/>
          <w:szCs w:val="24"/>
          <w:lang w:val="en-US"/>
        </w:rPr>
        <w:t xml:space="preserve">on, and waste disposal services- </w:t>
      </w:r>
      <w:r w:rsidRPr="000B6C89">
        <w:rPr>
          <w:rFonts w:ascii="Times New Roman" w:hAnsi="Times New Roman" w:cs="Times New Roman"/>
          <w:sz w:val="24"/>
          <w:szCs w:val="24"/>
          <w:lang w:val="en-US"/>
        </w:rPr>
        <w:t>is expected to continue rising in Turkey. Turkey is experiencing rapid urbanization, with about 65% of Turkey’s population living in urban areas, amid expectations that this will increase to more than 80% by 2030. In the urban sector, the Bank provides financial and technical support through the Municipal Services Project and Land Registration and Cadaster Modernization Project. IFC’s first engagement in the municipal sector in Turkey was with the Metropolitan Municipality of Istanbul, under the KK metro project in 2008.  In December 2012, IFC closed a second transaction with the city of Izmir targeted at improving the sea transportation, the traffic management and</w:t>
      </w:r>
      <w:r>
        <w:rPr>
          <w:rFonts w:ascii="Times New Roman" w:hAnsi="Times New Roman" w:cs="Times New Roman"/>
          <w:sz w:val="24"/>
          <w:szCs w:val="24"/>
          <w:lang w:val="en-US"/>
        </w:rPr>
        <w:t xml:space="preserve"> the emergency response system.</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Key achievements supported by the World Bank include:</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•Percentages of non-revenue water were significantly reduced in targeted cities by the end of 2012, such as Asat (Antalya), where losses were reduced from 52% to 44%, Kutahya (from 69% to 35.5%), and Mersin (from 66% to 50%).</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•More than 1.8 million people in eight cities around the country benefitted from new or rehabilitated municipal water supply systems.</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•Sewerage services increased dramatically in some cities, such as Ilica, where the percentage of the city population connected to the sewer network increased from 40% in 2006 to 90% by the end of 2012, Antalya (from 43% to 69% percent).</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•The number of </w:t>
      </w:r>
      <w:r w:rsidR="00AD5B97" w:rsidRPr="000B6C89">
        <w:rPr>
          <w:rFonts w:ascii="Times New Roman" w:hAnsi="Times New Roman" w:cs="Times New Roman"/>
          <w:sz w:val="24"/>
          <w:szCs w:val="24"/>
          <w:lang w:val="en-US"/>
        </w:rPr>
        <w:t>cadaster</w:t>
      </w:r>
      <w:r w:rsidRPr="000B6C89">
        <w:rPr>
          <w:rFonts w:ascii="Times New Roman" w:hAnsi="Times New Roman" w:cs="Times New Roman"/>
          <w:sz w:val="24"/>
          <w:szCs w:val="24"/>
          <w:lang w:val="en-US"/>
        </w:rPr>
        <w:t xml:space="preserve"> disputes in courts decreased from 4% to about 2% of annual transactions (0.3% for renovated parcels) due to improved technology and the consultative nature of the survey methods introduced by TKGM.</w:t>
      </w:r>
    </w:p>
    <w:p w:rsidR="00925405" w:rsidRPr="000B6C89"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 xml:space="preserve">•The time to respond to </w:t>
      </w:r>
      <w:r w:rsidR="00AD5B97" w:rsidRPr="000B6C89">
        <w:rPr>
          <w:rFonts w:ascii="Times New Roman" w:hAnsi="Times New Roman" w:cs="Times New Roman"/>
          <w:sz w:val="24"/>
          <w:szCs w:val="24"/>
          <w:lang w:val="en-US"/>
        </w:rPr>
        <w:t>cadaster</w:t>
      </w:r>
      <w:r w:rsidRPr="000B6C89">
        <w:rPr>
          <w:rFonts w:ascii="Times New Roman" w:hAnsi="Times New Roman" w:cs="Times New Roman"/>
          <w:sz w:val="24"/>
          <w:szCs w:val="24"/>
          <w:lang w:val="en-US"/>
        </w:rPr>
        <w:t xml:space="preserve"> data requests was reduced from one week to two hours. </w:t>
      </w:r>
    </w:p>
    <w:p w:rsidR="00925405" w:rsidRDefault="00925405" w:rsidP="00925405">
      <w:pPr>
        <w:spacing w:line="240" w:lineRule="auto"/>
        <w:jc w:val="both"/>
        <w:rPr>
          <w:rFonts w:ascii="Times New Roman" w:hAnsi="Times New Roman" w:cs="Times New Roman"/>
          <w:sz w:val="24"/>
          <w:szCs w:val="24"/>
          <w:lang w:val="en-US"/>
        </w:rPr>
      </w:pPr>
      <w:r w:rsidRPr="000B6C89">
        <w:rPr>
          <w:rFonts w:ascii="Times New Roman" w:hAnsi="Times New Roman" w:cs="Times New Roman"/>
          <w:sz w:val="24"/>
          <w:szCs w:val="24"/>
          <w:lang w:val="en-US"/>
        </w:rPr>
        <w:t>•Cadastral renovation was completed for 1 million parcels and more than 115,000 square kilometers of ortophoto maps (aerial photographs that are corrected so that the scale is uniform and the photos have the same lack of distortion as a map) were produced.</w:t>
      </w:r>
    </w:p>
    <w:p w:rsidR="00925405" w:rsidRDefault="00925405" w:rsidP="00925405">
      <w:pPr>
        <w:spacing w:line="240" w:lineRule="auto"/>
        <w:jc w:val="both"/>
        <w:rPr>
          <w:rFonts w:ascii="Times New Roman" w:hAnsi="Times New Roman" w:cs="Times New Roman"/>
          <w:b/>
          <w:sz w:val="24"/>
          <w:szCs w:val="24"/>
          <w:lang w:val="en-US"/>
        </w:rPr>
      </w:pPr>
      <w:r w:rsidRPr="00EF2EED">
        <w:rPr>
          <w:rFonts w:ascii="Times New Roman" w:hAnsi="Times New Roman" w:cs="Times New Roman"/>
          <w:b/>
          <w:sz w:val="24"/>
          <w:szCs w:val="24"/>
          <w:lang w:val="en-US"/>
        </w:rPr>
        <w:t>C</w:t>
      </w:r>
      <w:r>
        <w:rPr>
          <w:rFonts w:ascii="Times New Roman" w:hAnsi="Times New Roman" w:cs="Times New Roman"/>
          <w:b/>
          <w:sz w:val="24"/>
          <w:szCs w:val="24"/>
          <w:lang w:val="en-US"/>
        </w:rPr>
        <w:t>ountry and regional perspectives (WEO - FMI)</w:t>
      </w:r>
    </w:p>
    <w:p w:rsidR="00925405" w:rsidRPr="00833447" w:rsidRDefault="00925405" w:rsidP="00925405">
      <w:pPr>
        <w:spacing w:line="240" w:lineRule="auto"/>
        <w:jc w:val="both"/>
        <w:rPr>
          <w:rFonts w:ascii="Times New Roman" w:hAnsi="Times New Roman" w:cs="Times New Roman"/>
          <w:b/>
          <w:sz w:val="24"/>
          <w:szCs w:val="24"/>
          <w:lang w:val="en-US"/>
        </w:rPr>
      </w:pPr>
      <w:r w:rsidRPr="00833447">
        <w:rPr>
          <w:rFonts w:ascii="Times New Roman" w:hAnsi="Times New Roman" w:cs="Times New Roman"/>
          <w:b/>
          <w:sz w:val="24"/>
          <w:szCs w:val="24"/>
          <w:lang w:val="en-US"/>
        </w:rPr>
        <w:t xml:space="preserve">October 2014 </w:t>
      </w:r>
    </w:p>
    <w:p w:rsidR="00925405" w:rsidRDefault="00925405" w:rsidP="00925405">
      <w:pPr>
        <w:spacing w:line="240" w:lineRule="auto"/>
        <w:jc w:val="both"/>
        <w:rPr>
          <w:rFonts w:ascii="Times New Roman" w:hAnsi="Times New Roman" w:cs="Times New Roman"/>
          <w:b/>
          <w:sz w:val="24"/>
          <w:szCs w:val="24"/>
          <w:lang w:val="en-US"/>
        </w:rPr>
        <w:sectPr w:rsidR="00925405">
          <w:pgSz w:w="11906" w:h="16838"/>
          <w:pgMar w:top="1417" w:right="1701" w:bottom="1417" w:left="1701" w:header="708" w:footer="708" w:gutter="0"/>
          <w:cols w:space="708"/>
          <w:docGrid w:linePitch="360"/>
        </w:sectPr>
      </w:pPr>
      <w:r>
        <w:rPr>
          <w:rFonts w:ascii="Times New Roman" w:hAnsi="Times New Roman" w:cs="Times New Roman"/>
          <w:b/>
          <w:sz w:val="24"/>
          <w:szCs w:val="24"/>
          <w:lang w:val="en-US"/>
        </w:rPr>
        <w:t>Turkey</w:t>
      </w:r>
    </w:p>
    <w:p w:rsidR="00925405" w:rsidRPr="00833447"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noProof/>
          <w:color w:val="FF0000"/>
          <w:sz w:val="24"/>
          <w:szCs w:val="24"/>
          <w:lang w:eastAsia="es-ES"/>
        </w:rPr>
        <w:lastRenderedPageBreak/>
        <w:drawing>
          <wp:inline distT="0" distB="0" distL="0" distR="0" wp14:anchorId="7BE3D313" wp14:editId="6E2570F7">
            <wp:extent cx="8280400" cy="341630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284297" cy="3417908"/>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b/>
          <w:noProof/>
          <w:color w:val="FF0000"/>
          <w:sz w:val="24"/>
          <w:szCs w:val="24"/>
          <w:lang w:eastAsia="es-ES"/>
        </w:rPr>
        <w:drawing>
          <wp:inline distT="0" distB="0" distL="0" distR="0" wp14:anchorId="2D6BB7AE" wp14:editId="1872631C">
            <wp:extent cx="8280400" cy="139700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313640" cy="1402608"/>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sectPr w:rsidR="00925405" w:rsidSect="00925405">
          <w:pgSz w:w="16838" w:h="11906" w:orient="landscape"/>
          <w:pgMar w:top="1701" w:right="1418" w:bottom="1701" w:left="1418" w:header="709" w:footer="709" w:gutter="0"/>
          <w:cols w:space="708"/>
          <w:docGrid w:linePitch="360"/>
        </w:sectPr>
      </w:pPr>
    </w:p>
    <w:p w:rsidR="00925405" w:rsidRDefault="00925405" w:rsidP="00925405">
      <w:pPr>
        <w:spacing w:line="240" w:lineRule="auto"/>
        <w:jc w:val="both"/>
        <w:rPr>
          <w:rFonts w:ascii="Times New Roman" w:hAnsi="Times New Roman" w:cs="Times New Roman"/>
          <w:b/>
          <w:color w:val="FF0000"/>
          <w:sz w:val="24"/>
          <w:szCs w:val="24"/>
          <w:lang w:val="en-US"/>
        </w:rPr>
      </w:pPr>
      <w:r w:rsidRPr="00871B8E">
        <w:rPr>
          <w:rFonts w:ascii="Times New Roman" w:hAnsi="Times New Roman" w:cs="Times New Roman"/>
          <w:b/>
          <w:sz w:val="24"/>
          <w:szCs w:val="24"/>
          <w:lang w:val="en-US"/>
        </w:rPr>
        <w:lastRenderedPageBreak/>
        <w:t>C</w:t>
      </w:r>
      <w:r>
        <w:rPr>
          <w:rFonts w:ascii="Times New Roman" w:hAnsi="Times New Roman" w:cs="Times New Roman"/>
          <w:b/>
          <w:sz w:val="24"/>
          <w:szCs w:val="24"/>
          <w:lang w:val="en-US"/>
        </w:rPr>
        <w:t>ountry Statistical Profiles</w:t>
      </w:r>
      <w:r w:rsidRPr="00871B8E">
        <w:rPr>
          <w:rFonts w:ascii="Times New Roman" w:hAnsi="Times New Roman" w:cs="Times New Roman"/>
          <w:b/>
          <w:sz w:val="24"/>
          <w:szCs w:val="24"/>
          <w:lang w:val="en-US"/>
        </w:rPr>
        <w:t>: K</w:t>
      </w:r>
      <w:r>
        <w:rPr>
          <w:rFonts w:ascii="Times New Roman" w:hAnsi="Times New Roman" w:cs="Times New Roman"/>
          <w:b/>
          <w:sz w:val="24"/>
          <w:szCs w:val="24"/>
          <w:lang w:val="en-US"/>
        </w:rPr>
        <w:t>ey</w:t>
      </w:r>
      <w:r w:rsidRPr="00871B8E">
        <w:rPr>
          <w:rFonts w:ascii="Times New Roman" w:hAnsi="Times New Roman" w:cs="Times New Roman"/>
          <w:b/>
          <w:sz w:val="24"/>
          <w:szCs w:val="24"/>
          <w:lang w:val="en-US"/>
        </w:rPr>
        <w:t xml:space="preserve"> T</w:t>
      </w:r>
      <w:r>
        <w:rPr>
          <w:rFonts w:ascii="Times New Roman" w:hAnsi="Times New Roman" w:cs="Times New Roman"/>
          <w:b/>
          <w:sz w:val="24"/>
          <w:szCs w:val="24"/>
          <w:lang w:val="en-US"/>
        </w:rPr>
        <w:t>ables from OECD -</w:t>
      </w:r>
      <w:r w:rsidRPr="00871B8E">
        <w:rPr>
          <w:rFonts w:ascii="Times New Roman" w:hAnsi="Times New Roman" w:cs="Times New Roman"/>
          <w:b/>
          <w:sz w:val="24"/>
          <w:szCs w:val="24"/>
          <w:lang w:val="en-US"/>
        </w:rPr>
        <w:t xml:space="preserve"> © OECD 2014</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b/>
          <w:noProof/>
          <w:color w:val="FF0000"/>
          <w:sz w:val="24"/>
          <w:szCs w:val="24"/>
          <w:lang w:eastAsia="es-ES"/>
        </w:rPr>
        <w:drawing>
          <wp:inline distT="0" distB="0" distL="0" distR="0" wp14:anchorId="7750D4ED" wp14:editId="73058B4B">
            <wp:extent cx="8731250" cy="50292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731250" cy="50292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b/>
          <w:noProof/>
          <w:color w:val="FF0000"/>
          <w:sz w:val="24"/>
          <w:szCs w:val="24"/>
          <w:lang w:eastAsia="es-ES"/>
        </w:rPr>
        <w:lastRenderedPageBreak/>
        <w:drawing>
          <wp:inline distT="0" distB="0" distL="0" distR="0" wp14:anchorId="36BDBE8C" wp14:editId="2843D5E8">
            <wp:extent cx="8731250" cy="53975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731250" cy="5397500"/>
                    </a:xfrm>
                    <a:prstGeom prst="rect">
                      <a:avLst/>
                    </a:prstGeom>
                    <a:noFill/>
                    <a:ln>
                      <a:noFill/>
                    </a:ln>
                  </pic:spPr>
                </pic:pic>
              </a:graphicData>
            </a:graphic>
          </wp:inline>
        </w:drawing>
      </w:r>
    </w:p>
    <w:p w:rsidR="00925405" w:rsidRPr="000B6C89"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b/>
          <w:noProof/>
          <w:color w:val="FF0000"/>
          <w:sz w:val="24"/>
          <w:szCs w:val="24"/>
          <w:lang w:eastAsia="es-ES"/>
        </w:rPr>
        <w:lastRenderedPageBreak/>
        <w:drawing>
          <wp:inline distT="0" distB="0" distL="0" distR="0" wp14:anchorId="4D71DEFA" wp14:editId="2483F16B">
            <wp:extent cx="8890000" cy="53530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890000" cy="5353050"/>
                    </a:xfrm>
                    <a:prstGeom prst="rect">
                      <a:avLst/>
                    </a:prstGeom>
                    <a:noFill/>
                    <a:ln>
                      <a:noFill/>
                    </a:ln>
                  </pic:spPr>
                </pic:pic>
              </a:graphicData>
            </a:graphic>
          </wp:inline>
        </w:drawing>
      </w:r>
    </w:p>
    <w:p w:rsidR="00925405" w:rsidRDefault="00925405" w:rsidP="00925405">
      <w:pPr>
        <w:rPr>
          <w:lang w:val="en-US"/>
        </w:rPr>
        <w:sectPr w:rsidR="00925405" w:rsidSect="00C51709">
          <w:pgSz w:w="16838" w:h="11906" w:orient="landscape"/>
          <w:pgMar w:top="1701" w:right="1418" w:bottom="1701" w:left="1418" w:header="709" w:footer="709" w:gutter="0"/>
          <w:cols w:space="708"/>
          <w:docGrid w:linePitch="360"/>
        </w:sectPr>
      </w:pPr>
      <w:r>
        <w:rPr>
          <w:rFonts w:ascii="Times New Roman" w:hAnsi="Times New Roman" w:cs="Times New Roman"/>
          <w:b/>
          <w:noProof/>
          <w:color w:val="FF0000"/>
          <w:sz w:val="24"/>
          <w:szCs w:val="24"/>
          <w:lang w:eastAsia="es-ES"/>
        </w:rPr>
        <w:lastRenderedPageBreak/>
        <w:drawing>
          <wp:inline distT="0" distB="0" distL="0" distR="0" wp14:anchorId="74D14C1E" wp14:editId="1C620839">
            <wp:extent cx="8883650" cy="47434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83650" cy="4743450"/>
                    </a:xfrm>
                    <a:prstGeom prst="rect">
                      <a:avLst/>
                    </a:prstGeom>
                    <a:noFill/>
                    <a:ln>
                      <a:noFill/>
                    </a:ln>
                  </pic:spPr>
                </pic:pic>
              </a:graphicData>
            </a:graphic>
          </wp:inline>
        </w:drawing>
      </w:r>
    </w:p>
    <w:p w:rsidR="00925405" w:rsidRPr="00376EE2" w:rsidRDefault="00925405" w:rsidP="00925405">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lastRenderedPageBreak/>
        <w:t>OECD Economic Surveys: Turkey 2014</w:t>
      </w:r>
    </w:p>
    <w:p w:rsidR="00925405" w:rsidRDefault="00925405" w:rsidP="00925405">
      <w:pPr>
        <w:spacing w:line="240" w:lineRule="auto"/>
        <w:jc w:val="both"/>
        <w:rPr>
          <w:rFonts w:ascii="Times New Roman" w:hAnsi="Times New Roman" w:cs="Times New Roman"/>
          <w:b/>
          <w:sz w:val="24"/>
          <w:szCs w:val="24"/>
          <w:lang w:val="en-US"/>
        </w:rPr>
      </w:pPr>
      <w:r w:rsidRPr="00376EE2">
        <w:rPr>
          <w:rFonts w:ascii="Times New Roman" w:hAnsi="Times New Roman" w:cs="Times New Roman"/>
          <w:b/>
          <w:sz w:val="24"/>
          <w:szCs w:val="24"/>
          <w:lang w:val="en-US"/>
        </w:rPr>
        <w:t>Executive summary</w:t>
      </w:r>
    </w:p>
    <w:p w:rsidR="00925405" w:rsidRDefault="00925405" w:rsidP="00925405">
      <w:pPr>
        <w:spacing w:line="240" w:lineRule="auto"/>
        <w:jc w:val="both"/>
        <w:rPr>
          <w:rFonts w:ascii="Times New Roman" w:hAnsi="Times New Roman" w:cs="Times New Roman"/>
          <w:b/>
          <w:sz w:val="24"/>
          <w:szCs w:val="24"/>
          <w:lang w:val="en-US"/>
        </w:rPr>
      </w:pPr>
    </w:p>
    <w:p w:rsidR="00925405" w:rsidRDefault="00925405" w:rsidP="00925405">
      <w:pPr>
        <w:spacing w:line="240" w:lineRule="auto"/>
        <w:jc w:val="both"/>
        <w:rPr>
          <w:rFonts w:ascii="Times New Roman" w:hAnsi="Times New Roman" w:cs="Times New Roman"/>
          <w:b/>
          <w:sz w:val="24"/>
          <w:szCs w:val="24"/>
          <w:lang w:val="en-US"/>
        </w:rPr>
      </w:pPr>
    </w:p>
    <w:p w:rsidR="00925405" w:rsidRDefault="00925405" w:rsidP="00925405">
      <w:pPr>
        <w:rPr>
          <w:lang w:val="en-US"/>
        </w:rPr>
      </w:pPr>
      <w:r>
        <w:rPr>
          <w:rFonts w:ascii="Times New Roman" w:hAnsi="Times New Roman" w:cs="Times New Roman"/>
          <w:b/>
          <w:noProof/>
          <w:sz w:val="24"/>
          <w:szCs w:val="24"/>
          <w:lang w:eastAsia="es-ES"/>
        </w:rPr>
        <w:drawing>
          <wp:inline distT="0" distB="0" distL="0" distR="0" wp14:anchorId="77E226C7" wp14:editId="39F6A9B6">
            <wp:extent cx="5397500" cy="62103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7500" cy="6210300"/>
                    </a:xfrm>
                    <a:prstGeom prst="rect">
                      <a:avLst/>
                    </a:prstGeom>
                    <a:noFill/>
                    <a:ln>
                      <a:noFill/>
                    </a:ln>
                  </pic:spPr>
                </pic:pic>
              </a:graphicData>
            </a:graphic>
          </wp:inline>
        </w:drawing>
      </w: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r>
        <w:rPr>
          <w:rFonts w:ascii="Times New Roman" w:hAnsi="Times New Roman" w:cs="Times New Roman"/>
          <w:b/>
          <w:noProof/>
          <w:color w:val="FF0000"/>
          <w:sz w:val="24"/>
          <w:szCs w:val="24"/>
          <w:lang w:eastAsia="es-ES"/>
        </w:rPr>
        <w:drawing>
          <wp:inline distT="0" distB="0" distL="0" distR="0" wp14:anchorId="46D98A0D" wp14:editId="2291F3E2">
            <wp:extent cx="5397500" cy="67056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7500" cy="6705600"/>
                    </a:xfrm>
                    <a:prstGeom prst="rect">
                      <a:avLst/>
                    </a:prstGeom>
                    <a:noFill/>
                    <a:ln>
                      <a:noFill/>
                    </a:ln>
                  </pic:spPr>
                </pic:pic>
              </a:graphicData>
            </a:graphic>
          </wp:inline>
        </w:drawing>
      </w: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Default="00925405" w:rsidP="00925405">
      <w:pPr>
        <w:rPr>
          <w:lang w:val="en-US"/>
        </w:rPr>
      </w:pPr>
    </w:p>
    <w:p w:rsidR="00925405" w:rsidRPr="00C63C86" w:rsidRDefault="00925405" w:rsidP="00925405">
      <w:pPr>
        <w:spacing w:line="240" w:lineRule="auto"/>
        <w:jc w:val="both"/>
        <w:rPr>
          <w:rFonts w:ascii="Times New Roman" w:hAnsi="Times New Roman" w:cs="Times New Roman"/>
          <w:b/>
          <w:sz w:val="24"/>
          <w:szCs w:val="24"/>
          <w:lang w:val="en-US"/>
        </w:rPr>
      </w:pPr>
      <w:r w:rsidRPr="00C63C86">
        <w:rPr>
          <w:rFonts w:ascii="Times New Roman" w:hAnsi="Times New Roman" w:cs="Times New Roman"/>
          <w:b/>
          <w:sz w:val="24"/>
          <w:szCs w:val="24"/>
          <w:lang w:val="en-US"/>
        </w:rPr>
        <w:lastRenderedPageBreak/>
        <w:t xml:space="preserve">Invest in Turkey </w:t>
      </w:r>
    </w:p>
    <w:p w:rsidR="00925405" w:rsidRPr="00C63C86" w:rsidRDefault="00925405" w:rsidP="00925405">
      <w:pPr>
        <w:spacing w:line="240" w:lineRule="auto"/>
        <w:jc w:val="both"/>
        <w:rPr>
          <w:rFonts w:ascii="Times New Roman" w:hAnsi="Times New Roman" w:cs="Times New Roman"/>
          <w:sz w:val="24"/>
          <w:szCs w:val="24"/>
          <w:lang w:val="en-US"/>
        </w:rPr>
      </w:pPr>
      <w:r w:rsidRPr="00C63C86">
        <w:rPr>
          <w:rFonts w:ascii="Times New Roman" w:hAnsi="Times New Roman" w:cs="Times New Roman"/>
          <w:sz w:val="24"/>
          <w:szCs w:val="24"/>
          <w:lang w:val="en-US"/>
        </w:rPr>
        <w:t xml:space="preserve">(Fuente: Investment Support and Promotion Agency - </w:t>
      </w:r>
      <w:hyperlink r:id="rId67" w:history="1">
        <w:r w:rsidRPr="00686719">
          <w:rPr>
            <w:rStyle w:val="Hipervnculo"/>
            <w:rFonts w:ascii="Times New Roman" w:hAnsi="Times New Roman" w:cs="Times New Roman"/>
            <w:color w:val="auto"/>
            <w:lang w:val="en-US"/>
          </w:rPr>
          <w:t>www.invest.gov.tr</w:t>
        </w:r>
      </w:hyperlink>
      <w:r w:rsidRPr="00686719">
        <w:rPr>
          <w:rFonts w:ascii="Times New Roman" w:hAnsi="Times New Roman" w:cs="Times New Roman"/>
          <w:sz w:val="24"/>
          <w:szCs w:val="24"/>
          <w:lang w:val="en-US"/>
        </w:rPr>
        <w:t xml:space="preserve"> </w:t>
      </w:r>
      <w:r>
        <w:rPr>
          <w:rFonts w:ascii="Times New Roman" w:hAnsi="Times New Roman" w:cs="Times New Roman"/>
          <w:sz w:val="24"/>
          <w:szCs w:val="24"/>
          <w:lang w:val="en-US"/>
        </w:rPr>
        <w:t>- 2014)</w:t>
      </w:r>
    </w:p>
    <w:tbl>
      <w:tblPr>
        <w:tblW w:w="5000" w:type="pct"/>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Description w:val=""/>
      </w:tblPr>
      <w:tblGrid>
        <w:gridCol w:w="3745"/>
        <w:gridCol w:w="4954"/>
      </w:tblGrid>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PIB</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eastAsia="es-ES"/>
              </w:rPr>
              <w:t>820.000 millones de dólares (2013 – precios actuales)</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PIB per cápita</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10.782 dólares (2013)</w:t>
            </w:r>
          </w:p>
        </w:tc>
      </w:tr>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Valor de las exportaciones</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152.000 millones de dólares (2013)</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Valor de las importaciones</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251.000 millones de dólares (2013)</w:t>
            </w:r>
          </w:p>
        </w:tc>
      </w:tr>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Ingresos por turismo</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32.300 millones de dólares (2013)</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Número de turistas</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39,2 millones (2013)</w:t>
            </w:r>
          </w:p>
        </w:tc>
      </w:tr>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Inversión extranjera directa</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12.900 millones de dólares (2013)</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eastAsia="es-ES"/>
              </w:rPr>
              <w:t xml:space="preserve">Número de empresas con capital extranjero </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36.450 (2013)</w:t>
            </w:r>
          </w:p>
        </w:tc>
      </w:tr>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Tasa de inflación</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val="en-US" w:eastAsia="es-ES"/>
              </w:rPr>
              <w:t xml:space="preserve">7,5 </w:t>
            </w:r>
            <w:r w:rsidRPr="00C63C86">
              <w:rPr>
                <w:rFonts w:ascii="Arial" w:eastAsia="Times New Roman" w:hAnsi="Arial" w:cs="Arial"/>
                <w:b/>
                <w:bCs/>
                <w:color w:val="696969"/>
                <w:sz w:val="17"/>
                <w:szCs w:val="17"/>
                <w:lang w:val="en-US" w:eastAsia="es-ES"/>
              </w:rPr>
              <w:t>%</w:t>
            </w:r>
            <w:r w:rsidRPr="00C63C86">
              <w:rPr>
                <w:rFonts w:ascii="Arial" w:eastAsia="Times New Roman" w:hAnsi="Arial" w:cs="Arial"/>
                <w:color w:val="696969"/>
                <w:sz w:val="17"/>
                <w:szCs w:val="17"/>
                <w:lang w:val="en-US" w:eastAsia="es-ES"/>
              </w:rPr>
              <w:t xml:space="preserve"> (IPC - 2013)</w:t>
            </w:r>
            <w:r w:rsidRPr="00C63C86">
              <w:rPr>
                <w:rFonts w:ascii="Arial" w:eastAsia="Times New Roman" w:hAnsi="Arial" w:cs="Arial"/>
                <w:b/>
                <w:bCs/>
                <w:color w:val="696969"/>
                <w:sz w:val="17"/>
                <w:szCs w:val="17"/>
                <w:lang w:val="en-US" w:eastAsia="es-ES"/>
              </w:rPr>
              <w:t xml:space="preserve"> </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 xml:space="preserve">Principales mercados de exportación </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eastAsia="es-ES"/>
              </w:rPr>
              <w:t xml:space="preserve">Alemania (9%); Iraq (7,8%); Reino Unido (5,8%); Rusia (4,6%); Italia (4,4%); Francia (4,2%); EE. UU. </w:t>
            </w:r>
            <w:r w:rsidRPr="00C63C86">
              <w:rPr>
                <w:rFonts w:ascii="Arial" w:eastAsia="Times New Roman" w:hAnsi="Arial" w:cs="Arial"/>
                <w:color w:val="696969"/>
                <w:sz w:val="17"/>
                <w:szCs w:val="17"/>
                <w:lang w:val="en-US" w:eastAsia="es-ES"/>
              </w:rPr>
              <w:t>(3,7%); EAU (3,3%); España (2,8%); Irán (2,4%) (2013)</w:t>
            </w:r>
          </w:p>
        </w:tc>
      </w:tr>
      <w:tr w:rsidR="00925405" w:rsidRPr="00C63C86" w:rsidTr="00C51709">
        <w:tc>
          <w:tcPr>
            <w:tcW w:w="417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Principales fuentes de importación</w:t>
            </w:r>
          </w:p>
        </w:tc>
        <w:tc>
          <w:tcPr>
            <w:tcW w:w="5640" w:type="dxa"/>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eastAsia="es-ES"/>
              </w:rPr>
              <w:t xml:space="preserve">Rusia (9,9%); China (9,8%); Alemania (9,6%); Italia (5,1%); EE. UU. </w:t>
            </w:r>
            <w:r w:rsidRPr="00C63C86">
              <w:rPr>
                <w:rFonts w:ascii="Arial" w:eastAsia="Times New Roman" w:hAnsi="Arial" w:cs="Arial"/>
                <w:color w:val="696969"/>
                <w:sz w:val="17"/>
                <w:szCs w:val="17"/>
                <w:lang w:val="en-US" w:eastAsia="es-ES"/>
              </w:rPr>
              <w:t>(5%); Irán (4,1%); Suiza (3,8%); Francia (3,2%); España (2,5%); India (2,5%) (2013)</w:t>
            </w:r>
          </w:p>
        </w:tc>
      </w:tr>
      <w:tr w:rsidR="00925405" w:rsidRPr="00C63C86" w:rsidTr="00C51709">
        <w:tc>
          <w:tcPr>
            <w:tcW w:w="417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C51709">
            <w:pPr>
              <w:spacing w:before="100" w:beforeAutospacing="1" w:after="100" w:afterAutospacing="1" w:line="240" w:lineRule="auto"/>
              <w:rPr>
                <w:rFonts w:ascii="Arial" w:eastAsia="Times New Roman" w:hAnsi="Arial" w:cs="Arial"/>
                <w:color w:val="696969"/>
                <w:sz w:val="17"/>
                <w:szCs w:val="17"/>
                <w:lang w:eastAsia="es-ES"/>
              </w:rPr>
            </w:pPr>
            <w:r w:rsidRPr="00C63C86">
              <w:rPr>
                <w:rFonts w:ascii="Arial" w:eastAsia="Times New Roman" w:hAnsi="Arial" w:cs="Arial"/>
                <w:b/>
                <w:bCs/>
                <w:color w:val="696969"/>
                <w:sz w:val="17"/>
                <w:szCs w:val="17"/>
                <w:lang w:val="en-US" w:eastAsia="es-ES"/>
              </w:rPr>
              <w:t>Acuerdos comerciales</w:t>
            </w:r>
          </w:p>
        </w:tc>
        <w:tc>
          <w:tcPr>
            <w:tcW w:w="5640" w:type="dxa"/>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63C86" w:rsidRDefault="00925405" w:rsidP="00925405">
            <w:pPr>
              <w:numPr>
                <w:ilvl w:val="0"/>
                <w:numId w:val="4"/>
              </w:numPr>
              <w:spacing w:before="100" w:beforeAutospacing="1" w:after="100" w:afterAutospacing="1" w:line="240" w:lineRule="auto"/>
              <w:ind w:left="150"/>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eastAsia="es-ES"/>
              </w:rPr>
              <w:t xml:space="preserve">Acuerdo de Unión Aduanera con la UE </w:t>
            </w:r>
          </w:p>
          <w:p w:rsidR="00925405" w:rsidRPr="00C63C86" w:rsidRDefault="00925405" w:rsidP="00925405">
            <w:pPr>
              <w:numPr>
                <w:ilvl w:val="0"/>
                <w:numId w:val="4"/>
              </w:numPr>
              <w:spacing w:before="100" w:beforeAutospacing="1" w:after="100" w:afterAutospacing="1" w:line="240" w:lineRule="auto"/>
              <w:ind w:left="150"/>
              <w:rPr>
                <w:rFonts w:ascii="Arial" w:eastAsia="Times New Roman" w:hAnsi="Arial" w:cs="Arial"/>
                <w:color w:val="696969"/>
                <w:sz w:val="17"/>
                <w:szCs w:val="17"/>
                <w:lang w:eastAsia="es-ES"/>
              </w:rPr>
            </w:pPr>
            <w:r w:rsidRPr="00C63C86">
              <w:rPr>
                <w:rFonts w:ascii="Arial" w:eastAsia="Times New Roman" w:hAnsi="Arial" w:cs="Arial"/>
                <w:color w:val="696969"/>
                <w:sz w:val="17"/>
                <w:szCs w:val="17"/>
                <w:lang w:eastAsia="es-ES"/>
              </w:rPr>
              <w:t>Acuerdos de libre comercio con Albania, Bosnia-Herzegovina, Chile, Croacia, países miembros de la AELC (Suiza, Noruega, Islandia y Liechtenstein), Egipto, Georgia, Israel, Jordania, Corea del Sur, Macedonia, Montenegro, Marruecos, Palestina, Serbia, Siria y Túnez</w:t>
            </w:r>
          </w:p>
        </w:tc>
      </w:tr>
    </w:tbl>
    <w:p w:rsidR="00925405" w:rsidRDefault="00925405" w:rsidP="00925405">
      <w:pPr>
        <w:spacing w:line="240" w:lineRule="auto"/>
        <w:jc w:val="both"/>
        <w:rPr>
          <w:rFonts w:ascii="Times New Roman" w:hAnsi="Times New Roman" w:cs="Times New Roman"/>
          <w:color w:val="FF0000"/>
          <w:sz w:val="24"/>
          <w:szCs w:val="24"/>
        </w:rPr>
      </w:pPr>
    </w:p>
    <w:p w:rsidR="00925405" w:rsidRPr="00C63C86" w:rsidRDefault="00925405" w:rsidP="00925405">
      <w:pPr>
        <w:spacing w:line="240" w:lineRule="auto"/>
        <w:jc w:val="both"/>
        <w:rPr>
          <w:rFonts w:ascii="Times New Roman" w:hAnsi="Times New Roman" w:cs="Times New Roman"/>
          <w:b/>
          <w:sz w:val="24"/>
          <w:szCs w:val="24"/>
        </w:rPr>
      </w:pPr>
      <w:r w:rsidRPr="00C63C86">
        <w:rPr>
          <w:rFonts w:ascii="Times New Roman" w:hAnsi="Times New Roman" w:cs="Times New Roman"/>
          <w:b/>
          <w:sz w:val="24"/>
          <w:szCs w:val="24"/>
        </w:rPr>
        <w:t xml:space="preserve">10 motivos para invertir en Turquía  </w:t>
      </w:r>
    </w:p>
    <w:p w:rsidR="00925405" w:rsidRPr="00C63C86" w:rsidRDefault="00925405" w:rsidP="00925405">
      <w:pPr>
        <w:spacing w:beforeAutospacing="1"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hAnsi="Times New Roman" w:cs="Times New Roman"/>
          <w:color w:val="FF0000"/>
          <w:sz w:val="24"/>
          <w:szCs w:val="24"/>
        </w:rPr>
        <w:t xml:space="preserve"> </w:t>
      </w:r>
      <w:r w:rsidRPr="00C63C86">
        <w:rPr>
          <w:rFonts w:ascii="Times New Roman" w:eastAsia="Times New Roman" w:hAnsi="Times New Roman" w:cs="Times New Roman"/>
          <w:b/>
          <w:bCs/>
          <w:color w:val="000000"/>
          <w:sz w:val="24"/>
          <w:szCs w:val="24"/>
          <w:lang w:eastAsia="es-ES"/>
        </w:rPr>
        <w:t>1. U</w:t>
      </w:r>
      <w:r>
        <w:rPr>
          <w:rFonts w:ascii="Times New Roman" w:eastAsia="Times New Roman" w:hAnsi="Times New Roman" w:cs="Times New Roman"/>
          <w:b/>
          <w:bCs/>
          <w:color w:val="000000"/>
          <w:sz w:val="24"/>
          <w:szCs w:val="24"/>
          <w:lang w:eastAsia="es-ES"/>
        </w:rPr>
        <w:t>na economía de éxito</w:t>
      </w:r>
      <w:r w:rsidRPr="00C63C86">
        <w:rPr>
          <w:rFonts w:ascii="Times New Roman" w:eastAsia="Times New Roman" w:hAnsi="Times New Roman" w:cs="Times New Roman"/>
          <w:color w:val="000000"/>
          <w:sz w:val="24"/>
          <w:szCs w:val="24"/>
          <w:lang w:eastAsia="es-ES"/>
        </w:rPr>
        <w:t> </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El buen ritmo de la economía: el PIB ascendió a más del triple, alcanzando en 2013 los 820.000 millones de dólares desde los 231.000 millones en 2002 (TurkStat)</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 crecimiento económico estable con un índice de incremento medio real del PIB del 5,1 por ciento anual durante la última década (TurkStat)</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Economía prometedora y con un futuro esplendoroso que se espera que se convierta en la que más rápido crezca de todos los miembros de la OCDE durante el periodo 2012-2017, con una tasa media de crecimiento del PIB real anual del 5,2 por ciento (OECD Economic Outlook No. 91)</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Decimosexta mayor economía del mundo y la sexta mayor en comparación con la UE en 2013 (según el PIB ajustado a la PPA, IMF WEO)</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Economía institucionalizada e impulsada por un IED por valor de 135.000 millones de dólares en la última década (Banco Central de la República de Turquía)</w:t>
      </w:r>
    </w:p>
    <w:p w:rsidR="00925405" w:rsidRPr="00C82317" w:rsidRDefault="00925405" w:rsidP="00925405">
      <w:pPr>
        <w:numPr>
          <w:ilvl w:val="0"/>
          <w:numId w:val="5"/>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 sector privado dinámico y maduro con un valor de 152.000 millones de dólares de exportaciones y un aumento del 245 por ciento entre 2004 y 2013 (TurkStat)</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 Su población</w:t>
      </w:r>
    </w:p>
    <w:p w:rsidR="00925405" w:rsidRPr="00C82317" w:rsidRDefault="00925405" w:rsidP="00925405">
      <w:pPr>
        <w:numPr>
          <w:ilvl w:val="0"/>
          <w:numId w:val="6"/>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Una población de 76.7 millones de personas (2013, TurkStat)</w:t>
      </w:r>
    </w:p>
    <w:p w:rsidR="00925405" w:rsidRPr="00C82317" w:rsidRDefault="00925405" w:rsidP="00925405">
      <w:pPr>
        <w:numPr>
          <w:ilvl w:val="0"/>
          <w:numId w:val="6"/>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La población más joven en comparación con la UE (Eurostat)</w:t>
      </w:r>
    </w:p>
    <w:p w:rsidR="00925405" w:rsidRPr="00C82317" w:rsidRDefault="00925405" w:rsidP="00925405">
      <w:pPr>
        <w:numPr>
          <w:ilvl w:val="0"/>
          <w:numId w:val="6"/>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lastRenderedPageBreak/>
        <w:t>La mitad de la población es menor de 30,4 años (2013, TurkStat)</w:t>
      </w:r>
    </w:p>
    <w:p w:rsidR="00925405" w:rsidRPr="00C82317" w:rsidRDefault="00925405" w:rsidP="00925405">
      <w:pPr>
        <w:numPr>
          <w:ilvl w:val="0"/>
          <w:numId w:val="6"/>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Población joven, dinámica, formada y multicultural</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3. Una mano de obra cualificada y competitiva</w:t>
      </w:r>
    </w:p>
    <w:p w:rsidR="00925405" w:rsidRPr="00C82317" w:rsidRDefault="00925405" w:rsidP="00925405">
      <w:pPr>
        <w:numPr>
          <w:ilvl w:val="0"/>
          <w:numId w:val="7"/>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Más de 28,3 millones de jóvenes profesionales, formados y motivados (2013, TurkStat)</w:t>
      </w:r>
    </w:p>
    <w:p w:rsidR="00925405" w:rsidRPr="00C82317" w:rsidRDefault="00925405" w:rsidP="00925405">
      <w:pPr>
        <w:numPr>
          <w:ilvl w:val="0"/>
          <w:numId w:val="7"/>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Mayor productividad laboral</w:t>
      </w:r>
    </w:p>
    <w:p w:rsidR="00925405" w:rsidRPr="00C82317" w:rsidRDefault="00925405" w:rsidP="00925405">
      <w:pPr>
        <w:numPr>
          <w:ilvl w:val="0"/>
          <w:numId w:val="7"/>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Unos 610.000 estudiantes graduados anualmente en más de 183 universidades (2012, Student Selection and Placement Center-OSYM)</w:t>
      </w:r>
    </w:p>
    <w:p w:rsidR="00925405" w:rsidRPr="00C82317" w:rsidRDefault="00925405" w:rsidP="00925405">
      <w:pPr>
        <w:numPr>
          <w:ilvl w:val="0"/>
          <w:numId w:val="7"/>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Más de 700.000 personas finalizan el instituto, de los cuales aproximadamente la mitad en institutos de formación profesional y técnica (2012, TurkStat)</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4.  Un clima de inversión liberal y reformista</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El segundo mayor en reformas de entre los países de OECD en lo referente a sus restricciones sobre IED desde 1997 (OECD FDI Regulatory Restrictiveness Index 1997-2012)</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 entorno empresarial favorable con una media de 6 días para fundar una empresa, mientas que la media entre los miembros de la OCDE es de más de 11 días (informe Doing Business del Banco Mundial, 2014)</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Condiciones de inversión muy competitivas</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Cultura industrial y de servicios sólida</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Trato igualitario a todos los inversores</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Alrededor de 36.950 empresas con capital internacional en 2013 (Ministerio de Economía)</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Arbitraje internacional</w:t>
      </w:r>
    </w:p>
    <w:p w:rsidR="00925405" w:rsidRPr="00C82317" w:rsidRDefault="00925405" w:rsidP="00925405">
      <w:pPr>
        <w:numPr>
          <w:ilvl w:val="0"/>
          <w:numId w:val="8"/>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Garantía de transferencias</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5. Su infraestructura</w:t>
      </w:r>
    </w:p>
    <w:p w:rsidR="00925405" w:rsidRPr="00C82317" w:rsidRDefault="00925405" w:rsidP="00925405">
      <w:pPr>
        <w:numPr>
          <w:ilvl w:val="0"/>
          <w:numId w:val="9"/>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Una infraestructura tecnológica nueva y muy desarrollada para el transporte, las telecomunicaciones y la energía</w:t>
      </w:r>
    </w:p>
    <w:p w:rsidR="00925405" w:rsidRPr="00C82317" w:rsidRDefault="00925405" w:rsidP="00925405">
      <w:pPr>
        <w:numPr>
          <w:ilvl w:val="0"/>
          <w:numId w:val="9"/>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Instalaciones de transporte marítimo baratas y muy desarrolladas</w:t>
      </w:r>
    </w:p>
    <w:p w:rsidR="00925405" w:rsidRPr="00C82317" w:rsidRDefault="00925405" w:rsidP="00925405">
      <w:pPr>
        <w:numPr>
          <w:ilvl w:val="0"/>
          <w:numId w:val="9"/>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Ventajas en el transporte ferroviario a Europa del Este y Central</w:t>
      </w:r>
    </w:p>
    <w:p w:rsidR="00925405" w:rsidRPr="00C82317" w:rsidRDefault="00925405" w:rsidP="00925405">
      <w:pPr>
        <w:numPr>
          <w:ilvl w:val="0"/>
          <w:numId w:val="9"/>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Rutas de transporte establecidas y mecanismo de entrega directa a la mayoría de los países de la UE</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6. Su ubicación central</w:t>
      </w:r>
    </w:p>
    <w:p w:rsidR="00925405" w:rsidRPr="00C82317" w:rsidRDefault="00925405" w:rsidP="00925405">
      <w:pPr>
        <w:numPr>
          <w:ilvl w:val="0"/>
          <w:numId w:val="10"/>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 puente natural que comunica el norte con el sur y oriente con occidente, lo cual permite acceder a los mercados más importantes de forma eficiente y rentable</w:t>
      </w:r>
    </w:p>
    <w:p w:rsidR="00925405" w:rsidRPr="00C82317" w:rsidRDefault="00925405" w:rsidP="00925405">
      <w:pPr>
        <w:numPr>
          <w:ilvl w:val="0"/>
          <w:numId w:val="10"/>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Fácil acceso a 1.500 millones de consumidores de Europa, Eurasia, Oriente Próximo y África del Norte</w:t>
      </w:r>
    </w:p>
    <w:p w:rsidR="00925405" w:rsidRPr="00C82317" w:rsidRDefault="00925405" w:rsidP="00925405">
      <w:pPr>
        <w:numPr>
          <w:ilvl w:val="0"/>
          <w:numId w:val="10"/>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Acceso a varios mercados que suman 25 billones de dólares de PIB</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7. Corredor y punto de conexión de energía de Europa</w:t>
      </w:r>
      <w:r w:rsidRPr="00C82317">
        <w:rPr>
          <w:rFonts w:ascii="Times New Roman" w:eastAsia="Times New Roman" w:hAnsi="Times New Roman" w:cs="Times New Roman"/>
          <w:sz w:val="24"/>
          <w:szCs w:val="24"/>
          <w:lang w:eastAsia="es-ES"/>
        </w:rPr>
        <w:t> </w:t>
      </w:r>
    </w:p>
    <w:p w:rsidR="00925405" w:rsidRPr="00C82317" w:rsidRDefault="00925405" w:rsidP="00925405">
      <w:pPr>
        <w:numPr>
          <w:ilvl w:val="0"/>
          <w:numId w:val="11"/>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 corredor y punto de conexión de la energía en Europa que vincula Oriente y Occidente</w:t>
      </w:r>
    </w:p>
    <w:p w:rsidR="00925405" w:rsidRPr="00C82317" w:rsidRDefault="00925405" w:rsidP="00925405">
      <w:pPr>
        <w:numPr>
          <w:ilvl w:val="0"/>
          <w:numId w:val="11"/>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lastRenderedPageBreak/>
        <w:t>Próximo a más del 70% de los recursos energéticos mundiales conocidos, y el mayor consumidor de energía, Europa, se ubica al oeste de Turquía, convirtiendo al país en un eje del tránsito de energía y una terminal energética en la región.</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8. Impuestos reducidos e incentivos</w:t>
      </w:r>
    </w:p>
    <w:p w:rsidR="00925405" w:rsidRPr="00C82317" w:rsidRDefault="00925405" w:rsidP="00925405">
      <w:pPr>
        <w:numPr>
          <w:ilvl w:val="0"/>
          <w:numId w:val="12"/>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Impuesto sobre la renta de sociedades reducido del 33 al 20%</w:t>
      </w:r>
    </w:p>
    <w:p w:rsidR="00925405" w:rsidRPr="00C82317" w:rsidRDefault="00925405" w:rsidP="00925405">
      <w:pPr>
        <w:numPr>
          <w:ilvl w:val="0"/>
          <w:numId w:val="12"/>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Las ventajas fiscales y los incentivos en las Zonas de Desarrollo Tecnológico, Zonas Industriales y Zonas Francas podrían contemplar la exención parcial o total del impuesto sobre la renta de sociedades, una subvención para los gastos en seguridad social de las empresas y la asignación de terrenos</w:t>
      </w:r>
    </w:p>
    <w:p w:rsidR="00925405" w:rsidRPr="00C82317" w:rsidRDefault="00925405" w:rsidP="00925405">
      <w:pPr>
        <w:numPr>
          <w:ilvl w:val="0"/>
          <w:numId w:val="12"/>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Ley de apoyo a la innovación y a I+D</w:t>
      </w:r>
    </w:p>
    <w:p w:rsidR="00925405" w:rsidRPr="00C82317" w:rsidRDefault="00925405" w:rsidP="00925405">
      <w:pPr>
        <w:numPr>
          <w:ilvl w:val="0"/>
          <w:numId w:val="12"/>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Incentivos a la inversión estratégica dirigida a disminuir las importaciones, para inversiones a gran escala, así como para inversiones regionales</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9. Unión aduanera con la UE desde 1996</w:t>
      </w:r>
    </w:p>
    <w:p w:rsidR="00925405" w:rsidRPr="00C82317" w:rsidRDefault="00925405" w:rsidP="00925405">
      <w:pPr>
        <w:numPr>
          <w:ilvl w:val="0"/>
          <w:numId w:val="13"/>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Unión aduanera con la UE desde 1996 y acuerdos de libre comercio (ALC) con 20 países  (Ministerio de Economía)</w:t>
      </w:r>
    </w:p>
    <w:p w:rsidR="00925405" w:rsidRPr="00C82317" w:rsidRDefault="00925405" w:rsidP="00925405">
      <w:pPr>
        <w:numPr>
          <w:ilvl w:val="0"/>
          <w:numId w:val="13"/>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Negociaciones en marcha para establecer más ALC</w:t>
      </w:r>
    </w:p>
    <w:p w:rsidR="00925405" w:rsidRPr="00C82317" w:rsidRDefault="00925405" w:rsidP="00925405">
      <w:pPr>
        <w:numPr>
          <w:ilvl w:val="0"/>
          <w:numId w:val="13"/>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Negociaciones para la adhesión a la UE</w:t>
      </w:r>
    </w:p>
    <w:p w:rsidR="00925405" w:rsidRPr="00C82317" w:rsidRDefault="00925405" w:rsidP="00925405">
      <w:pPr>
        <w:spacing w:beforeAutospacing="1" w:after="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10. Un gran mercado interno</w:t>
      </w:r>
    </w:p>
    <w:p w:rsidR="00925405" w:rsidRPr="00C82317" w:rsidRDefault="00925405" w:rsidP="00925405">
      <w:pPr>
        <w:numPr>
          <w:ilvl w:val="0"/>
          <w:numId w:val="14"/>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32,6 millones de abonados a Internet de banda ancha en 2013, frente a 0,1 millones de 2002 (ICTA, TurkStat)</w:t>
      </w:r>
    </w:p>
    <w:p w:rsidR="00925405" w:rsidRPr="00C82317" w:rsidRDefault="00925405" w:rsidP="00925405">
      <w:pPr>
        <w:numPr>
          <w:ilvl w:val="0"/>
          <w:numId w:val="14"/>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69,6 millones abonados a línea móvil en 2013, frente a los 23 millones de 2002 (TurkStat)</w:t>
      </w:r>
    </w:p>
    <w:p w:rsidR="00925405" w:rsidRPr="00C82317" w:rsidRDefault="00925405" w:rsidP="00925405">
      <w:pPr>
        <w:numPr>
          <w:ilvl w:val="0"/>
          <w:numId w:val="14"/>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57 millones de usuarios de tarjetas de crédito en 2013 (frente a los 16 millones de 2002 (Centro Interbancario de Tarjetas de Turquía)</w:t>
      </w:r>
    </w:p>
    <w:p w:rsidR="00925405" w:rsidRPr="00C82317" w:rsidRDefault="00925405" w:rsidP="00925405">
      <w:pPr>
        <w:numPr>
          <w:ilvl w:val="0"/>
          <w:numId w:val="14"/>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131 millones de usuarios de aerolíneas en 2012, frente a los 33 millones de 2002 (TurkStat)</w:t>
      </w:r>
    </w:p>
    <w:p w:rsidR="00925405" w:rsidRPr="00C82317" w:rsidRDefault="00925405" w:rsidP="00925405">
      <w:pPr>
        <w:numPr>
          <w:ilvl w:val="0"/>
          <w:numId w:val="14"/>
        </w:numPr>
        <w:spacing w:before="100" w:beforeAutospacing="1" w:after="100" w:afterAutospacing="1" w:line="240" w:lineRule="auto"/>
        <w:ind w:left="150"/>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39,2 millones de llegadas de turistas internacionales en 2012, frente a los 13 millones de 2002 (TurkStat)</w:t>
      </w:r>
    </w:p>
    <w:p w:rsidR="00925405" w:rsidRPr="00C63C86" w:rsidRDefault="00925405" w:rsidP="00925405">
      <w:pPr>
        <w:spacing w:before="100" w:beforeAutospacing="1" w:after="100" w:afterAutospacing="1" w:line="240" w:lineRule="auto"/>
        <w:jc w:val="both"/>
        <w:outlineLvl w:val="1"/>
        <w:rPr>
          <w:rFonts w:ascii="Times New Roman" w:eastAsia="Times New Roman" w:hAnsi="Times New Roman" w:cs="Times New Roman"/>
          <w:b/>
          <w:bCs/>
          <w:color w:val="3F3F3F"/>
          <w:kern w:val="36"/>
          <w:sz w:val="24"/>
          <w:szCs w:val="24"/>
          <w:lang w:eastAsia="es-ES"/>
        </w:rPr>
      </w:pPr>
      <w:r w:rsidRPr="00C63C86">
        <w:rPr>
          <w:rFonts w:ascii="Times New Roman" w:eastAsia="Times New Roman" w:hAnsi="Times New Roman" w:cs="Times New Roman"/>
          <w:b/>
          <w:bCs/>
          <w:color w:val="3F3F3F"/>
          <w:kern w:val="36"/>
          <w:sz w:val="24"/>
          <w:szCs w:val="24"/>
          <w:lang w:eastAsia="es-ES"/>
        </w:rPr>
        <w:t>Comercio exterior </w:t>
      </w:r>
    </w:p>
    <w:p w:rsidR="00925405" w:rsidRPr="00C63C86" w:rsidRDefault="00925405" w:rsidP="00925405">
      <w:pPr>
        <w:spacing w:after="0"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 xml:space="preserve">En 2012, las exportaciones de Turquía alcanzaron su máximo histórico con un total de 152.500 millones de dólares, lo que representa un incremento del 13 por ciento. </w:t>
      </w:r>
      <w:r w:rsidRPr="00C63C86">
        <w:rPr>
          <w:rFonts w:ascii="Times New Roman" w:eastAsia="Times New Roman" w:hAnsi="Times New Roman" w:cs="Times New Roman"/>
          <w:b/>
          <w:bCs/>
          <w:color w:val="000000"/>
          <w:sz w:val="24"/>
          <w:szCs w:val="24"/>
          <w:lang w:eastAsia="es-ES"/>
        </w:rPr>
        <w:t> </w:t>
      </w:r>
    </w:p>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Estadísticas de comercio exterior</w:t>
      </w:r>
      <w:r w:rsidRPr="00C82317">
        <w:rPr>
          <w:rFonts w:ascii="Times New Roman" w:eastAsia="Times New Roman" w:hAnsi="Times New Roman" w:cs="Times New Roman"/>
          <w:sz w:val="24"/>
          <w:szCs w:val="24"/>
          <w:lang w:eastAsia="es-ES"/>
        </w:rPr>
        <w:t xml:space="preserve">  </w:t>
      </w:r>
    </w:p>
    <w:tbl>
      <w:tblPr>
        <w:tblW w:w="5000" w:type="pct"/>
        <w:jc w:val="center"/>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Description w:val=""/>
      </w:tblPr>
      <w:tblGrid>
        <w:gridCol w:w="1568"/>
        <w:gridCol w:w="995"/>
        <w:gridCol w:w="995"/>
        <w:gridCol w:w="996"/>
        <w:gridCol w:w="996"/>
        <w:gridCol w:w="996"/>
        <w:gridCol w:w="1082"/>
        <w:gridCol w:w="996"/>
      </w:tblGrid>
      <w:tr w:rsidR="00925405" w:rsidRPr="00C82317" w:rsidTr="00C51709">
        <w:trPr>
          <w:jc w:val="center"/>
        </w:trPr>
        <w:tc>
          <w:tcPr>
            <w:tcW w:w="9885" w:type="dxa"/>
            <w:gridSpan w:val="8"/>
            <w:tcBorders>
              <w:top w:val="single" w:sz="6" w:space="0" w:color="DDDDDD"/>
              <w:left w:val="single" w:sz="6" w:space="0" w:color="DDDDDD"/>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Millones de dólares</w:t>
            </w:r>
          </w:p>
        </w:tc>
      </w:tr>
      <w:tr w:rsidR="00925405" w:rsidRPr="00C82317" w:rsidTr="00C51709">
        <w:trPr>
          <w:trHeight w:val="375"/>
          <w:jc w:val="center"/>
        </w:trPr>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 </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2006</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2007</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2008</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2009</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2010</w:t>
            </w:r>
          </w:p>
        </w:tc>
        <w:tc>
          <w:tcPr>
            <w:tcW w:w="6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2011</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2012</w:t>
            </w:r>
          </w:p>
        </w:tc>
      </w:tr>
      <w:tr w:rsidR="00925405" w:rsidRPr="00C82317" w:rsidTr="00C51709">
        <w:trPr>
          <w:jc w:val="center"/>
        </w:trPr>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Exportaciones (FOB)</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85.535</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107.272</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132.002</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102.143</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113.883</w:t>
            </w:r>
          </w:p>
        </w:tc>
        <w:tc>
          <w:tcPr>
            <w:tcW w:w="6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134.969</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152.462</w:t>
            </w:r>
          </w:p>
        </w:tc>
      </w:tr>
      <w:tr w:rsidR="00925405" w:rsidRPr="00C82317" w:rsidTr="00C51709">
        <w:trPr>
          <w:jc w:val="center"/>
        </w:trPr>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Importaciones (CSF)</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139.576</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170.063</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201.961</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140.929</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185.544</w:t>
            </w:r>
          </w:p>
        </w:tc>
        <w:tc>
          <w:tcPr>
            <w:tcW w:w="6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240.838</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236.545</w:t>
            </w:r>
          </w:p>
        </w:tc>
      </w:tr>
      <w:tr w:rsidR="00925405" w:rsidRPr="00C82317" w:rsidTr="00C51709">
        <w:trPr>
          <w:jc w:val="center"/>
        </w:trPr>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lastRenderedPageBreak/>
              <w:t>Volumen de comercio</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225.111</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277.334</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333.963</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243.072</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299.428</w:t>
            </w:r>
          </w:p>
        </w:tc>
        <w:tc>
          <w:tcPr>
            <w:tcW w:w="6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375.807</w:t>
            </w:r>
          </w:p>
        </w:tc>
        <w:tc>
          <w:tcPr>
            <w:tcW w:w="6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389.007</w:t>
            </w:r>
          </w:p>
        </w:tc>
      </w:tr>
      <w:tr w:rsidR="00925405" w:rsidRPr="00C82317" w:rsidTr="00C51709">
        <w:trPr>
          <w:jc w:val="center"/>
        </w:trPr>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Balance de comercio</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-54.041</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-62.791</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-69.959</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-38.786</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-71.661</w:t>
            </w:r>
          </w:p>
        </w:tc>
        <w:tc>
          <w:tcPr>
            <w:tcW w:w="6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-105.869</w:t>
            </w:r>
          </w:p>
        </w:tc>
        <w:tc>
          <w:tcPr>
            <w:tcW w:w="6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-84.083</w:t>
            </w:r>
          </w:p>
        </w:tc>
      </w:tr>
    </w:tbl>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Source:</w:t>
      </w:r>
      <w:r w:rsidRPr="00C82317">
        <w:rPr>
          <w:rFonts w:ascii="Times New Roman" w:eastAsia="Times New Roman" w:hAnsi="Times New Roman" w:cs="Times New Roman"/>
          <w:sz w:val="24"/>
          <w:szCs w:val="24"/>
          <w:lang w:eastAsia="es-ES"/>
        </w:rPr>
        <w:t xml:space="preserve"> TurkStat </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Debido a la implementación del proceso de liberalización comenzado en 1980, la economía turca ha experimentado un periodo de gran crecimiento. El comercio exterior, tanto en lo relativo a las exportaciones como a las importaciones, ha crecido con gran rapidez. Por otra parte, se han observado cambios significativos en la estructura de las exportaciones. A este respecto, los productos industriales han cobrado una mayor importancia frente a los productos agrícolas. </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En 1995, Turquía entró a formar parte de la Organización Mundial del Comercio (OMC), tras lo cual suscribió un acuerdo con la Unión Europea que le permitió incorporarse a la Unión Aduanera el 1 de enero de 1996.</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b/>
          <w:bCs/>
          <w:color w:val="000000"/>
          <w:sz w:val="24"/>
          <w:szCs w:val="24"/>
          <w:lang w:eastAsia="es-ES"/>
        </w:rPr>
        <w:t>Exportaciones</w:t>
      </w:r>
      <w:r w:rsidRPr="00C63C86">
        <w:rPr>
          <w:rFonts w:ascii="Times New Roman" w:eastAsia="Times New Roman" w:hAnsi="Times New Roman" w:cs="Times New Roman"/>
          <w:color w:val="000000"/>
          <w:sz w:val="24"/>
          <w:szCs w:val="24"/>
          <w:lang w:eastAsia="es-ES"/>
        </w:rPr>
        <w:t xml:space="preserve"> </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 xml:space="preserve">De acuerdo con las políticas puestas en marcha en el marco de un modelo de desarrollo impulsado por las exportaciones desde 1980, la exportación es un factor importante para Turquía tanto en términos de calidad como en términos de cantidad. </w:t>
      </w:r>
      <w:r w:rsidRPr="00C63C86">
        <w:rPr>
          <w:rFonts w:ascii="Times New Roman" w:eastAsia="Times New Roman" w:hAnsi="Times New Roman" w:cs="Times New Roman"/>
          <w:color w:val="000000"/>
          <w:sz w:val="24"/>
          <w:szCs w:val="24"/>
          <w:lang w:eastAsia="es-ES"/>
        </w:rPr>
        <w:br/>
        <w:t xml:space="preserve">Principalmente a partir de 1980 y hasta mediados de la década de los noventa, se han observado grandes progresos en la cuota de mercado representada por los productos industriales fabricados fundamentalmente a partir del capital humano, como son los tejidos y las prendas de vestir, el hierro y el acero y los comestibles. </w:t>
      </w:r>
      <w:r w:rsidRPr="00C63C86">
        <w:rPr>
          <w:rFonts w:ascii="Times New Roman" w:eastAsia="Times New Roman" w:hAnsi="Times New Roman" w:cs="Times New Roman"/>
          <w:color w:val="000000"/>
          <w:sz w:val="24"/>
          <w:szCs w:val="24"/>
          <w:lang w:eastAsia="es-ES"/>
        </w:rPr>
        <w:br/>
        <w:t xml:space="preserve">Con el establecimiento de una Unión Aduanera con la Unión Europea en 1996, las exportaciones de Turquía comenzaron un nuevo proceso de transformación estructural. El desarrollo de los últimos años muestra que la producción y las exportaciones han crecido sustancialmente en los sectores de la alta tecnología, que abarcan maquinaria y equipos electrónicos y eléctricos, y la industria de la automoción. Por otra parte, también se puede advertir que la cuota de mercado de las exportaciones de productos industriales manufacturados se ha incrementado. </w:t>
      </w:r>
    </w:p>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Los 10 grupos de productos con más exportaciones en el 2012 </w:t>
      </w:r>
    </w:p>
    <w:tbl>
      <w:tblPr>
        <w:tblW w:w="5000" w:type="pct"/>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Description w:val=""/>
      </w:tblPr>
      <w:tblGrid>
        <w:gridCol w:w="435"/>
        <w:gridCol w:w="5483"/>
        <w:gridCol w:w="1172"/>
        <w:gridCol w:w="1534"/>
      </w:tblGrid>
      <w:tr w:rsidR="00925405" w:rsidRPr="00C82317" w:rsidTr="00C51709">
        <w:trPr>
          <w:trHeight w:val="765"/>
        </w:trPr>
        <w:tc>
          <w:tcPr>
            <w:tcW w:w="250" w:type="pct"/>
            <w:tcBorders>
              <w:top w:val="single" w:sz="6" w:space="0" w:color="DDDDDD"/>
              <w:left w:val="single" w:sz="6" w:space="0" w:color="DDDDDD"/>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 </w:t>
            </w:r>
          </w:p>
        </w:tc>
        <w:tc>
          <w:tcPr>
            <w:tcW w:w="3250" w:type="pct"/>
            <w:tcBorders>
              <w:top w:val="single" w:sz="6" w:space="0" w:color="DDDDDD"/>
              <w:left w:val="nil"/>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Grupos de productos</w:t>
            </w:r>
          </w:p>
        </w:tc>
        <w:tc>
          <w:tcPr>
            <w:tcW w:w="750" w:type="pct"/>
            <w:tcBorders>
              <w:top w:val="single" w:sz="6" w:space="0" w:color="DDDDDD"/>
              <w:left w:val="nil"/>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Millones de dólares</w:t>
            </w:r>
          </w:p>
        </w:tc>
        <w:tc>
          <w:tcPr>
            <w:tcW w:w="750" w:type="pct"/>
            <w:tcBorders>
              <w:top w:val="single" w:sz="6" w:space="0" w:color="DDDDDD"/>
              <w:left w:val="nil"/>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Porcentaje de las exportaciones totales</w:t>
            </w:r>
          </w:p>
        </w:tc>
      </w:tr>
      <w:tr w:rsidR="00925405" w:rsidRPr="00C82317" w:rsidTr="00C51709">
        <w:tc>
          <w:tcPr>
            <w:tcW w:w="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w:t>
            </w:r>
          </w:p>
        </w:tc>
        <w:tc>
          <w:tcPr>
            <w:tcW w:w="3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 xml:space="preserve">Piedras preciosas, metales preciosos, </w:t>
            </w:r>
          </w:p>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perlas y artículos derivados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16,3</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10,7</w:t>
            </w:r>
          </w:p>
        </w:tc>
      </w:tr>
      <w:tr w:rsidR="00925405" w:rsidRPr="00C82317" w:rsidTr="00C51709">
        <w:tc>
          <w:tcPr>
            <w:tcW w:w="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w:t>
            </w:r>
          </w:p>
        </w:tc>
        <w:tc>
          <w:tcPr>
            <w:tcW w:w="3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Vehículos, excepto material rodante de ferrocarriles y tranvías, y sus partes</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15,2</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10,0</w:t>
            </w:r>
          </w:p>
        </w:tc>
      </w:tr>
      <w:tr w:rsidR="00925405" w:rsidRPr="00C82317" w:rsidTr="00C51709">
        <w:tc>
          <w:tcPr>
            <w:tcW w:w="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lastRenderedPageBreak/>
              <w:t>3</w:t>
            </w:r>
          </w:p>
        </w:tc>
        <w:tc>
          <w:tcPr>
            <w:tcW w:w="3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Calderas, máquinas y aparatos mecánicos; </w:t>
            </w:r>
          </w:p>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partes de estas máquinas o aparatos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12,0</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7,8</w:t>
            </w:r>
          </w:p>
        </w:tc>
      </w:tr>
      <w:tr w:rsidR="00925405" w:rsidRPr="00C82317" w:rsidTr="00C51709">
        <w:tc>
          <w:tcPr>
            <w:tcW w:w="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w:t>
            </w:r>
          </w:p>
        </w:tc>
        <w:tc>
          <w:tcPr>
            <w:tcW w:w="3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Hierro y acero</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11,3</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7,4</w:t>
            </w:r>
          </w:p>
        </w:tc>
      </w:tr>
      <w:tr w:rsidR="00925405" w:rsidRPr="00C82317" w:rsidTr="00C51709">
        <w:tc>
          <w:tcPr>
            <w:tcW w:w="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w:t>
            </w:r>
          </w:p>
        </w:tc>
        <w:tc>
          <w:tcPr>
            <w:tcW w:w="3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Maquinaria y equipos eléctricos: sus partes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9,4</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6,2</w:t>
            </w:r>
          </w:p>
        </w:tc>
      </w:tr>
      <w:tr w:rsidR="00925405" w:rsidRPr="00C82317" w:rsidTr="00C51709">
        <w:tc>
          <w:tcPr>
            <w:tcW w:w="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w:t>
            </w:r>
          </w:p>
        </w:tc>
        <w:tc>
          <w:tcPr>
            <w:tcW w:w="3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Artículos y complementos de punto</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8,4</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5,5</w:t>
            </w:r>
          </w:p>
        </w:tc>
      </w:tr>
      <w:tr w:rsidR="00925405" w:rsidRPr="00C82317" w:rsidTr="00C51709">
        <w:tc>
          <w:tcPr>
            <w:tcW w:w="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w:t>
            </w:r>
          </w:p>
        </w:tc>
        <w:tc>
          <w:tcPr>
            <w:tcW w:w="3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Combustibles minerales, aceites minerales y sus destilados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7,7</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5,0</w:t>
            </w:r>
          </w:p>
        </w:tc>
      </w:tr>
      <w:tr w:rsidR="00925405" w:rsidRPr="00C82317" w:rsidTr="00C51709">
        <w:tc>
          <w:tcPr>
            <w:tcW w:w="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8</w:t>
            </w:r>
          </w:p>
        </w:tc>
        <w:tc>
          <w:tcPr>
            <w:tcW w:w="3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Artículos de hierro y acero</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6,1</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4,0</w:t>
            </w:r>
          </w:p>
        </w:tc>
      </w:tr>
      <w:tr w:rsidR="00925405" w:rsidRPr="00C82317" w:rsidTr="00C51709">
        <w:tc>
          <w:tcPr>
            <w:tcW w:w="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w:t>
            </w:r>
          </w:p>
        </w:tc>
        <w:tc>
          <w:tcPr>
            <w:tcW w:w="32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Artículos y accesorios de vestir, excepto los de punto</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5,4</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3,5</w:t>
            </w:r>
          </w:p>
        </w:tc>
      </w:tr>
      <w:tr w:rsidR="00925405" w:rsidRPr="00C82317" w:rsidTr="00C51709">
        <w:tc>
          <w:tcPr>
            <w:tcW w:w="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w:t>
            </w:r>
          </w:p>
        </w:tc>
        <w:tc>
          <w:tcPr>
            <w:tcW w:w="32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Plástico y artículos de plástico</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5,0</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3,2</w:t>
            </w:r>
          </w:p>
        </w:tc>
      </w:tr>
    </w:tbl>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Source:</w:t>
      </w:r>
      <w:r w:rsidRPr="00C82317">
        <w:rPr>
          <w:rFonts w:ascii="Times New Roman" w:eastAsia="Times New Roman" w:hAnsi="Times New Roman" w:cs="Times New Roman"/>
          <w:sz w:val="24"/>
          <w:szCs w:val="24"/>
          <w:lang w:eastAsia="es-ES"/>
        </w:rPr>
        <w:t xml:space="preserve"> TurkStat</w:t>
      </w:r>
    </w:p>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Mercados principales de exportación en 2012 </w:t>
      </w:r>
    </w:p>
    <w:tbl>
      <w:tblPr>
        <w:tblW w:w="5000" w:type="pct"/>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Description w:val=""/>
      </w:tblPr>
      <w:tblGrid>
        <w:gridCol w:w="6036"/>
        <w:gridCol w:w="1294"/>
        <w:gridCol w:w="1294"/>
      </w:tblGrid>
      <w:tr w:rsidR="00925405" w:rsidRPr="00C82317" w:rsidTr="00C51709">
        <w:trPr>
          <w:trHeight w:val="465"/>
        </w:trPr>
        <w:tc>
          <w:tcPr>
            <w:tcW w:w="3500" w:type="pct"/>
            <w:tcBorders>
              <w:top w:val="single" w:sz="6" w:space="0" w:color="DDDDDD"/>
              <w:left w:val="single" w:sz="6" w:space="0" w:color="DDDDDD"/>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Mercados</w:t>
            </w:r>
          </w:p>
        </w:tc>
        <w:tc>
          <w:tcPr>
            <w:tcW w:w="750" w:type="pct"/>
            <w:tcBorders>
              <w:top w:val="single" w:sz="6" w:space="0" w:color="DDDDDD"/>
              <w:left w:val="nil"/>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Millones de dólares</w:t>
            </w:r>
          </w:p>
        </w:tc>
        <w:tc>
          <w:tcPr>
            <w:tcW w:w="750" w:type="pct"/>
            <w:tcBorders>
              <w:top w:val="single" w:sz="6" w:space="0" w:color="DDDDDD"/>
              <w:left w:val="nil"/>
              <w:bottom w:val="single" w:sz="6" w:space="0" w:color="DDDDDD"/>
              <w:right w:val="single" w:sz="6" w:space="0" w:color="DDDDDD"/>
            </w:tcBorders>
            <w:shd w:val="clear" w:color="auto" w:fill="0399A6"/>
            <w:tcMar>
              <w:top w:w="60" w:type="dxa"/>
              <w:left w:w="60" w:type="dxa"/>
              <w:bottom w:w="60" w:type="dxa"/>
              <w:right w:w="60"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Cuota (%)</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A-EU 28</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59.399</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38,9</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B-Zonas francas de Turquía</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2.295</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1,5</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C-Otros países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90.769</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59,5</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 Otros países europeos</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14.167</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9,2</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 Otros países del Norte de África</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9.444</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6,1</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 Otros países africanos</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3.913</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2,6</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 Otros países del Norte de América</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6.663</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4,4</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5- América Central y el Caribe</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770</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0,5</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 Países de América del Sur</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2.191</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1,4</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7- Países del Oriente Próximo y Medio</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42.452</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27,8</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8- Otros países asiáticos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10.575</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6,9</w:t>
            </w:r>
          </w:p>
        </w:tc>
      </w:tr>
      <w:tr w:rsidR="00925405" w:rsidRPr="00C82317" w:rsidTr="00C51709">
        <w:tc>
          <w:tcPr>
            <w:tcW w:w="350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9- Australia y Nueva Zelanda</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490</w:t>
            </w:r>
          </w:p>
        </w:tc>
        <w:tc>
          <w:tcPr>
            <w:tcW w:w="750" w:type="pct"/>
            <w:tcBorders>
              <w:top w:val="nil"/>
              <w:left w:val="nil"/>
              <w:bottom w:val="single" w:sz="6" w:space="0" w:color="DDDDDD"/>
              <w:right w:val="single" w:sz="6" w:space="0" w:color="DDDDDD"/>
            </w:tcBorders>
            <w:shd w:val="clear" w:color="auto" w:fill="E9E9E9"/>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0,3</w:t>
            </w:r>
          </w:p>
        </w:tc>
      </w:tr>
      <w:tr w:rsidR="00925405" w:rsidRPr="00C82317" w:rsidTr="00C51709">
        <w:tc>
          <w:tcPr>
            <w:tcW w:w="350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 Otros países</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105</w:t>
            </w:r>
          </w:p>
        </w:tc>
        <w:tc>
          <w:tcPr>
            <w:tcW w:w="750" w:type="pct"/>
            <w:tcBorders>
              <w:top w:val="nil"/>
              <w:left w:val="nil"/>
              <w:bottom w:val="single" w:sz="6" w:space="0" w:color="DDDDDD"/>
              <w:right w:val="single" w:sz="6" w:space="0" w:color="DDDDDD"/>
            </w:tcBorders>
            <w:shd w:val="clear" w:color="auto" w:fill="FFFFFF"/>
            <w:tcMar>
              <w:top w:w="60" w:type="dxa"/>
              <w:left w:w="120" w:type="dxa"/>
              <w:bottom w:w="75" w:type="dxa"/>
              <w:right w:w="75" w:type="dxa"/>
            </w:tcMar>
            <w:vAlign w:val="center"/>
            <w:hideMark/>
          </w:tcPr>
          <w:p w:rsidR="00925405" w:rsidRPr="00C82317" w:rsidRDefault="00925405" w:rsidP="00C51709">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sz w:val="24"/>
                <w:szCs w:val="24"/>
                <w:lang w:eastAsia="es-ES"/>
              </w:rPr>
              <w:t>0,0</w:t>
            </w:r>
          </w:p>
        </w:tc>
      </w:tr>
    </w:tbl>
    <w:p w:rsidR="00925405" w:rsidRPr="00C82317" w:rsidRDefault="00925405" w:rsidP="0092540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82317">
        <w:rPr>
          <w:rFonts w:ascii="Times New Roman" w:eastAsia="Times New Roman" w:hAnsi="Times New Roman" w:cs="Times New Roman"/>
          <w:b/>
          <w:bCs/>
          <w:sz w:val="24"/>
          <w:szCs w:val="24"/>
          <w:lang w:eastAsia="es-ES"/>
        </w:rPr>
        <w:t>Fuente:</w:t>
      </w:r>
      <w:r w:rsidRPr="00C82317">
        <w:rPr>
          <w:rFonts w:ascii="Times New Roman" w:eastAsia="Times New Roman" w:hAnsi="Times New Roman" w:cs="Times New Roman"/>
          <w:sz w:val="24"/>
          <w:szCs w:val="24"/>
          <w:lang w:eastAsia="es-ES"/>
        </w:rPr>
        <w:t xml:space="preserve"> TurkStat </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b/>
          <w:bCs/>
          <w:color w:val="000000"/>
          <w:sz w:val="24"/>
          <w:szCs w:val="24"/>
          <w:lang w:eastAsia="es-ES"/>
        </w:rPr>
        <w:t>Importaciones</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 xml:space="preserve">El régimen de importaciones de Turquía destaca la liberalización de las importaciones de este país en armonía con sus compromisos para completar la Unión Aduanera con la UE, su relación con la AELC y las responsabilidades impuestas por la Organización </w:t>
      </w:r>
      <w:r w:rsidRPr="00C63C86">
        <w:rPr>
          <w:rFonts w:ascii="Times New Roman" w:eastAsia="Times New Roman" w:hAnsi="Times New Roman" w:cs="Times New Roman"/>
          <w:color w:val="000000"/>
          <w:sz w:val="24"/>
          <w:szCs w:val="24"/>
          <w:lang w:eastAsia="es-ES"/>
        </w:rPr>
        <w:lastRenderedPageBreak/>
        <w:t>Mundial del Comercio (OMC). Turquía ha concedido especial importancia a su compromiso de reducción de derechos de aduana con la finalidad de alinearse con el arancel aduanero común. Además, ha realizado modificaciones necesarias en su régimen de importaciones, tras lo cual, el 1 de enero de 1996, la Unión Aduanera con la UE entró en vigor.  </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Los principales objetivos de la política de importación de Turquía desde principios de la década de los ochenta se pueden sintetizar del siguiente modo:  </w:t>
      </w:r>
    </w:p>
    <w:p w:rsidR="00925405" w:rsidRPr="00C63C86" w:rsidRDefault="00925405" w:rsidP="00925405">
      <w:pPr>
        <w:numPr>
          <w:ilvl w:val="0"/>
          <w:numId w:val="15"/>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 xml:space="preserve">Reducción de las medidas proteccionistas de conformidad con la nueva normativa GATT </w:t>
      </w:r>
    </w:p>
    <w:p w:rsidR="00925405" w:rsidRPr="00C63C86" w:rsidRDefault="00925405" w:rsidP="00925405">
      <w:pPr>
        <w:numPr>
          <w:ilvl w:val="0"/>
          <w:numId w:val="15"/>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 xml:space="preserve">Reducción de los trámites burocráticos </w:t>
      </w:r>
    </w:p>
    <w:p w:rsidR="00925405" w:rsidRPr="00C63C86" w:rsidRDefault="00925405" w:rsidP="00925405">
      <w:pPr>
        <w:numPr>
          <w:ilvl w:val="0"/>
          <w:numId w:val="15"/>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Garantía de suministro de materias primas y bienes intermedios a precios asequibles y sujetos a ciertas normas de calidad</w:t>
      </w:r>
      <w:r w:rsidRPr="00C63C86">
        <w:rPr>
          <w:rFonts w:ascii="Times New Roman" w:eastAsia="Times New Roman" w:hAnsi="Times New Roman" w:cs="Times New Roman"/>
          <w:b/>
          <w:bCs/>
          <w:color w:val="000000"/>
          <w:sz w:val="24"/>
          <w:szCs w:val="24"/>
          <w:lang w:eastAsia="es-ES"/>
        </w:rPr>
        <w:t> </w:t>
      </w:r>
    </w:p>
    <w:p w:rsidR="00925405" w:rsidRPr="00C63C86" w:rsidRDefault="00925405" w:rsidP="00925405">
      <w:pPr>
        <w:spacing w:before="100" w:beforeAutospacing="1" w:after="240"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b/>
          <w:bCs/>
          <w:color w:val="000000"/>
          <w:sz w:val="24"/>
          <w:szCs w:val="24"/>
          <w:lang w:eastAsia="es-ES"/>
        </w:rPr>
        <w:t>Pertenencia de Turquía a organizaciones comerciales internacionales</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Turquía forma parte de la Organización Mundial del Comercio (OMC) desde 1995. Su compromiso de integración de las normas de comercio regionales e internacionales ha cristalizado en la participación del país en diversas organizaciones, entre las que destacan la Organización de Cooperación Económica (ECO), la Conferencia de las Naciones Unidas sobre Comercio y Desarrollo (CNUCD), la Organización de la Cooperación Económica del Mar Negro (BSEC), la Organización Mundial de Aduanas (OMA), la Cámara de Comercio Internacional (CCI) y la organización D-8.</w:t>
      </w:r>
    </w:p>
    <w:p w:rsidR="00925405"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C63C86">
        <w:rPr>
          <w:rFonts w:ascii="Times New Roman" w:eastAsia="Times New Roman" w:hAnsi="Times New Roman" w:cs="Times New Roman"/>
          <w:color w:val="000000"/>
          <w:sz w:val="24"/>
          <w:szCs w:val="24"/>
          <w:lang w:eastAsia="es-ES"/>
        </w:rPr>
        <w:t>Además de la Unión Aduanera con la UE, Turquía ha suscrito acuerdos de libre comercio (ALC) con Islandia, Noruega, Suiza y Lichtenstein, Georgia, Israel, la antigua República Yugoslava de Macedonia, Croacia, Bosnia-Herzegovina, Túnez, Marruecos, la Autoridad Palestina, Siria, Egipto, Albania, Montenegro, Serbia, Chile,</w:t>
      </w:r>
      <w:r w:rsidR="002373E8">
        <w:rPr>
          <w:rFonts w:ascii="Times New Roman" w:eastAsia="Times New Roman" w:hAnsi="Times New Roman" w:cs="Times New Roman"/>
          <w:color w:val="000000"/>
          <w:sz w:val="24"/>
          <w:szCs w:val="24"/>
          <w:lang w:eastAsia="es-ES"/>
        </w:rPr>
        <w:t xml:space="preserve"> Jordania , junto con el Líbano, las Islas Mauricio y Corea del Sur,</w:t>
      </w:r>
      <w:r w:rsidRPr="00C63C86">
        <w:rPr>
          <w:rFonts w:ascii="Times New Roman" w:eastAsia="Times New Roman" w:hAnsi="Times New Roman" w:cs="Times New Roman"/>
          <w:color w:val="000000"/>
          <w:sz w:val="24"/>
          <w:szCs w:val="24"/>
          <w:lang w:eastAsia="es-ES"/>
        </w:rPr>
        <w:t xml:space="preserve"> que esperan la ratificación.</w:t>
      </w:r>
    </w:p>
    <w:p w:rsidR="00925405" w:rsidRPr="00C63C86"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hAnsi="Times New Roman" w:cs="Times New Roman"/>
          <w:b/>
          <w:bCs/>
          <w:color w:val="3F3F3F"/>
          <w:kern w:val="36"/>
          <w:sz w:val="24"/>
          <w:szCs w:val="24"/>
        </w:rPr>
        <w:t>Indicadores macroeconómicos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Crecimiento económico</w:t>
      </w:r>
      <w:r w:rsidRPr="00DC3278">
        <w:rPr>
          <w:rFonts w:ascii="Times New Roman" w:eastAsia="Times New Roman" w:hAnsi="Times New Roman" w:cs="Times New Roman"/>
          <w:color w:val="000000"/>
          <w:sz w:val="24"/>
          <w:szCs w:val="24"/>
          <w:lang w:eastAsia="es-ES"/>
        </w:rPr>
        <w: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Unas políticas económicas sólidas, junto con unas reformas económicas intensas, han producido resultados favorables: la economía ha experimentado un fuerte crecimiento económico durante los últimos ocho años. Gracias a las reformas estructurales y a las beneficiosas políticas macroeconómicas implementadas con decisión, Turquía se ha convertido en una de las economías de más rápido crecimiento de la región.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Estabilidad y alto rendimiento en la economía</w:t>
      </w:r>
      <w:r w:rsidRPr="00DC3278">
        <w:rPr>
          <w:rFonts w:ascii="Times New Roman" w:eastAsia="Times New Roman" w:hAnsi="Times New Roman" w:cs="Times New Roman"/>
          <w:color w:val="000000"/>
          <w:sz w:val="24"/>
          <w:szCs w:val="24"/>
          <w:lang w:eastAsia="es-ES"/>
        </w:rPr>
        <w: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Entre 2002 y 2011: </w:t>
      </w:r>
    </w:p>
    <w:p w:rsidR="00925405" w:rsidRPr="00DC3278" w:rsidRDefault="00925405" w:rsidP="00925405">
      <w:pPr>
        <w:numPr>
          <w:ilvl w:val="0"/>
          <w:numId w:val="16"/>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 xml:space="preserve">Con un aumento del 234%, el PIB alcanzó los 772 000 millones de dólares </w:t>
      </w:r>
    </w:p>
    <w:p w:rsidR="00925405" w:rsidRPr="00DC3278" w:rsidRDefault="00925405" w:rsidP="00925405">
      <w:pPr>
        <w:numPr>
          <w:ilvl w:val="0"/>
          <w:numId w:val="16"/>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 xml:space="preserve">El PIB real medio anual creció en un 5,2% </w:t>
      </w:r>
    </w:p>
    <w:p w:rsidR="00925405" w:rsidRPr="00DC3278" w:rsidRDefault="00925405" w:rsidP="00925405">
      <w:pPr>
        <w:numPr>
          <w:ilvl w:val="0"/>
          <w:numId w:val="16"/>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 xml:space="preserve">El nivel de endeudamiento público descendió del 74% al 39,4% del PIB </w:t>
      </w:r>
    </w:p>
    <w:p w:rsidR="00925405" w:rsidRPr="00DC3278" w:rsidRDefault="00925405" w:rsidP="00925405">
      <w:pPr>
        <w:numPr>
          <w:ilvl w:val="0"/>
          <w:numId w:val="16"/>
        </w:numPr>
        <w:spacing w:before="100" w:beforeAutospacing="1" w:after="100" w:afterAutospacing="1" w:line="240" w:lineRule="auto"/>
        <w:ind w:left="150"/>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El déficit presupuestario bajó del 10% hasta menos del 3% del PIB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lastRenderedPageBreak/>
        <w:br/>
      </w:r>
      <w:r w:rsidRPr="00DC3278">
        <w:rPr>
          <w:rFonts w:ascii="Times New Roman" w:eastAsia="Times New Roman" w:hAnsi="Times New Roman" w:cs="Times New Roman"/>
          <w:b/>
          <w:bCs/>
          <w:color w:val="000000"/>
          <w:sz w:val="24"/>
          <w:szCs w:val="24"/>
          <w:lang w:eastAsia="es-ES"/>
        </w:rPr>
        <w:t>Tasa media de creci</w:t>
      </w:r>
      <w:r>
        <w:rPr>
          <w:rFonts w:ascii="Times New Roman" w:eastAsia="Times New Roman" w:hAnsi="Times New Roman" w:cs="Times New Roman"/>
          <w:b/>
          <w:bCs/>
          <w:color w:val="000000"/>
          <w:sz w:val="24"/>
          <w:szCs w:val="24"/>
          <w:lang w:eastAsia="es-ES"/>
        </w:rPr>
        <w:t>miento anual (TMCA) del PIB (%)</w:t>
      </w:r>
      <w:r w:rsidRPr="00DC3278">
        <w:rPr>
          <w:rFonts w:ascii="Times New Roman" w:eastAsia="Times New Roman" w:hAnsi="Times New Roman" w:cs="Times New Roman"/>
          <w:b/>
          <w:bCs/>
          <w:color w:val="000000"/>
          <w:sz w:val="24"/>
          <w:szCs w:val="24"/>
          <w:lang w:eastAsia="es-ES"/>
        </w:rPr>
        <w:t xml:space="preserve"> </w:t>
      </w:r>
      <w:r>
        <w:rPr>
          <w:rFonts w:ascii="Times New Roman" w:eastAsia="Times New Roman" w:hAnsi="Times New Roman" w:cs="Times New Roman"/>
          <w:b/>
          <w:bCs/>
          <w:color w:val="000000"/>
          <w:sz w:val="24"/>
          <w:szCs w:val="24"/>
          <w:lang w:eastAsia="es-ES"/>
        </w:rPr>
        <w:t xml:space="preserve">(a </w:t>
      </w:r>
      <w:r w:rsidRPr="00DC3278">
        <w:rPr>
          <w:rFonts w:ascii="Times New Roman" w:eastAsia="Times New Roman" w:hAnsi="Times New Roman" w:cs="Times New Roman"/>
          <w:b/>
          <w:bCs/>
          <w:color w:val="000000"/>
          <w:sz w:val="24"/>
          <w:szCs w:val="24"/>
          <w:lang w:eastAsia="es-ES"/>
        </w:rPr>
        <w:t>precios constantes</w:t>
      </w:r>
      <w:r>
        <w:rPr>
          <w:rFonts w:ascii="Times New Roman" w:eastAsia="Times New Roman" w:hAnsi="Times New Roman" w:cs="Times New Roman"/>
          <w:b/>
          <w:bCs/>
          <w:color w:val="000000"/>
          <w:sz w:val="24"/>
          <w:szCs w:val="24"/>
          <w:lang w:eastAsia="es-ES"/>
        </w:rPr>
        <w:t>)</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7715FC46" wp14:editId="217C109A">
            <wp:extent cx="5295900" cy="2495550"/>
            <wp:effectExtent l="0" t="0" r="0" b="0"/>
            <wp:docPr id="20" name="Imagen 20" descr="http://www.invest.gov.tr/es-ES/investmentguide/investorsguide/PublishingImages/Macroeconomic%20Indicators%20graphs%202012%20ES/1-Compound-Annual-Growth-Rate-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nvest.gov.tr/es-ES/investmentguide/investorsguide/PublishingImages/Macroeconomic%20Indicators%20graphs%202012%20ES/1-Compound-Annual-Growth-Rate-2012-ES.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95900" cy="2495550"/>
                    </a:xfrm>
                    <a:prstGeom prst="rect">
                      <a:avLst/>
                    </a:prstGeom>
                    <a:noFill/>
                    <a:ln>
                      <a:noFill/>
                    </a:ln>
                  </pic:spPr>
                </pic:pic>
              </a:graphicData>
            </a:graphic>
          </wp:inline>
        </w:drawing>
      </w:r>
    </w:p>
    <w:p w:rsidR="00925405"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 xml:space="preserve">Fuente: </w:t>
      </w:r>
      <w:r w:rsidRPr="00DC3278">
        <w:rPr>
          <w:rFonts w:ascii="Times New Roman" w:eastAsia="Times New Roman" w:hAnsi="Times New Roman" w:cs="Times New Roman"/>
          <w:color w:val="000000"/>
          <w:sz w:val="24"/>
          <w:szCs w:val="24"/>
          <w:lang w:eastAsia="es-ES"/>
        </w:rPr>
        <w:t>Instituto de Estadística de Turquía (TurkStat)</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En los últimos ocho años, la economía turca ha sido una de las economías emergentes que más rápido ha crecido.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Tasa media de crecimiento anual del PIB real (%) 2002-2011</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6F862647" wp14:editId="08776782">
            <wp:extent cx="5499100" cy="3467100"/>
            <wp:effectExtent l="0" t="0" r="6350" b="0"/>
            <wp:docPr id="30" name="Imagen 30" descr="http://www.invest.gov.tr/es-ES/investmentguide/investorsguide/PublishingImages/Macroeconomic%20Indicators%20graphs%202012%20ES/2-Average-Annual-Real-GDP-Growth-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vest.gov.tr/es-ES/investmentguide/investorsguide/PublishingImages/Macroeconomic%20Indicators%20graphs%202012%20ES/2-Average-Annual-Real-GDP-Growth-2012-ES.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99100" cy="3467100"/>
                    </a:xfrm>
                    <a:prstGeom prst="rect">
                      <a:avLst/>
                    </a:prstGeom>
                    <a:noFill/>
                    <a:ln>
                      <a:noFill/>
                    </a:ln>
                  </pic:spPr>
                </pic:pic>
              </a:graphicData>
            </a:graphic>
          </wp:inline>
        </w:drawing>
      </w:r>
    </w:p>
    <w:p w:rsidR="00925405"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 xml:space="preserve">Fuente: </w:t>
      </w:r>
      <w:r w:rsidRPr="00DC3278">
        <w:rPr>
          <w:rFonts w:ascii="Times New Roman" w:eastAsia="Times New Roman" w:hAnsi="Times New Roman" w:cs="Times New Roman"/>
          <w:color w:val="000000"/>
          <w:sz w:val="24"/>
          <w:szCs w:val="24"/>
          <w:lang w:eastAsia="es-ES"/>
        </w:rPr>
        <w:t>Perspectivas de la Economía Mundial del FMI, abril de 2012; Instituto de Estadística de Turquía (TurkStat)</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lastRenderedPageBreak/>
        <w:t>Turquía ha sido la economía que más rápido ha crecido en Europa y una de las de más rápido crecimiento a nivel mundial en 2010 y 2011.</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Crecimiento del PIB real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14AE028D" wp14:editId="72A4876D">
            <wp:extent cx="5461000" cy="2743200"/>
            <wp:effectExtent l="0" t="0" r="6350" b="0"/>
            <wp:docPr id="29" name="Imagen 29" descr="http://www.invest.gov.tr/es-ES/investmentguide/investorsguide/PublishingImages/Macroeconomic%20Indicators%20graphs%202012%20ES/3-Real-GDP-Growth-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nvest.gov.tr/es-ES/investmentguide/investorsguide/PublishingImages/Macroeconomic%20Indicators%20graphs%202012%20ES/3-Real-GDP-Growth-2012-ES.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61000" cy="2743200"/>
                    </a:xfrm>
                    <a:prstGeom prst="rect">
                      <a:avLst/>
                    </a:prstGeom>
                    <a:noFill/>
                    <a:ln>
                      <a:noFill/>
                    </a:ln>
                  </pic:spPr>
                </pic:pic>
              </a:graphicData>
            </a:graphic>
          </wp:inline>
        </w:drawing>
      </w:r>
      <w:r w:rsidR="002373E8">
        <w:rPr>
          <w:rFonts w:ascii="Times New Roman" w:eastAsia="Times New Roman" w:hAnsi="Times New Roman" w:cs="Times New Roman"/>
          <w:color w:val="000000"/>
          <w:sz w:val="24"/>
          <w:szCs w:val="24"/>
          <w:lang w:eastAsia="es-ES"/>
        </w:rPr>
        <w:br/>
      </w:r>
      <w:r w:rsidRPr="00DC3278">
        <w:rPr>
          <w:rFonts w:ascii="Times New Roman" w:eastAsia="Times New Roman" w:hAnsi="Times New Roman" w:cs="Times New Roman"/>
          <w:b/>
          <w:bCs/>
          <w:color w:val="000000"/>
          <w:sz w:val="24"/>
          <w:szCs w:val="24"/>
          <w:lang w:eastAsia="es-ES"/>
        </w:rPr>
        <w:t>Fuente:</w:t>
      </w:r>
      <w:r w:rsidRPr="00DC3278">
        <w:rPr>
          <w:rFonts w:ascii="Times New Roman" w:eastAsia="Times New Roman" w:hAnsi="Times New Roman" w:cs="Times New Roman"/>
          <w:color w:val="000000"/>
          <w:sz w:val="24"/>
          <w:szCs w:val="24"/>
          <w:lang w:eastAsia="es-ES"/>
        </w:rPr>
        <w:t xml:space="preserve"> Perspectivas de la Economía Mundial del FMI, abril de 2012; Instituto de Estadística de Turquía (TurkStat)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A medida que la economía turca ha ido creciendo de forma constante, el nivel de vida también ha aumentado de forma significativa. El PIB per cápita pasó de 3.492 dólares en 2002 a 10.444 dólares en 2011.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PIB per cápita: precios actuales (dólares)</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514BA2EF" wp14:editId="5DB67AFF">
            <wp:extent cx="5689600" cy="2895600"/>
            <wp:effectExtent l="0" t="0" r="6350" b="0"/>
            <wp:docPr id="28" name="Imagen 28" descr="http://www.invest.gov.tr/es-ES/investmentguide/investorsguide/PublishingImages/Macroeconomic%20Indicators%20graphs%202012%20ES/4-GDP-Capita-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nvest.gov.tr/es-ES/investmentguide/investorsguide/PublishingImages/Macroeconomic%20Indicators%20graphs%202012%20ES/4-GDP-Capita-2012-ES.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689600" cy="2895600"/>
                    </a:xfrm>
                    <a:prstGeom prst="rect">
                      <a:avLst/>
                    </a:prstGeom>
                    <a:noFill/>
                    <a:ln>
                      <a:noFill/>
                    </a:ln>
                  </pic:spPr>
                </pic:pic>
              </a:graphicData>
            </a:graphic>
          </wp:inline>
        </w:drawing>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 xml:space="preserve">Fuente: </w:t>
      </w:r>
      <w:r w:rsidRPr="00DC3278">
        <w:rPr>
          <w:rFonts w:ascii="Times New Roman" w:eastAsia="Times New Roman" w:hAnsi="Times New Roman" w:cs="Times New Roman"/>
          <w:color w:val="000000"/>
          <w:sz w:val="24"/>
          <w:szCs w:val="24"/>
          <w:lang w:eastAsia="es-ES"/>
        </w:rPr>
        <w:t>Instituto de Estadística de Turquía  (TurkStat)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lastRenderedPageBreak/>
        <w:t> </w:t>
      </w:r>
      <w:r w:rsidRPr="00DC3278">
        <w:rPr>
          <w:rFonts w:ascii="Times New Roman" w:eastAsia="Times New Roman" w:hAnsi="Times New Roman" w:cs="Times New Roman"/>
          <w:b/>
          <w:bCs/>
          <w:color w:val="000000"/>
          <w:sz w:val="24"/>
          <w:szCs w:val="24"/>
          <w:lang w:eastAsia="es-ES"/>
        </w:rPr>
        <w:t>PIB de 2011: precios actuales (miles de millones de dólares)</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14EA7CE4" wp14:editId="02C5E776">
            <wp:extent cx="5473700" cy="2717800"/>
            <wp:effectExtent l="0" t="0" r="0" b="6350"/>
            <wp:docPr id="21" name="Imagen 21" descr="http://www.invest.gov.tr/es-ES/investmentguide/investorsguide/PublishingImages/Macroeconomic%20Indicators%20graphs%202012%20ES/5-GDP-Current-Prices-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nvest.gov.tr/es-ES/investmentguide/investorsguide/PublishingImages/Macroeconomic%20Indicators%20graphs%202012%20ES/5-GDP-Current-Prices-2012-ES.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73700" cy="2717800"/>
                    </a:xfrm>
                    <a:prstGeom prst="rect">
                      <a:avLst/>
                    </a:prstGeom>
                    <a:noFill/>
                    <a:ln>
                      <a:noFill/>
                    </a:ln>
                  </pic:spPr>
                </pic:pic>
              </a:graphicData>
            </a:graphic>
          </wp:inline>
        </w:drawing>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Fuente:</w:t>
      </w:r>
      <w:r w:rsidRPr="00DC3278">
        <w:rPr>
          <w:rFonts w:ascii="Times New Roman" w:eastAsia="Times New Roman" w:hAnsi="Times New Roman" w:cs="Times New Roman"/>
          <w:color w:val="000000"/>
          <w:sz w:val="24"/>
          <w:szCs w:val="24"/>
          <w:lang w:eastAsia="es-ES"/>
        </w:rPr>
        <w:t xml:space="preserve"> Perspectivas de la Economía Mundial del FMI, abril de 2011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Política fiscal prudente</w:t>
      </w:r>
      <w:r w:rsidRPr="00DC3278">
        <w:rPr>
          <w:rFonts w:ascii="Times New Roman" w:eastAsia="Times New Roman" w:hAnsi="Times New Roman" w:cs="Times New Roman"/>
          <w:color w:val="000000"/>
          <w:sz w:val="24"/>
          <w:szCs w:val="24"/>
          <w:lang w:eastAsia="es-ES"/>
        </w:rPr>
        <w: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 xml:space="preserve">La disciplina fiscal continúa siendo la clave de los resultados macroeconómicos de la economía turca.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Gracias a su prudente política fiscal, Turquía ha disminuido su nivel de endeudamiento y se ha convertido en una de las economías europeas de mejor rendimiento en lo que a reducción de deuda pública se refiere. El porcentaje de deuda pública general cumple el criterio de Maastricht de la UE, un 60%, desde 2004.  </w:t>
      </w: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Deuda pública general definida por la UE (% del PIB)</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1B091303" wp14:editId="462B0F70">
            <wp:extent cx="5702300" cy="2813050"/>
            <wp:effectExtent l="0" t="0" r="0" b="6350"/>
            <wp:docPr id="26" name="Imagen 26" descr="http://www.invest.gov.tr/es-ES/investmentguide/investorsguide/PublishingImages/Macroeconomic%20Indicators%20graphs%202012%20ES/6-EU-Defined-General-Government-Debt-Stock-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nvest.gov.tr/es-ES/investmentguide/investorsguide/PublishingImages/Macroeconomic%20Indicators%20graphs%202012%20ES/6-EU-Defined-General-Government-Debt-Stock-2012-ES.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02300" cy="2813050"/>
                    </a:xfrm>
                    <a:prstGeom prst="rect">
                      <a:avLst/>
                    </a:prstGeom>
                    <a:noFill/>
                    <a:ln>
                      <a:noFill/>
                    </a:ln>
                  </pic:spPr>
                </pic:pic>
              </a:graphicData>
            </a:graphic>
          </wp:inline>
        </w:drawing>
      </w:r>
      <w:r w:rsidRPr="00DC3278">
        <w:rPr>
          <w:rFonts w:ascii="Times New Roman" w:eastAsia="Times New Roman" w:hAnsi="Times New Roman" w:cs="Times New Roman"/>
          <w:b/>
          <w:bCs/>
          <w:color w:val="000000"/>
          <w:sz w:val="24"/>
          <w:szCs w:val="24"/>
          <w:lang w:eastAsia="es-ES"/>
        </w:rPr>
        <w:t xml:space="preserve">Fuente: </w:t>
      </w:r>
      <w:r w:rsidRPr="00DC3278">
        <w:rPr>
          <w:rFonts w:ascii="Times New Roman" w:eastAsia="Times New Roman" w:hAnsi="Times New Roman" w:cs="Times New Roman"/>
          <w:color w:val="000000"/>
          <w:sz w:val="24"/>
          <w:szCs w:val="24"/>
          <w:lang w:eastAsia="es-ES"/>
        </w:rPr>
        <w:t>Subsecretaría de Hacienda</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lastRenderedPageBreak/>
        <w:t> </w:t>
      </w:r>
      <w:r w:rsidRPr="00DC3278">
        <w:rPr>
          <w:rFonts w:ascii="Times New Roman" w:eastAsia="Times New Roman" w:hAnsi="Times New Roman" w:cs="Times New Roman"/>
          <w:b/>
          <w:bCs/>
          <w:color w:val="000000"/>
          <w:sz w:val="24"/>
          <w:szCs w:val="24"/>
          <w:lang w:eastAsia="es-ES"/>
        </w:rPr>
        <w:t>Deuda pública general de 2011 (% del PIB)</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24949CA7" wp14:editId="744A811D">
            <wp:extent cx="5664200" cy="3117850"/>
            <wp:effectExtent l="0" t="0" r="0" b="6350"/>
            <wp:docPr id="25" name="Imagen 25" descr="http://www.invest.gov.tr/es-ES/investmentguide/investorsguide/PublishingImages/Macroeconomic%20Indicators%20graphs%202012%20ES/7-General-Government-Debt-Stock-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nvest.gov.tr/es-ES/investmentguide/investorsguide/PublishingImages/Macroeconomic%20Indicators%20graphs%202012%20ES/7-General-Government-Debt-Stock-2012-ES.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64200" cy="3117850"/>
                    </a:xfrm>
                    <a:prstGeom prst="rect">
                      <a:avLst/>
                    </a:prstGeom>
                    <a:noFill/>
                    <a:ln>
                      <a:noFill/>
                    </a:ln>
                  </pic:spPr>
                </pic:pic>
              </a:graphicData>
            </a:graphic>
          </wp:inline>
        </w:drawing>
      </w:r>
    </w:p>
    <w:p w:rsidR="00925405"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Fuente:</w:t>
      </w:r>
      <w:r w:rsidRPr="00DC3278">
        <w:rPr>
          <w:rFonts w:ascii="Times New Roman" w:eastAsia="Times New Roman" w:hAnsi="Times New Roman" w:cs="Times New Roman"/>
          <w:color w:val="000000"/>
          <w:sz w:val="24"/>
          <w:szCs w:val="24"/>
          <w:lang w:eastAsia="es-ES"/>
        </w:rPr>
        <w:t xml:space="preserve"> Subsecretaría de Hacienda y Eurostat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br/>
      </w:r>
      <w:r w:rsidRPr="00DC3278">
        <w:rPr>
          <w:rFonts w:ascii="Times New Roman" w:eastAsia="Times New Roman" w:hAnsi="Times New Roman" w:cs="Times New Roman"/>
          <w:b/>
          <w:bCs/>
          <w:color w:val="000000"/>
          <w:sz w:val="24"/>
          <w:szCs w:val="24"/>
          <w:lang w:eastAsia="es-ES"/>
        </w:rPr>
        <w:t>Balance presupuestario del gobierno definido por la UE (% del PIB)</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7E064685" wp14:editId="51CC67FB">
            <wp:extent cx="5664200" cy="2946400"/>
            <wp:effectExtent l="0" t="0" r="0" b="6350"/>
            <wp:docPr id="22" name="Imagen 22" descr="http://www.invest.gov.tr/es-ES/investmentguide/investorsguide/PublishingImages/Macroeconomic%20Indicators%20graphs%202012%20ES/8-EU-Defined-General-Government-Budget-Balance-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nvest.gov.tr/es-ES/investmentguide/investorsguide/PublishingImages/Macroeconomic%20Indicators%20graphs%202012%20ES/8-EU-Defined-General-Government-Budget-Balance-2012-ES.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664200" cy="2946400"/>
                    </a:xfrm>
                    <a:prstGeom prst="rect">
                      <a:avLst/>
                    </a:prstGeom>
                    <a:noFill/>
                    <a:ln>
                      <a:noFill/>
                    </a:ln>
                  </pic:spPr>
                </pic:pic>
              </a:graphicData>
            </a:graphic>
          </wp:inline>
        </w:drawing>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Fuente:</w:t>
      </w:r>
      <w:r w:rsidRPr="00DC3278">
        <w:rPr>
          <w:rFonts w:ascii="Times New Roman" w:eastAsia="Times New Roman" w:hAnsi="Times New Roman" w:cs="Times New Roman"/>
          <w:color w:val="000000"/>
          <w:sz w:val="24"/>
          <w:szCs w:val="24"/>
          <w:lang w:eastAsia="es-ES"/>
        </w:rPr>
        <w:t xml:space="preserve"> Dirección General de Asuntos Económicos y Financieros de la Comisión Europea (ECFIN)</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color w:val="000000"/>
          <w:sz w:val="24"/>
          <w:szCs w:val="24"/>
          <w:lang w:eastAsia="es-ES"/>
        </w:rPr>
        <w:t> </w:t>
      </w:r>
    </w:p>
    <w:p w:rsidR="00925405" w:rsidRDefault="00925405" w:rsidP="00925405">
      <w:pPr>
        <w:spacing w:beforeAutospacing="1" w:after="0" w:afterAutospacing="1" w:line="240" w:lineRule="auto"/>
        <w:jc w:val="both"/>
        <w:rPr>
          <w:rFonts w:ascii="Times New Roman" w:eastAsia="Times New Roman" w:hAnsi="Times New Roman" w:cs="Times New Roman"/>
          <w:b/>
          <w:bCs/>
          <w:color w:val="000000"/>
          <w:sz w:val="24"/>
          <w:szCs w:val="24"/>
          <w:lang w:eastAsia="es-ES"/>
        </w:rPr>
      </w:pPr>
    </w:p>
    <w:p w:rsidR="00925405" w:rsidRPr="00DC3278" w:rsidRDefault="00925405" w:rsidP="00925405">
      <w:pPr>
        <w:spacing w:beforeAutospacing="1" w:after="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lastRenderedPageBreak/>
        <w:t>Balance presupuestario general del gobierno en 2011 (% del PIB)</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noProof/>
          <w:color w:val="000000"/>
          <w:sz w:val="24"/>
          <w:szCs w:val="24"/>
          <w:lang w:eastAsia="es-ES"/>
        </w:rPr>
        <w:drawing>
          <wp:inline distT="0" distB="0" distL="0" distR="0" wp14:anchorId="3EBA62C2" wp14:editId="0F6B78C2">
            <wp:extent cx="5213350" cy="2952750"/>
            <wp:effectExtent l="0" t="0" r="6350" b="0"/>
            <wp:docPr id="23" name="Imagen 23" descr="http://www.invest.gov.tr/es-ES/investmentguide/investorsguide/PublishingImages/Macroeconomic%20Indicators%20graphs%202012%20ES/9-General-Government-Budget-Balance-2012-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nvest.gov.tr/es-ES/investmentguide/investorsguide/PublishingImages/Macroeconomic%20Indicators%20graphs%202012%20ES/9-General-Government-Budget-Balance-2012-ES.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13350" cy="2952750"/>
                    </a:xfrm>
                    <a:prstGeom prst="rect">
                      <a:avLst/>
                    </a:prstGeom>
                    <a:noFill/>
                    <a:ln>
                      <a:noFill/>
                    </a:ln>
                  </pic:spPr>
                </pic:pic>
              </a:graphicData>
            </a:graphic>
          </wp:inline>
        </w:drawing>
      </w:r>
      <w:r w:rsidRPr="00DC3278">
        <w:rPr>
          <w:rFonts w:ascii="Times New Roman" w:eastAsia="Times New Roman" w:hAnsi="Times New Roman" w:cs="Times New Roman"/>
          <w:color w:val="000000"/>
          <w:sz w:val="24"/>
          <w:szCs w:val="24"/>
          <w:lang w:eastAsia="es-ES"/>
        </w:rPr>
        <w:t> </w:t>
      </w:r>
    </w:p>
    <w:p w:rsidR="00925405" w:rsidRPr="00DC3278"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DC3278">
        <w:rPr>
          <w:rFonts w:ascii="Times New Roman" w:eastAsia="Times New Roman" w:hAnsi="Times New Roman" w:cs="Times New Roman"/>
          <w:b/>
          <w:bCs/>
          <w:color w:val="000000"/>
          <w:sz w:val="24"/>
          <w:szCs w:val="24"/>
          <w:lang w:eastAsia="es-ES"/>
        </w:rPr>
        <w:t>Fuente: </w:t>
      </w:r>
      <w:r w:rsidRPr="00DC3278">
        <w:rPr>
          <w:rFonts w:ascii="Times New Roman" w:eastAsia="Times New Roman" w:hAnsi="Times New Roman" w:cs="Times New Roman"/>
          <w:color w:val="000000"/>
          <w:sz w:val="24"/>
          <w:szCs w:val="24"/>
          <w:lang w:eastAsia="es-ES"/>
        </w:rPr>
        <w:t>Dirección General de Asuntos Económicos y Financieros de la Comisión Europea (ECFIN) y Eurostat</w:t>
      </w: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ind w:left="-210"/>
        <w:jc w:val="both"/>
        <w:rPr>
          <w:rFonts w:ascii="Times New Roman" w:eastAsia="Times New Roman" w:hAnsi="Times New Roman" w:cs="Times New Roman"/>
          <w:color w:val="000000"/>
          <w:sz w:val="24"/>
          <w:szCs w:val="24"/>
          <w:lang w:eastAsia="es-ES"/>
        </w:rPr>
      </w:pPr>
    </w:p>
    <w:p w:rsidR="00925405" w:rsidRDefault="00925405" w:rsidP="00925405">
      <w:pPr>
        <w:spacing w:before="100" w:beforeAutospacing="1" w:after="100" w:afterAutospacing="1" w:line="240" w:lineRule="auto"/>
        <w:jc w:val="both"/>
        <w:rPr>
          <w:rFonts w:ascii="Times New Roman" w:eastAsia="Times New Roman" w:hAnsi="Times New Roman" w:cs="Times New Roman"/>
          <w:color w:val="000000"/>
          <w:sz w:val="24"/>
          <w:szCs w:val="24"/>
          <w:lang w:eastAsia="es-ES"/>
        </w:rPr>
        <w:sectPr w:rsidR="00925405" w:rsidSect="00C51709">
          <w:pgSz w:w="11906" w:h="16838"/>
          <w:pgMar w:top="1418" w:right="1701" w:bottom="1418" w:left="1701" w:header="709" w:footer="709" w:gutter="0"/>
          <w:cols w:space="708"/>
          <w:docGrid w:linePitch="360"/>
        </w:sectPr>
      </w:pPr>
    </w:p>
    <w:p w:rsidR="00925405" w:rsidRPr="00BD120A" w:rsidRDefault="00925405" w:rsidP="00925405">
      <w:pPr>
        <w:spacing w:before="100" w:beforeAutospacing="1" w:after="100" w:afterAutospacing="1" w:line="240" w:lineRule="auto"/>
        <w:jc w:val="both"/>
        <w:rPr>
          <w:rFonts w:ascii="Times New Roman" w:eastAsia="Times New Roman" w:hAnsi="Times New Roman" w:cs="Times New Roman"/>
          <w:noProof/>
          <w:sz w:val="24"/>
          <w:szCs w:val="24"/>
          <w:lang w:eastAsia="es-ES"/>
        </w:rPr>
      </w:pPr>
      <w:r w:rsidRPr="00421546">
        <w:rPr>
          <w:rFonts w:ascii="Times New Roman" w:eastAsia="Times New Roman" w:hAnsi="Times New Roman" w:cs="Times New Roman"/>
          <w:b/>
          <w:noProof/>
          <w:color w:val="000000"/>
          <w:sz w:val="24"/>
          <w:szCs w:val="24"/>
          <w:lang w:eastAsia="es-ES"/>
        </w:rPr>
        <w:lastRenderedPageBreak/>
        <w:t>Est</w:t>
      </w:r>
      <w:r>
        <w:rPr>
          <w:rFonts w:ascii="Times New Roman" w:eastAsia="Times New Roman" w:hAnsi="Times New Roman" w:cs="Times New Roman"/>
          <w:b/>
          <w:noProof/>
          <w:color w:val="000000"/>
          <w:sz w:val="24"/>
          <w:szCs w:val="24"/>
          <w:lang w:eastAsia="es-ES"/>
        </w:rPr>
        <w:t>a</w:t>
      </w:r>
      <w:r w:rsidRPr="00421546">
        <w:rPr>
          <w:rFonts w:ascii="Times New Roman" w:eastAsia="Times New Roman" w:hAnsi="Times New Roman" w:cs="Times New Roman"/>
          <w:b/>
          <w:noProof/>
          <w:color w:val="000000"/>
          <w:sz w:val="24"/>
          <w:szCs w:val="24"/>
          <w:lang w:eastAsia="es-ES"/>
        </w:rPr>
        <w:t>disticas del comercio internacional 2014  OMC</w:t>
      </w:r>
      <w:r>
        <w:rPr>
          <w:rFonts w:ascii="Times New Roman" w:eastAsia="Times New Roman" w:hAnsi="Times New Roman" w:cs="Times New Roman"/>
          <w:noProof/>
          <w:color w:val="000000"/>
          <w:sz w:val="24"/>
          <w:szCs w:val="24"/>
          <w:lang w:eastAsia="es-ES"/>
        </w:rPr>
        <w:t xml:space="preserve"> - </w:t>
      </w:r>
      <w:hyperlink r:id="rId77" w:history="1">
        <w:r w:rsidRPr="00BD120A">
          <w:rPr>
            <w:rStyle w:val="Hipervnculo"/>
            <w:rFonts w:ascii="Times New Roman" w:eastAsia="Times New Roman" w:hAnsi="Times New Roman" w:cs="Times New Roman"/>
            <w:noProof/>
            <w:color w:val="auto"/>
            <w:lang w:eastAsia="es-ES"/>
          </w:rPr>
          <w:t>http://www.wto.org/spanish/res_s/statis_s/its2014_s/its14_toc_s.htm</w:t>
        </w:r>
      </w:hyperlink>
    </w:p>
    <w:p w:rsidR="00925405" w:rsidRDefault="00925405" w:rsidP="00925405">
      <w:pPr>
        <w:spacing w:line="240" w:lineRule="auto"/>
        <w:jc w:val="both"/>
        <w:rPr>
          <w:rFonts w:ascii="Times New Roman" w:hAnsi="Times New Roman" w:cs="Times New Roman"/>
          <w:color w:val="FF0000"/>
          <w:sz w:val="24"/>
          <w:szCs w:val="24"/>
        </w:rPr>
      </w:pPr>
      <w:r>
        <w:rPr>
          <w:rFonts w:ascii="Times New Roman" w:hAnsi="Times New Roman" w:cs="Times New Roman"/>
          <w:noProof/>
          <w:color w:val="FF0000"/>
          <w:sz w:val="24"/>
          <w:szCs w:val="24"/>
          <w:lang w:eastAsia="es-ES"/>
        </w:rPr>
        <w:drawing>
          <wp:inline distT="0" distB="0" distL="0" distR="0" wp14:anchorId="2F997DB7" wp14:editId="2E78A714">
            <wp:extent cx="8324850" cy="49403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324850" cy="49403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color w:val="FF0000"/>
          <w:sz w:val="24"/>
          <w:szCs w:val="24"/>
        </w:rPr>
        <w:sectPr w:rsidR="00925405" w:rsidSect="00C51709">
          <w:pgSz w:w="16838" w:h="11906" w:orient="landscape"/>
          <w:pgMar w:top="1701" w:right="1418" w:bottom="1701" w:left="1418" w:header="709" w:footer="709" w:gutter="0"/>
          <w:cols w:space="708"/>
          <w:docGrid w:linePitch="360"/>
        </w:sectPr>
      </w:pPr>
      <w:r>
        <w:rPr>
          <w:rFonts w:ascii="Times New Roman" w:hAnsi="Times New Roman" w:cs="Times New Roman"/>
          <w:noProof/>
          <w:color w:val="FF0000"/>
          <w:sz w:val="24"/>
          <w:szCs w:val="24"/>
          <w:lang w:eastAsia="es-ES"/>
        </w:rPr>
        <w:lastRenderedPageBreak/>
        <w:drawing>
          <wp:inline distT="0" distB="0" distL="0" distR="0" wp14:anchorId="71F23E48" wp14:editId="754C41E5">
            <wp:extent cx="8464550" cy="53975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464550" cy="5397500"/>
                    </a:xfrm>
                    <a:prstGeom prst="rect">
                      <a:avLst/>
                    </a:prstGeom>
                    <a:noFill/>
                    <a:ln>
                      <a:noFill/>
                    </a:ln>
                  </pic:spPr>
                </pic:pic>
              </a:graphicData>
            </a:graphic>
          </wp:inline>
        </w:drawing>
      </w:r>
    </w:p>
    <w:p w:rsidR="00925405" w:rsidRPr="00744529" w:rsidRDefault="00925405" w:rsidP="00925405">
      <w:pPr>
        <w:spacing w:line="240" w:lineRule="auto"/>
        <w:jc w:val="both"/>
        <w:rPr>
          <w:rFonts w:ascii="Times New Roman" w:hAnsi="Times New Roman" w:cs="Times New Roman"/>
          <w:b/>
          <w:sz w:val="24"/>
          <w:szCs w:val="24"/>
          <w:lang w:val="en-US"/>
        </w:rPr>
      </w:pPr>
      <w:r w:rsidRPr="00744529">
        <w:rPr>
          <w:rFonts w:ascii="Times New Roman" w:hAnsi="Times New Roman" w:cs="Times New Roman"/>
          <w:b/>
          <w:sz w:val="24"/>
          <w:szCs w:val="24"/>
          <w:lang w:val="en-US"/>
        </w:rPr>
        <w:lastRenderedPageBreak/>
        <w:t>World Bank Group - Turkey Partnership: Country Program Snapshot</w:t>
      </w:r>
    </w:p>
    <w:p w:rsidR="00925405" w:rsidRDefault="00925405" w:rsidP="00925405">
      <w:pPr>
        <w:spacing w:line="240" w:lineRule="auto"/>
        <w:jc w:val="both"/>
        <w:rPr>
          <w:rFonts w:ascii="Times New Roman" w:hAnsi="Times New Roman" w:cs="Times New Roman"/>
          <w:b/>
          <w:sz w:val="24"/>
          <w:szCs w:val="24"/>
          <w:lang w:val="en-US"/>
        </w:rPr>
      </w:pPr>
      <w:r w:rsidRPr="00744529">
        <w:rPr>
          <w:rFonts w:ascii="Times New Roman" w:hAnsi="Times New Roman" w:cs="Times New Roman"/>
          <w:b/>
          <w:sz w:val="24"/>
          <w:szCs w:val="24"/>
          <w:lang w:val="en-US"/>
        </w:rPr>
        <w:t>October 2014</w:t>
      </w:r>
    </w:p>
    <w:p w:rsidR="00925405"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Recent economic and sector developments</w:t>
      </w:r>
    </w:p>
    <w:p w:rsidR="00925405" w:rsidRPr="00744529" w:rsidRDefault="00925405" w:rsidP="00925405">
      <w:pPr>
        <w:spacing w:line="240" w:lineRule="auto"/>
        <w:jc w:val="both"/>
        <w:rPr>
          <w:rFonts w:ascii="Times New Roman" w:hAnsi="Times New Roman" w:cs="Times New Roman"/>
          <w:sz w:val="24"/>
          <w:szCs w:val="24"/>
          <w:lang w:val="en-US"/>
        </w:rPr>
      </w:pPr>
      <w:r w:rsidRPr="00744529">
        <w:rPr>
          <w:rFonts w:ascii="Times New Roman" w:hAnsi="Times New Roman" w:cs="Times New Roman"/>
          <w:sz w:val="24"/>
          <w:szCs w:val="24"/>
          <w:lang w:val="en-US"/>
        </w:rPr>
        <w:t>Growth and Economic Management</w:t>
      </w:r>
    </w:p>
    <w:p w:rsidR="00925405" w:rsidRPr="00744529" w:rsidRDefault="00925405" w:rsidP="00925405">
      <w:pPr>
        <w:spacing w:line="240" w:lineRule="auto"/>
        <w:jc w:val="both"/>
        <w:rPr>
          <w:rFonts w:ascii="Times New Roman" w:hAnsi="Times New Roman" w:cs="Times New Roman"/>
          <w:sz w:val="24"/>
          <w:szCs w:val="24"/>
          <w:lang w:val="en-US"/>
        </w:rPr>
      </w:pPr>
      <w:r w:rsidRPr="00744529">
        <w:rPr>
          <w:rFonts w:ascii="Times New Roman" w:hAnsi="Times New Roman" w:cs="Times New Roman"/>
          <w:sz w:val="24"/>
          <w:szCs w:val="24"/>
          <w:lang w:val="en-US"/>
        </w:rPr>
        <w:t>Turkey has experienced important gains in income and living standards over the past decade. Turkey’s GDP tripled in nominal U.S. dollar terms between 2001 and 2007 and today Turkey is an upper-middle-income country with a population of 76 million and a GDP of US$</w:t>
      </w:r>
      <w:r w:rsidR="00AD5B97">
        <w:rPr>
          <w:rFonts w:ascii="Times New Roman" w:hAnsi="Times New Roman" w:cs="Times New Roman"/>
          <w:sz w:val="24"/>
          <w:szCs w:val="24"/>
          <w:lang w:val="en-US"/>
        </w:rPr>
        <w:t xml:space="preserve"> </w:t>
      </w:r>
      <w:r w:rsidRPr="00744529">
        <w:rPr>
          <w:rFonts w:ascii="Times New Roman" w:hAnsi="Times New Roman" w:cs="Times New Roman"/>
          <w:sz w:val="24"/>
          <w:szCs w:val="24"/>
          <w:lang w:val="en-US"/>
        </w:rPr>
        <w:t>820 billion, making it the 18th-largest economy in the world. Turkey is a European Union (EU) accession candidate country, a member of the Organisation for Economic Co-operation and Development (OECD) and the G20, and an increasingly important donor to bilateral Official Development Assistance (ODA). Turkey is also one of the largest middle-income partners of the World Bank Group.</w:t>
      </w:r>
    </w:p>
    <w:p w:rsidR="00925405" w:rsidRPr="00744529" w:rsidRDefault="00925405" w:rsidP="00925405">
      <w:pPr>
        <w:spacing w:line="240" w:lineRule="auto"/>
        <w:jc w:val="both"/>
        <w:rPr>
          <w:rFonts w:ascii="Times New Roman" w:hAnsi="Times New Roman" w:cs="Times New Roman"/>
          <w:sz w:val="24"/>
          <w:szCs w:val="24"/>
          <w:lang w:val="en-US"/>
        </w:rPr>
      </w:pPr>
      <w:r w:rsidRPr="00744529">
        <w:rPr>
          <w:rFonts w:ascii="Times New Roman" w:hAnsi="Times New Roman" w:cs="Times New Roman"/>
          <w:sz w:val="24"/>
          <w:szCs w:val="24"/>
          <w:lang w:val="en-US"/>
        </w:rPr>
        <w:t>Turkey’s rapid economic and social progress holds many useful lessons for policy makers in other emerging markets and has been an inspiration to reformers, particularly in the Middle East and North Africa. Turkey’s success in spreading the benefits of economic growth to its population is particularly noteworthy. Extreme poverty fell from 13 percent to 5 percent while moderate poverty fell from 44 percent to 20.6</w:t>
      </w:r>
      <w:r>
        <w:rPr>
          <w:rFonts w:ascii="Times New Roman" w:hAnsi="Times New Roman" w:cs="Times New Roman"/>
          <w:sz w:val="24"/>
          <w:szCs w:val="24"/>
          <w:lang w:val="en-US"/>
        </w:rPr>
        <w:t xml:space="preserve"> percent between 2002 and 2012.</w:t>
      </w:r>
      <w:r w:rsidRPr="00744529">
        <w:rPr>
          <w:rFonts w:ascii="Times New Roman" w:hAnsi="Times New Roman" w:cs="Times New Roman"/>
          <w:sz w:val="24"/>
          <w:szCs w:val="24"/>
          <w:lang w:val="en-US"/>
        </w:rPr>
        <w:t xml:space="preserve"> Since the trough of the recession in 2009, Turkey has created some 5.7 million jobs, which has kept unemployment below 10 percent as of July 2014, despite rapid increases in labor force participation, including among women. Over the past decade, Turkey’s growing prosperity has been shared; although inequality remains higher than in many European countries, it is still lower than in all Latin American countries.</w:t>
      </w:r>
    </w:p>
    <w:p w:rsidR="00925405" w:rsidRDefault="00925405" w:rsidP="00925405">
      <w:pPr>
        <w:spacing w:line="240" w:lineRule="auto"/>
        <w:jc w:val="both"/>
        <w:rPr>
          <w:rFonts w:ascii="Times New Roman" w:hAnsi="Times New Roman" w:cs="Times New Roman"/>
          <w:sz w:val="24"/>
          <w:szCs w:val="24"/>
          <w:lang w:val="en-US"/>
        </w:rPr>
      </w:pPr>
      <w:r w:rsidRPr="00744529">
        <w:rPr>
          <w:rFonts w:ascii="Times New Roman" w:hAnsi="Times New Roman" w:cs="Times New Roman"/>
          <w:sz w:val="24"/>
          <w:szCs w:val="24"/>
          <w:lang w:val="en-US"/>
        </w:rPr>
        <w:t xml:space="preserve">After </w:t>
      </w:r>
      <w:r w:rsidR="00BD120A">
        <w:rPr>
          <w:rFonts w:ascii="Times New Roman" w:hAnsi="Times New Roman" w:cs="Times New Roman"/>
          <w:sz w:val="24"/>
          <w:szCs w:val="24"/>
          <w:lang w:val="en-US"/>
        </w:rPr>
        <w:t>the post-crisis rebound in 2010-</w:t>
      </w:r>
      <w:r w:rsidRPr="00744529">
        <w:rPr>
          <w:rFonts w:ascii="Times New Roman" w:hAnsi="Times New Roman" w:cs="Times New Roman"/>
          <w:sz w:val="24"/>
          <w:szCs w:val="24"/>
          <w:lang w:val="en-US"/>
        </w:rPr>
        <w:t>11, economic growth in Turkey has moderated, with rising concerns over persistent external imbalances. Following the “soft landing” in 2012, economic growth recovered to 4.0 percent in 2013, thanks to strong domestic demand. The outlook for 201</w:t>
      </w:r>
      <w:r>
        <w:rPr>
          <w:rFonts w:ascii="Times New Roman" w:hAnsi="Times New Roman" w:cs="Times New Roman"/>
          <w:sz w:val="24"/>
          <w:szCs w:val="24"/>
          <w:lang w:val="en-US"/>
        </w:rPr>
        <w:t xml:space="preserve">4 and 2015 is more modest, with </w:t>
      </w:r>
      <w:r w:rsidRPr="00744529">
        <w:rPr>
          <w:rFonts w:ascii="Times New Roman" w:hAnsi="Times New Roman" w:cs="Times New Roman"/>
          <w:sz w:val="24"/>
          <w:szCs w:val="24"/>
          <w:lang w:val="en-US"/>
        </w:rPr>
        <w:t xml:space="preserve">growth forecast at 3.5 percent, as domestic demand has slowed in the face of tighter global liquidity, domestic political uncertainty, and regional security risks. The recovery in Europe and the depreciation of the Turkish lira have helped in the adjustment of the current account deficit to 6.5 percent of GDP in June 2014, down from 7.9 percent at end-2013. Annual inflation increased to 9.5 percent in July 2014 from 7.9 percent at end-2013, driven partly by high food prices due to a drought, and significantly above the Central Bank of the Republic of Turkey’s (CBRT) 5 percent target. More adjustment will be needed to reduce external financing risks, and this may </w:t>
      </w:r>
      <w:r w:rsidR="00BD120A">
        <w:rPr>
          <w:rFonts w:ascii="Times New Roman" w:hAnsi="Times New Roman" w:cs="Times New Roman"/>
          <w:sz w:val="24"/>
          <w:szCs w:val="24"/>
          <w:lang w:val="en-US"/>
        </w:rPr>
        <w:t>keep growth around 3-</w:t>
      </w:r>
      <w:r w:rsidRPr="00744529">
        <w:rPr>
          <w:rFonts w:ascii="Times New Roman" w:hAnsi="Times New Roman" w:cs="Times New Roman"/>
          <w:sz w:val="24"/>
          <w:szCs w:val="24"/>
          <w:lang w:val="en-US"/>
        </w:rPr>
        <w:t>4 percent in the medium (two–three year) timeframe.</w:t>
      </w:r>
    </w:p>
    <w:p w:rsidR="00925405" w:rsidRDefault="00925405" w:rsidP="00925405">
      <w:pPr>
        <w:spacing w:line="240" w:lineRule="auto"/>
        <w:jc w:val="both"/>
        <w:rPr>
          <w:rFonts w:ascii="Times New Roman" w:hAnsi="Times New Roman" w:cs="Times New Roman"/>
          <w:sz w:val="24"/>
          <w:szCs w:val="24"/>
          <w:lang w:val="en-US"/>
        </w:rPr>
        <w:sectPr w:rsidR="00925405" w:rsidSect="00C51709">
          <w:pgSz w:w="11906" w:h="16838"/>
          <w:pgMar w:top="1418" w:right="1701" w:bottom="1418" w:left="1701" w:header="709" w:footer="709" w:gutter="0"/>
          <w:cols w:space="708"/>
          <w:docGrid w:linePitch="360"/>
        </w:sectPr>
      </w:pPr>
      <w:r w:rsidRPr="00ED12A4">
        <w:rPr>
          <w:rFonts w:ascii="Times New Roman" w:hAnsi="Times New Roman" w:cs="Times New Roman"/>
          <w:sz w:val="24"/>
          <w:szCs w:val="24"/>
          <w:lang w:val="en-US"/>
        </w:rPr>
        <w:t>Markets have calmed down since the March 2014 municipal elections, but uncertainties remain. Weak emerging market sentiment in the wake of the U.S. Federal Reserve’s announced “taperi</w:t>
      </w:r>
      <w:r w:rsidR="00AD5B97">
        <w:rPr>
          <w:rFonts w:ascii="Times New Roman" w:hAnsi="Times New Roman" w:cs="Times New Roman"/>
          <w:sz w:val="24"/>
          <w:szCs w:val="24"/>
          <w:lang w:val="en-US"/>
        </w:rPr>
        <w:t>ng”,</w:t>
      </w:r>
      <w:r w:rsidRPr="00ED12A4">
        <w:rPr>
          <w:rFonts w:ascii="Times New Roman" w:hAnsi="Times New Roman" w:cs="Times New Roman"/>
          <w:sz w:val="24"/>
          <w:szCs w:val="24"/>
          <w:lang w:val="en-US"/>
        </w:rPr>
        <w:t xml:space="preserve"> as well as domestic political uncertainties due to street protests, a heavy electoral cycle, and a corruption scandal, pushed the Turkish lira down 29 percent between May 2013 and end-January 2014. Following a sharp monetary policy course correction (with key rates raised by 550 basis points [bps]) on January 28, and after a clear victory for the governing Justice and Development (AK) Party at municipal elections in March, Turkish financial markets calmed down, the lira appreciated, and the benchmark (two-year) bond yield eased. The CBRT cut the policy rate cumulatively by</w:t>
      </w:r>
    </w:p>
    <w:p w:rsidR="00925405" w:rsidRPr="00ED12A4"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lastRenderedPageBreak/>
        <w:t>175 bps between May and July, based on the downward trend in market rates across all maturities on the back of lower-risk premiums and moderating exchange rate pass-through. However, since end-July, the benchmark bond yield surged by 85 bps</w:t>
      </w:r>
      <w:r>
        <w:rPr>
          <w:rFonts w:ascii="Times New Roman" w:hAnsi="Times New Roman" w:cs="Times New Roman"/>
          <w:sz w:val="24"/>
          <w:szCs w:val="24"/>
          <w:lang w:val="en-US"/>
        </w:rPr>
        <w:t xml:space="preserve"> to 9.07 </w:t>
      </w:r>
      <w:r w:rsidRPr="00ED12A4">
        <w:rPr>
          <w:rFonts w:ascii="Times New Roman" w:hAnsi="Times New Roman" w:cs="Times New Roman"/>
          <w:sz w:val="24"/>
          <w:szCs w:val="24"/>
          <w:lang w:val="en-US"/>
        </w:rPr>
        <w:t>percent, and the lira depreciated to below 2.20 per U.S. dollar from 2.09, putting further pressure on the already weak inflation outlook.</w:t>
      </w:r>
    </w:p>
    <w:p w:rsidR="00925405" w:rsidRPr="00744529"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2373E8">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59909C79" wp14:editId="1BCFB715">
            <wp:extent cx="5397500" cy="313690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31369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081149BF" wp14:editId="1A46CBF4">
            <wp:extent cx="4876800" cy="2635250"/>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76800" cy="26352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 xml:space="preserve">To realize its underlying potential, Turkey needs to accelerate structural reforms and improve trust in its institutions. Turkey’s main assets include a young, dynamic population, a large domestic market, and a strategic location, combined with strong infrastructure and much improved public services. However, domestic and foreign investors remain deterred by unpredictability and a lack of transparency in the business climate, and a lack of trust in key institutions. An increase in business investment and innovation as well as in education and skills is needed to boost productivity growth and create enough high-productivity jobs to accommodate Turkey’s rapidly growing labor force. In the face of less favorable global conditions and remaining external </w:t>
      </w:r>
      <w:r w:rsidRPr="00ED12A4">
        <w:rPr>
          <w:rFonts w:ascii="Times New Roman" w:hAnsi="Times New Roman" w:cs="Times New Roman"/>
          <w:sz w:val="24"/>
          <w:szCs w:val="24"/>
          <w:lang w:val="en-US"/>
        </w:rPr>
        <w:lastRenderedPageBreak/>
        <w:t>vulnerabilities, the drivers of Turkey’s growt</w:t>
      </w:r>
      <w:r w:rsidR="00AD5B97">
        <w:rPr>
          <w:rFonts w:ascii="Times New Roman" w:hAnsi="Times New Roman" w:cs="Times New Roman"/>
          <w:sz w:val="24"/>
          <w:szCs w:val="24"/>
          <w:lang w:val="en-US"/>
        </w:rPr>
        <w:t xml:space="preserve">h need to come from inside- </w:t>
      </w:r>
      <w:r w:rsidRPr="00ED12A4">
        <w:rPr>
          <w:rFonts w:ascii="Times New Roman" w:hAnsi="Times New Roman" w:cs="Times New Roman"/>
          <w:sz w:val="24"/>
          <w:szCs w:val="24"/>
          <w:lang w:val="en-US"/>
        </w:rPr>
        <w:t>a reform boost would do much to restore Turkey’s luster as one of the most dynamic emerging market economies</w:t>
      </w:r>
      <w:r>
        <w:rPr>
          <w:rFonts w:ascii="Times New Roman" w:hAnsi="Times New Roman" w:cs="Times New Roman"/>
          <w:sz w:val="24"/>
          <w:szCs w:val="24"/>
          <w:lang w:val="en-US"/>
        </w:rPr>
        <w:t>…</w:t>
      </w:r>
    </w:p>
    <w:p w:rsidR="00925405" w:rsidRPr="00ED12A4"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EU Harmonization</w:t>
      </w:r>
    </w:p>
    <w:p w:rsidR="00925405" w:rsidRPr="00ED12A4"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The EU accession process has been a significant anchor for reforms in Turkey, but progress has slowed in recent years. Turkey has a deep-rooted, albeit complex relationship with the EU. Despite Europe’s economic difficulties since the global economic crisis, the EU is Turkey’s largest economic partner, accounting for around 40 percent of Turkish trade. Turkey has benefited significantly from deepening integration with the EU through the growing sophistication of both exports and imports and access to financing. Turkey became a candidate for full EU membership at the Helsinki summit in 1999. Accession negotiations began in October 2005, but progress has slowed in recent years in the face of a number of political obstacles (including relations with Cyprus). Both sides are making efforts to regain momentum. Following the June 2011 elections, the Government upgraded the institution that oversees EU accession into the new Ministry for EU Affairs. In 2012, Turkey and the European Commission (EC) launched a “positive agenda” to highlight areas of common interest and to advance economic integration with practical steps.</w:t>
      </w:r>
    </w:p>
    <w:p w:rsidR="00925405"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Out of the 35 chapters of the acquis communautaire, only 13 have been opened since Turkey’s negotiati</w:t>
      </w:r>
      <w:r w:rsidR="00AD5B97">
        <w:rPr>
          <w:rFonts w:ascii="Times New Roman" w:hAnsi="Times New Roman" w:cs="Times New Roman"/>
          <w:sz w:val="24"/>
          <w:szCs w:val="24"/>
          <w:lang w:val="en-US"/>
        </w:rPr>
        <w:t xml:space="preserve">ons began, and only one chapter -science and research- </w:t>
      </w:r>
      <w:r w:rsidRPr="00ED12A4">
        <w:rPr>
          <w:rFonts w:ascii="Times New Roman" w:hAnsi="Times New Roman" w:cs="Times New Roman"/>
          <w:sz w:val="24"/>
          <w:szCs w:val="24"/>
          <w:lang w:val="en-US"/>
        </w:rPr>
        <w:t>has been closed. In 2013, the chapter on regional policy was opened and a roadmap on visa liberalization was signed. However, changes to the judicial system and a tightening of controls over the Internet in the wake of a corruption scandal and the AK</w:t>
      </w:r>
      <w:r>
        <w:rPr>
          <w:rFonts w:ascii="Times New Roman" w:hAnsi="Times New Roman" w:cs="Times New Roman"/>
          <w:sz w:val="24"/>
          <w:szCs w:val="24"/>
          <w:lang w:val="en-US"/>
        </w:rPr>
        <w:t xml:space="preserve"> </w:t>
      </w:r>
      <w:r w:rsidRPr="00ED12A4">
        <w:rPr>
          <w:rFonts w:ascii="Times New Roman" w:hAnsi="Times New Roman" w:cs="Times New Roman"/>
          <w:sz w:val="24"/>
          <w:szCs w:val="24"/>
          <w:lang w:val="en-US"/>
        </w:rPr>
        <w:t>Party-Fethullah Gulen movement fallout drew sharp criticism from Brussels in early 2014, putting the renewed momentum in the accession process in late 2013 at risk</w:t>
      </w:r>
      <w:r>
        <w:rPr>
          <w:rFonts w:ascii="Times New Roman" w:hAnsi="Times New Roman" w:cs="Times New Roman"/>
          <w:sz w:val="24"/>
          <w:szCs w:val="24"/>
          <w:lang w:val="en-US"/>
        </w:rPr>
        <w:t>…</w:t>
      </w:r>
    </w:p>
    <w:p w:rsidR="00925405" w:rsidRPr="00ED12A4"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Financial Sector</w:t>
      </w:r>
    </w:p>
    <w:p w:rsidR="00925405" w:rsidRDefault="00925405" w:rsidP="00925405">
      <w:pPr>
        <w:spacing w:line="240" w:lineRule="auto"/>
        <w:jc w:val="both"/>
        <w:rPr>
          <w:rFonts w:ascii="Times New Roman" w:hAnsi="Times New Roman" w:cs="Times New Roman"/>
          <w:sz w:val="24"/>
          <w:szCs w:val="24"/>
          <w:lang w:val="en-US"/>
        </w:rPr>
      </w:pPr>
      <w:r w:rsidRPr="00ED12A4">
        <w:rPr>
          <w:rFonts w:ascii="Times New Roman" w:hAnsi="Times New Roman" w:cs="Times New Roman"/>
          <w:sz w:val="24"/>
          <w:szCs w:val="24"/>
          <w:lang w:val="en-US"/>
        </w:rPr>
        <w:t>The Turkish banking sector proved resilient against the effects of the global financial crisis. Due to fundamental reforms carried out after 2001, as well as the thorough professionalization of banking and continued strong banking supervision since then, Turkey’s financial sector remains well capitalized and profitable. Turkey was the only OECD country in which no explicit or implicit public sector support was provided to the banking</w:t>
      </w:r>
      <w:r w:rsidR="00AD5B97">
        <w:rPr>
          <w:rFonts w:ascii="Times New Roman" w:hAnsi="Times New Roman" w:cs="Times New Roman"/>
          <w:sz w:val="24"/>
          <w:szCs w:val="24"/>
          <w:lang w:val="en-US"/>
        </w:rPr>
        <w:t xml:space="preserve"> sector in the wake of the 2008-</w:t>
      </w:r>
      <w:r w:rsidRPr="00ED12A4">
        <w:rPr>
          <w:rFonts w:ascii="Times New Roman" w:hAnsi="Times New Roman" w:cs="Times New Roman"/>
          <w:sz w:val="24"/>
          <w:szCs w:val="24"/>
          <w:lang w:val="en-US"/>
        </w:rPr>
        <w:t xml:space="preserve">09 </w:t>
      </w:r>
      <w:r w:rsidR="00AD5B97" w:rsidRPr="00ED12A4">
        <w:rPr>
          <w:rFonts w:ascii="Times New Roman" w:hAnsi="Times New Roman" w:cs="Times New Roman"/>
          <w:sz w:val="24"/>
          <w:szCs w:val="24"/>
          <w:lang w:val="en-US"/>
        </w:rPr>
        <w:t>crises</w:t>
      </w:r>
      <w:r w:rsidRPr="00ED12A4">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67DD448E" wp14:editId="2E9BF3FF">
            <wp:extent cx="4337050" cy="2457450"/>
            <wp:effectExtent l="0" t="0" r="635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37050" cy="24574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lastRenderedPageBreak/>
        <w:t>Since 2010, the monetary and banking authorities have introduced a wide array of macroprudential tools to manage credit growth and ensure financial stability in the context of Turkey’s exposure to volatile international capital flows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Despite significant exchange rate depreciation and a sharp rise in interest rates, the Turkish banking sector is likely to remain resilient thanks to robust capital buffers and a healthy loan portfolio</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Deeper and broader financial markets will promote investment and competitiveness</w:t>
      </w:r>
      <w:r>
        <w:rPr>
          <w:rFonts w:ascii="Times New Roman" w:hAnsi="Times New Roman" w:cs="Times New Roman"/>
          <w:sz w:val="24"/>
          <w:szCs w:val="24"/>
          <w:lang w:val="en-US"/>
        </w:rPr>
        <w:t>…</w:t>
      </w:r>
    </w:p>
    <w:p w:rsidR="00925405" w:rsidRPr="009F0DFA"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Competitiveness and Private Sector Development</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Turkey is relatively well positioned in global competitiveness rankings, occupying 44th place in the 2014 World Economic Forum’s Global Competitiveness Index. Foreign direct investment (FDI) rose from just over US$</w:t>
      </w:r>
      <w:r w:rsidR="00AD5B97">
        <w:rPr>
          <w:rFonts w:ascii="Times New Roman" w:hAnsi="Times New Roman" w:cs="Times New Roman"/>
          <w:sz w:val="24"/>
          <w:szCs w:val="24"/>
          <w:lang w:val="en-US"/>
        </w:rPr>
        <w:t xml:space="preserve"> </w:t>
      </w:r>
      <w:r w:rsidRPr="009F0DFA">
        <w:rPr>
          <w:rFonts w:ascii="Times New Roman" w:hAnsi="Times New Roman" w:cs="Times New Roman"/>
          <w:sz w:val="24"/>
          <w:szCs w:val="24"/>
          <w:lang w:val="en-US"/>
        </w:rPr>
        <w:t>1 billion in the early 2000s to an avera</w:t>
      </w:r>
      <w:r w:rsidR="00AD5B97">
        <w:rPr>
          <w:rFonts w:ascii="Times New Roman" w:hAnsi="Times New Roman" w:cs="Times New Roman"/>
          <w:sz w:val="24"/>
          <w:szCs w:val="24"/>
          <w:lang w:val="en-US"/>
        </w:rPr>
        <w:t>ge of US$ 13 billion in the 2008-</w:t>
      </w:r>
      <w:r w:rsidRPr="009F0DFA">
        <w:rPr>
          <w:rFonts w:ascii="Times New Roman" w:hAnsi="Times New Roman" w:cs="Times New Roman"/>
          <w:sz w:val="24"/>
          <w:szCs w:val="24"/>
          <w:lang w:val="en-US"/>
        </w:rPr>
        <w:t>13 period. However net FDI inflows averaged less than 2 percent of GDP between 2002 and 2013, below China, Russia, Brazil, Mexico, Poland, Malaysia, and even smaller high-middle-income countries in Europe and Latin America. As a share of all FDI to emerging markets, Turkey today receives roughly the same as a decade ago, after significantly raising its share duri</w:t>
      </w:r>
      <w:r w:rsidR="00AD5B97">
        <w:rPr>
          <w:rFonts w:ascii="Times New Roman" w:hAnsi="Times New Roman" w:cs="Times New Roman"/>
          <w:sz w:val="24"/>
          <w:szCs w:val="24"/>
          <w:lang w:val="en-US"/>
        </w:rPr>
        <w:t>ng the 2005-</w:t>
      </w:r>
      <w:r w:rsidRPr="009F0DFA">
        <w:rPr>
          <w:rFonts w:ascii="Times New Roman" w:hAnsi="Times New Roman" w:cs="Times New Roman"/>
          <w:sz w:val="24"/>
          <w:szCs w:val="24"/>
          <w:lang w:val="en-US"/>
        </w:rPr>
        <w:t xml:space="preserve">07 </w:t>
      </w:r>
      <w:r w:rsidR="00AD5B97" w:rsidRPr="009F0DFA">
        <w:rPr>
          <w:rFonts w:ascii="Times New Roman" w:hAnsi="Times New Roman" w:cs="Times New Roman"/>
          <w:sz w:val="24"/>
          <w:szCs w:val="24"/>
          <w:lang w:val="en-US"/>
        </w:rPr>
        <w:t>periods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Bureaucracy and a lack of predictability with regard to the regulatory framework still hold investors back</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 xml:space="preserve">More reforms </w:t>
      </w:r>
      <w:r>
        <w:rPr>
          <w:rFonts w:ascii="Times New Roman" w:hAnsi="Times New Roman" w:cs="Times New Roman"/>
          <w:sz w:val="24"/>
          <w:szCs w:val="24"/>
          <w:lang w:val="en-US"/>
        </w:rPr>
        <w:t xml:space="preserve">are needed for Turkey to escape </w:t>
      </w:r>
      <w:r w:rsidRPr="009F0DFA">
        <w:rPr>
          <w:rFonts w:ascii="Times New Roman" w:hAnsi="Times New Roman" w:cs="Times New Roman"/>
          <w:sz w:val="24"/>
          <w:szCs w:val="24"/>
          <w:lang w:val="en-US"/>
        </w:rPr>
        <w:t>the “mid</w:t>
      </w:r>
      <w:r w:rsidR="00BD120A">
        <w:rPr>
          <w:rFonts w:ascii="Times New Roman" w:hAnsi="Times New Roman" w:cs="Times New Roman"/>
          <w:sz w:val="24"/>
          <w:szCs w:val="24"/>
          <w:lang w:val="en-US"/>
        </w:rPr>
        <w:t>dle-income trap”.</w:t>
      </w:r>
      <w:r>
        <w:rPr>
          <w:rFonts w:ascii="Times New Roman" w:hAnsi="Times New Roman" w:cs="Times New Roman"/>
          <w:sz w:val="24"/>
          <w:szCs w:val="24"/>
          <w:lang w:val="en-US"/>
        </w:rPr>
        <w:t xml:space="preserve"> Many emerging </w:t>
      </w:r>
      <w:r w:rsidRPr="009F0DFA">
        <w:rPr>
          <w:rFonts w:ascii="Times New Roman" w:hAnsi="Times New Roman" w:cs="Times New Roman"/>
          <w:sz w:val="24"/>
          <w:szCs w:val="24"/>
          <w:lang w:val="en-US"/>
        </w:rPr>
        <w:t>markets have e</w:t>
      </w:r>
      <w:r>
        <w:rPr>
          <w:rFonts w:ascii="Times New Roman" w:hAnsi="Times New Roman" w:cs="Times New Roman"/>
          <w:sz w:val="24"/>
          <w:szCs w:val="24"/>
          <w:lang w:val="en-US"/>
        </w:rPr>
        <w:t xml:space="preserve">xperienced a marked slowdown in </w:t>
      </w:r>
      <w:r w:rsidRPr="009F0DFA">
        <w:rPr>
          <w:rFonts w:ascii="Times New Roman" w:hAnsi="Times New Roman" w:cs="Times New Roman"/>
          <w:sz w:val="24"/>
          <w:szCs w:val="24"/>
          <w:lang w:val="en-US"/>
        </w:rPr>
        <w:t xml:space="preserve">growth when it is no longer possible to </w:t>
      </w:r>
      <w:r>
        <w:rPr>
          <w:rFonts w:ascii="Times New Roman" w:hAnsi="Times New Roman" w:cs="Times New Roman"/>
          <w:sz w:val="24"/>
          <w:szCs w:val="24"/>
          <w:lang w:val="en-US"/>
        </w:rPr>
        <w:t xml:space="preserve">boost </w:t>
      </w:r>
      <w:r w:rsidRPr="009F0DFA">
        <w:rPr>
          <w:rFonts w:ascii="Times New Roman" w:hAnsi="Times New Roman" w:cs="Times New Roman"/>
          <w:sz w:val="24"/>
          <w:szCs w:val="24"/>
          <w:lang w:val="en-US"/>
        </w:rPr>
        <w:t>productivity by s</w:t>
      </w:r>
      <w:r>
        <w:rPr>
          <w:rFonts w:ascii="Times New Roman" w:hAnsi="Times New Roman" w:cs="Times New Roman"/>
          <w:sz w:val="24"/>
          <w:szCs w:val="24"/>
          <w:lang w:val="en-US"/>
        </w:rPr>
        <w:t xml:space="preserve">hifting additional workers from </w:t>
      </w:r>
      <w:r w:rsidRPr="009F0DFA">
        <w:rPr>
          <w:rFonts w:ascii="Times New Roman" w:hAnsi="Times New Roman" w:cs="Times New Roman"/>
          <w:sz w:val="24"/>
          <w:szCs w:val="24"/>
          <w:lang w:val="en-US"/>
        </w:rPr>
        <w:t>agriculture to industr</w:t>
      </w:r>
      <w:r>
        <w:rPr>
          <w:rFonts w:ascii="Times New Roman" w:hAnsi="Times New Roman" w:cs="Times New Roman"/>
          <w:sz w:val="24"/>
          <w:szCs w:val="24"/>
          <w:lang w:val="en-US"/>
        </w:rPr>
        <w:t xml:space="preserve">y and services. This structural </w:t>
      </w:r>
      <w:r w:rsidRPr="009F0DFA">
        <w:rPr>
          <w:rFonts w:ascii="Times New Roman" w:hAnsi="Times New Roman" w:cs="Times New Roman"/>
          <w:sz w:val="24"/>
          <w:szCs w:val="24"/>
          <w:lang w:val="en-US"/>
        </w:rPr>
        <w:t>change process has</w:t>
      </w:r>
      <w:r>
        <w:rPr>
          <w:rFonts w:ascii="Times New Roman" w:hAnsi="Times New Roman" w:cs="Times New Roman"/>
          <w:sz w:val="24"/>
          <w:szCs w:val="24"/>
          <w:lang w:val="en-US"/>
        </w:rPr>
        <w:t xml:space="preserve"> indeed been the main driver of </w:t>
      </w:r>
      <w:r w:rsidRPr="009F0DFA">
        <w:rPr>
          <w:rFonts w:ascii="Times New Roman" w:hAnsi="Times New Roman" w:cs="Times New Roman"/>
          <w:sz w:val="24"/>
          <w:szCs w:val="24"/>
          <w:lang w:val="en-US"/>
        </w:rPr>
        <w:t>producti</w:t>
      </w:r>
      <w:r>
        <w:rPr>
          <w:rFonts w:ascii="Times New Roman" w:hAnsi="Times New Roman" w:cs="Times New Roman"/>
          <w:sz w:val="24"/>
          <w:szCs w:val="24"/>
          <w:lang w:val="en-US"/>
        </w:rPr>
        <w:t xml:space="preserve">vity growth in Turkey. Close to </w:t>
      </w:r>
      <w:r w:rsidRPr="009F0DFA">
        <w:rPr>
          <w:rFonts w:ascii="Times New Roman" w:hAnsi="Times New Roman" w:cs="Times New Roman"/>
          <w:sz w:val="24"/>
          <w:szCs w:val="24"/>
          <w:lang w:val="en-US"/>
        </w:rPr>
        <w:t>exhausting the ga</w:t>
      </w:r>
      <w:r>
        <w:rPr>
          <w:rFonts w:ascii="Times New Roman" w:hAnsi="Times New Roman" w:cs="Times New Roman"/>
          <w:sz w:val="24"/>
          <w:szCs w:val="24"/>
          <w:lang w:val="en-US"/>
        </w:rPr>
        <w:t xml:space="preserve">ins from structural change, the </w:t>
      </w:r>
      <w:r w:rsidRPr="009F0DFA">
        <w:rPr>
          <w:rFonts w:ascii="Times New Roman" w:hAnsi="Times New Roman" w:cs="Times New Roman"/>
          <w:sz w:val="24"/>
          <w:szCs w:val="24"/>
          <w:lang w:val="en-US"/>
        </w:rPr>
        <w:t>country now need</w:t>
      </w:r>
      <w:r>
        <w:rPr>
          <w:rFonts w:ascii="Times New Roman" w:hAnsi="Times New Roman" w:cs="Times New Roman"/>
          <w:sz w:val="24"/>
          <w:szCs w:val="24"/>
          <w:lang w:val="en-US"/>
        </w:rPr>
        <w:t xml:space="preserve">s to boost productivity growth, </w:t>
      </w:r>
      <w:r w:rsidRPr="009F0DFA">
        <w:rPr>
          <w:rFonts w:ascii="Times New Roman" w:hAnsi="Times New Roman" w:cs="Times New Roman"/>
          <w:sz w:val="24"/>
          <w:szCs w:val="24"/>
          <w:lang w:val="en-US"/>
        </w:rPr>
        <w:t xml:space="preserve">both at the </w:t>
      </w:r>
      <w:r w:rsidR="00AD5B97">
        <w:rPr>
          <w:rFonts w:ascii="Times New Roman" w:hAnsi="Times New Roman" w:cs="Times New Roman"/>
          <w:sz w:val="24"/>
          <w:szCs w:val="24"/>
          <w:lang w:val="en-US"/>
        </w:rPr>
        <w:t xml:space="preserve">frontier -through innovation- </w:t>
      </w:r>
      <w:r>
        <w:rPr>
          <w:rFonts w:ascii="Times New Roman" w:hAnsi="Times New Roman" w:cs="Times New Roman"/>
          <w:sz w:val="24"/>
          <w:szCs w:val="24"/>
          <w:lang w:val="en-US"/>
        </w:rPr>
        <w:t xml:space="preserve">and </w:t>
      </w:r>
      <w:r w:rsidRPr="009F0DFA">
        <w:rPr>
          <w:rFonts w:ascii="Times New Roman" w:hAnsi="Times New Roman" w:cs="Times New Roman"/>
          <w:sz w:val="24"/>
          <w:szCs w:val="24"/>
          <w:lang w:val="en-US"/>
        </w:rPr>
        <w:t>among SMEs, whic</w:t>
      </w:r>
      <w:r>
        <w:rPr>
          <w:rFonts w:ascii="Times New Roman" w:hAnsi="Times New Roman" w:cs="Times New Roman"/>
          <w:sz w:val="24"/>
          <w:szCs w:val="24"/>
          <w:lang w:val="en-US"/>
        </w:rPr>
        <w:t xml:space="preserve">h account for nearly 80 percent </w:t>
      </w:r>
      <w:r w:rsidRPr="009F0DFA">
        <w:rPr>
          <w:rFonts w:ascii="Times New Roman" w:hAnsi="Times New Roman" w:cs="Times New Roman"/>
          <w:sz w:val="24"/>
          <w:szCs w:val="24"/>
          <w:lang w:val="en-US"/>
        </w:rPr>
        <w:t>of emp</w:t>
      </w:r>
      <w:r>
        <w:rPr>
          <w:rFonts w:ascii="Times New Roman" w:hAnsi="Times New Roman" w:cs="Times New Roman"/>
          <w:sz w:val="24"/>
          <w:szCs w:val="24"/>
          <w:lang w:val="en-US"/>
        </w:rPr>
        <w:t xml:space="preserve">loyment. Improving the business </w:t>
      </w:r>
      <w:r w:rsidRPr="009F0DFA">
        <w:rPr>
          <w:rFonts w:ascii="Times New Roman" w:hAnsi="Times New Roman" w:cs="Times New Roman"/>
          <w:sz w:val="24"/>
          <w:szCs w:val="24"/>
          <w:lang w:val="en-US"/>
        </w:rPr>
        <w:t>environment is key</w:t>
      </w:r>
      <w:r>
        <w:rPr>
          <w:rFonts w:ascii="Times New Roman" w:hAnsi="Times New Roman" w:cs="Times New Roman"/>
          <w:sz w:val="24"/>
          <w:szCs w:val="24"/>
          <w:lang w:val="en-US"/>
        </w:rPr>
        <w:t xml:space="preserve">, especially for SMEs. </w:t>
      </w:r>
      <w:r w:rsidRPr="009F0DFA">
        <w:rPr>
          <w:rFonts w:ascii="Times New Roman" w:hAnsi="Times New Roman" w:cs="Times New Roman"/>
          <w:color w:val="FF0000"/>
          <w:sz w:val="24"/>
          <w:szCs w:val="24"/>
          <w:lang w:val="en-US"/>
        </w:rPr>
        <w:t xml:space="preserve">Figure 5 </w:t>
      </w:r>
      <w:r w:rsidRPr="009F0DFA">
        <w:rPr>
          <w:rFonts w:ascii="Times New Roman" w:hAnsi="Times New Roman" w:cs="Times New Roman"/>
          <w:sz w:val="24"/>
          <w:szCs w:val="24"/>
          <w:lang w:val="en-US"/>
        </w:rPr>
        <w:t>shows the improvement, in percentage</w:t>
      </w:r>
      <w:r>
        <w:rPr>
          <w:rFonts w:ascii="Times New Roman" w:hAnsi="Times New Roman" w:cs="Times New Roman"/>
          <w:sz w:val="24"/>
          <w:szCs w:val="24"/>
          <w:lang w:val="en-US"/>
        </w:rPr>
        <w:t xml:space="preserve"> points, in </w:t>
      </w:r>
      <w:r w:rsidRPr="009F0DFA">
        <w:rPr>
          <w:rFonts w:ascii="Times New Roman" w:hAnsi="Times New Roman" w:cs="Times New Roman"/>
          <w:sz w:val="24"/>
          <w:szCs w:val="24"/>
          <w:lang w:val="en-US"/>
        </w:rPr>
        <w:t>the distance to fronti</w:t>
      </w:r>
      <w:r>
        <w:rPr>
          <w:rFonts w:ascii="Times New Roman" w:hAnsi="Times New Roman" w:cs="Times New Roman"/>
          <w:sz w:val="24"/>
          <w:szCs w:val="24"/>
          <w:lang w:val="en-US"/>
        </w:rPr>
        <w:t xml:space="preserve">er indicator for countries that </w:t>
      </w:r>
      <w:r w:rsidRPr="009F0DFA">
        <w:rPr>
          <w:rFonts w:ascii="Times New Roman" w:hAnsi="Times New Roman" w:cs="Times New Roman"/>
          <w:sz w:val="24"/>
          <w:szCs w:val="24"/>
          <w:lang w:val="en-US"/>
        </w:rPr>
        <w:t>ranked bet</w:t>
      </w:r>
      <w:r>
        <w:rPr>
          <w:rFonts w:ascii="Times New Roman" w:hAnsi="Times New Roman" w:cs="Times New Roman"/>
          <w:sz w:val="24"/>
          <w:szCs w:val="24"/>
          <w:lang w:val="en-US"/>
        </w:rPr>
        <w:t xml:space="preserve">ween 75 (Czech Republic) and 50 </w:t>
      </w:r>
      <w:r w:rsidRPr="009F0DFA">
        <w:rPr>
          <w:rFonts w:ascii="Times New Roman" w:hAnsi="Times New Roman" w:cs="Times New Roman"/>
          <w:sz w:val="24"/>
          <w:szCs w:val="24"/>
          <w:lang w:val="en-US"/>
        </w:rPr>
        <w:t xml:space="preserve">(Kazakhstan) in </w:t>
      </w:r>
      <w:r>
        <w:rPr>
          <w:rFonts w:ascii="Times New Roman" w:hAnsi="Times New Roman" w:cs="Times New Roman"/>
          <w:sz w:val="24"/>
          <w:szCs w:val="24"/>
          <w:lang w:val="en-US"/>
        </w:rPr>
        <w:t xml:space="preserve">ease of doing business in 2014. </w:t>
      </w:r>
      <w:r w:rsidRPr="009F0DFA">
        <w:rPr>
          <w:rFonts w:ascii="Times New Roman" w:hAnsi="Times New Roman" w:cs="Times New Roman"/>
          <w:sz w:val="24"/>
          <w:szCs w:val="24"/>
          <w:lang w:val="en-US"/>
        </w:rPr>
        <w:t>The graph illust</w:t>
      </w:r>
      <w:r>
        <w:rPr>
          <w:rFonts w:ascii="Times New Roman" w:hAnsi="Times New Roman" w:cs="Times New Roman"/>
          <w:sz w:val="24"/>
          <w:szCs w:val="24"/>
          <w:lang w:val="en-US"/>
        </w:rPr>
        <w:t xml:space="preserve">rates that Turkey was among the </w:t>
      </w:r>
      <w:r w:rsidRPr="009F0DFA">
        <w:rPr>
          <w:rFonts w:ascii="Times New Roman" w:hAnsi="Times New Roman" w:cs="Times New Roman"/>
          <w:sz w:val="24"/>
          <w:szCs w:val="24"/>
          <w:lang w:val="en-US"/>
        </w:rPr>
        <w:t>better improver</w:t>
      </w:r>
      <w:r>
        <w:rPr>
          <w:rFonts w:ascii="Times New Roman" w:hAnsi="Times New Roman" w:cs="Times New Roman"/>
          <w:sz w:val="24"/>
          <w:szCs w:val="24"/>
          <w:lang w:val="en-US"/>
        </w:rPr>
        <w:t xml:space="preserve">s in 2014. However, in order to </w:t>
      </w:r>
      <w:r w:rsidRPr="009F0DFA">
        <w:rPr>
          <w:rFonts w:ascii="Times New Roman" w:hAnsi="Times New Roman" w:cs="Times New Roman"/>
          <w:sz w:val="24"/>
          <w:szCs w:val="24"/>
          <w:lang w:val="en-US"/>
        </w:rPr>
        <w:t>reach the</w:t>
      </w:r>
      <w:r>
        <w:rPr>
          <w:rFonts w:ascii="Times New Roman" w:hAnsi="Times New Roman" w:cs="Times New Roman"/>
          <w:sz w:val="24"/>
          <w:szCs w:val="24"/>
          <w:lang w:val="en-US"/>
        </w:rPr>
        <w:t xml:space="preserve"> goal of being among the top 50 </w:t>
      </w:r>
      <w:r w:rsidRPr="009F0DFA">
        <w:rPr>
          <w:rFonts w:ascii="Times New Roman" w:hAnsi="Times New Roman" w:cs="Times New Roman"/>
          <w:sz w:val="24"/>
          <w:szCs w:val="24"/>
          <w:lang w:val="en-US"/>
        </w:rPr>
        <w:t>countries by</w:t>
      </w:r>
      <w:r>
        <w:rPr>
          <w:rFonts w:ascii="Times New Roman" w:hAnsi="Times New Roman" w:cs="Times New Roman"/>
          <w:sz w:val="24"/>
          <w:szCs w:val="24"/>
          <w:lang w:val="en-US"/>
        </w:rPr>
        <w:t xml:space="preserve"> 2018 as expressed in the Tenth </w:t>
      </w:r>
      <w:r w:rsidRPr="009F0DFA">
        <w:rPr>
          <w:rFonts w:ascii="Times New Roman" w:hAnsi="Times New Roman" w:cs="Times New Roman"/>
          <w:sz w:val="24"/>
          <w:szCs w:val="24"/>
          <w:lang w:val="en-US"/>
        </w:rPr>
        <w:t xml:space="preserve">Development </w:t>
      </w:r>
      <w:r>
        <w:rPr>
          <w:rFonts w:ascii="Times New Roman" w:hAnsi="Times New Roman" w:cs="Times New Roman"/>
          <w:sz w:val="24"/>
          <w:szCs w:val="24"/>
          <w:lang w:val="en-US"/>
        </w:rPr>
        <w:t xml:space="preserve">Plan, the country would need to </w:t>
      </w:r>
      <w:r w:rsidRPr="009F0DFA">
        <w:rPr>
          <w:rFonts w:ascii="Times New Roman" w:hAnsi="Times New Roman" w:cs="Times New Roman"/>
          <w:sz w:val="24"/>
          <w:szCs w:val="24"/>
          <w:lang w:val="en-US"/>
        </w:rPr>
        <w:t>accelerate</w:t>
      </w:r>
      <w:r>
        <w:rPr>
          <w:rFonts w:ascii="Times New Roman" w:hAnsi="Times New Roman" w:cs="Times New Roman"/>
          <w:sz w:val="24"/>
          <w:szCs w:val="24"/>
          <w:lang w:val="en-US"/>
        </w:rPr>
        <w:t xml:space="preserve"> the implementation of reforms. </w:t>
      </w:r>
    </w:p>
    <w:p w:rsidR="00925405" w:rsidRDefault="00925405" w:rsidP="00925405">
      <w:pPr>
        <w:spacing w:line="240" w:lineRule="auto"/>
        <w:jc w:val="both"/>
        <w:rPr>
          <w:rFonts w:ascii="Times New Roman" w:hAnsi="Times New Roman" w:cs="Times New Roman"/>
          <w:sz w:val="24"/>
          <w:szCs w:val="24"/>
          <w:lang w:val="en-US"/>
        </w:rPr>
      </w:pPr>
      <w:r w:rsidRPr="009F0DFA">
        <w:rPr>
          <w:rFonts w:ascii="Times New Roman" w:hAnsi="Times New Roman" w:cs="Times New Roman"/>
          <w:sz w:val="24"/>
          <w:szCs w:val="24"/>
          <w:lang w:val="en-US"/>
        </w:rPr>
        <w:t>Enterprise</w:t>
      </w:r>
      <w:r>
        <w:rPr>
          <w:rFonts w:ascii="Times New Roman" w:hAnsi="Times New Roman" w:cs="Times New Roman"/>
          <w:sz w:val="24"/>
          <w:szCs w:val="24"/>
          <w:lang w:val="en-US"/>
        </w:rPr>
        <w:t xml:space="preserve"> surveys suggest that access to </w:t>
      </w:r>
      <w:r w:rsidRPr="009F0DFA">
        <w:rPr>
          <w:rFonts w:ascii="Times New Roman" w:hAnsi="Times New Roman" w:cs="Times New Roman"/>
          <w:sz w:val="24"/>
          <w:szCs w:val="24"/>
          <w:lang w:val="en-US"/>
        </w:rPr>
        <w:t>finance, high taxes</w:t>
      </w:r>
      <w:r>
        <w:rPr>
          <w:rFonts w:ascii="Times New Roman" w:hAnsi="Times New Roman" w:cs="Times New Roman"/>
          <w:sz w:val="24"/>
          <w:szCs w:val="24"/>
          <w:lang w:val="en-US"/>
        </w:rPr>
        <w:t xml:space="preserve">, and the remaining </w:t>
      </w:r>
      <w:r w:rsidRPr="009F0DFA">
        <w:rPr>
          <w:rFonts w:ascii="Times New Roman" w:hAnsi="Times New Roman" w:cs="Times New Roman"/>
          <w:sz w:val="24"/>
          <w:szCs w:val="24"/>
          <w:lang w:val="en-US"/>
        </w:rPr>
        <w:t>regulatory</w:t>
      </w:r>
      <w:r>
        <w:rPr>
          <w:rFonts w:ascii="Times New Roman" w:hAnsi="Times New Roman" w:cs="Times New Roman"/>
          <w:sz w:val="24"/>
          <w:szCs w:val="24"/>
          <w:lang w:val="en-US"/>
        </w:rPr>
        <w:t xml:space="preserve"> hurdles are the main obstacles </w:t>
      </w:r>
      <w:r w:rsidRPr="009F0DFA">
        <w:rPr>
          <w:rFonts w:ascii="Times New Roman" w:hAnsi="Times New Roman" w:cs="Times New Roman"/>
          <w:sz w:val="24"/>
          <w:szCs w:val="24"/>
          <w:lang w:val="en-US"/>
        </w:rPr>
        <w:t xml:space="preserve">facing SMEs. The </w:t>
      </w:r>
      <w:r>
        <w:rPr>
          <w:rFonts w:ascii="Times New Roman" w:hAnsi="Times New Roman" w:cs="Times New Roman"/>
          <w:sz w:val="24"/>
          <w:szCs w:val="24"/>
          <w:lang w:val="en-US"/>
        </w:rPr>
        <w:t xml:space="preserve">surveys suggest that regulatory </w:t>
      </w:r>
      <w:r w:rsidRPr="009F0DFA">
        <w:rPr>
          <w:rFonts w:ascii="Times New Roman" w:hAnsi="Times New Roman" w:cs="Times New Roman"/>
          <w:sz w:val="24"/>
          <w:szCs w:val="24"/>
          <w:lang w:val="en-US"/>
        </w:rPr>
        <w:t>barriers are highest for SMEs, higher even than</w:t>
      </w:r>
      <w:r>
        <w:rPr>
          <w:rFonts w:ascii="Times New Roman" w:hAnsi="Times New Roman" w:cs="Times New Roman"/>
          <w:sz w:val="24"/>
          <w:szCs w:val="24"/>
          <w:lang w:val="en-US"/>
        </w:rPr>
        <w:t xml:space="preserve"> </w:t>
      </w:r>
      <w:r w:rsidRPr="005C592C">
        <w:rPr>
          <w:rFonts w:ascii="Times New Roman" w:hAnsi="Times New Roman" w:cs="Times New Roman"/>
          <w:sz w:val="24"/>
          <w:szCs w:val="24"/>
          <w:lang w:val="en-US"/>
        </w:rPr>
        <w:t>for micro-fir</w:t>
      </w:r>
      <w:r>
        <w:rPr>
          <w:rFonts w:ascii="Times New Roman" w:hAnsi="Times New Roman" w:cs="Times New Roman"/>
          <w:sz w:val="24"/>
          <w:szCs w:val="24"/>
          <w:lang w:val="en-US"/>
        </w:rPr>
        <w:t xml:space="preserve">ms. At the same time, many SMEs </w:t>
      </w:r>
      <w:r w:rsidRPr="005C592C">
        <w:rPr>
          <w:rFonts w:ascii="Times New Roman" w:hAnsi="Times New Roman" w:cs="Times New Roman"/>
          <w:sz w:val="24"/>
          <w:szCs w:val="24"/>
          <w:lang w:val="en-US"/>
        </w:rPr>
        <w:t>also need to</w:t>
      </w:r>
      <w:r>
        <w:rPr>
          <w:rFonts w:ascii="Times New Roman" w:hAnsi="Times New Roman" w:cs="Times New Roman"/>
          <w:sz w:val="24"/>
          <w:szCs w:val="24"/>
          <w:lang w:val="en-US"/>
        </w:rPr>
        <w:t xml:space="preserve"> modernize their governance and </w:t>
      </w:r>
      <w:r w:rsidRPr="005C592C">
        <w:rPr>
          <w:rFonts w:ascii="Times New Roman" w:hAnsi="Times New Roman" w:cs="Times New Roman"/>
          <w:sz w:val="24"/>
          <w:szCs w:val="24"/>
          <w:lang w:val="en-US"/>
        </w:rPr>
        <w:t>introduce pro</w:t>
      </w:r>
      <w:r>
        <w:rPr>
          <w:rFonts w:ascii="Times New Roman" w:hAnsi="Times New Roman" w:cs="Times New Roman"/>
          <w:sz w:val="24"/>
          <w:szCs w:val="24"/>
          <w:lang w:val="en-US"/>
        </w:rPr>
        <w:t xml:space="preserve">fessional management to improve </w:t>
      </w:r>
      <w:r w:rsidRPr="005C592C">
        <w:rPr>
          <w:rFonts w:ascii="Times New Roman" w:hAnsi="Times New Roman" w:cs="Times New Roman"/>
          <w:sz w:val="24"/>
          <w:szCs w:val="24"/>
          <w:lang w:val="en-US"/>
        </w:rPr>
        <w:t>their ability to absorb and adapt new technologies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noProof/>
          <w:sz w:val="24"/>
          <w:szCs w:val="24"/>
          <w:lang w:eastAsia="es-ES"/>
        </w:rPr>
        <w:drawing>
          <wp:inline distT="0" distB="0" distL="0" distR="0" wp14:anchorId="03B22634" wp14:editId="64704C4A">
            <wp:extent cx="4794250" cy="4051300"/>
            <wp:effectExtent l="0" t="0" r="635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94250" cy="40513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E35D93B" wp14:editId="52DBA225">
            <wp:extent cx="2311400" cy="2374900"/>
            <wp:effectExtent l="0" t="0" r="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11400" cy="23749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4EE84CFE" wp14:editId="40DE8729">
            <wp:extent cx="3035300" cy="2260600"/>
            <wp:effectExtent l="0" t="0" r="0"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35300" cy="2260600"/>
                    </a:xfrm>
                    <a:prstGeom prst="rect">
                      <a:avLst/>
                    </a:prstGeom>
                    <a:noFill/>
                    <a:ln>
                      <a:noFill/>
                    </a:ln>
                  </pic:spPr>
                </pic:pic>
              </a:graphicData>
            </a:graphic>
          </wp:inline>
        </w:drawing>
      </w:r>
    </w:p>
    <w:p w:rsidR="00925405" w:rsidRPr="005C592C" w:rsidRDefault="00925405" w:rsidP="00925405">
      <w:pPr>
        <w:spacing w:line="240" w:lineRule="auto"/>
        <w:jc w:val="both"/>
        <w:rPr>
          <w:rFonts w:ascii="Times New Roman" w:hAnsi="Times New Roman" w:cs="Times New Roman"/>
          <w:sz w:val="24"/>
          <w:szCs w:val="24"/>
          <w:lang w:val="en-US"/>
        </w:rPr>
      </w:pPr>
      <w:r w:rsidRPr="005C592C">
        <w:rPr>
          <w:rFonts w:ascii="Times New Roman" w:hAnsi="Times New Roman" w:cs="Times New Roman"/>
          <w:sz w:val="24"/>
          <w:szCs w:val="24"/>
          <w:lang w:val="en-US"/>
        </w:rPr>
        <w:t>Labor Markets</w:t>
      </w:r>
    </w:p>
    <w:p w:rsidR="00925405" w:rsidRDefault="00925405" w:rsidP="00925405">
      <w:pPr>
        <w:spacing w:line="240" w:lineRule="auto"/>
        <w:jc w:val="both"/>
        <w:rPr>
          <w:rFonts w:ascii="Times New Roman" w:hAnsi="Times New Roman" w:cs="Times New Roman"/>
          <w:sz w:val="24"/>
          <w:szCs w:val="24"/>
          <w:lang w:val="en-US"/>
        </w:rPr>
      </w:pPr>
      <w:r w:rsidRPr="005C592C">
        <w:rPr>
          <w:rFonts w:ascii="Times New Roman" w:hAnsi="Times New Roman" w:cs="Times New Roman"/>
          <w:sz w:val="24"/>
          <w:szCs w:val="24"/>
          <w:lang w:val="en-US"/>
        </w:rPr>
        <w:t xml:space="preserve">A major medium-term challenge for Turkey is to boost the participation of its youth and women in the labor force. Despite notable success in job creation in recent years, almost half of the Turkish working-age population (WAP) does not enter the labor market, mostly due to the low labor force participation (LFP) rate of women, which is around 30 percent, less than half the OECD average of 65 percent. About 35 percent of youth, mostly </w:t>
      </w:r>
      <w:r w:rsidR="00E069BB" w:rsidRPr="005C592C">
        <w:rPr>
          <w:rFonts w:ascii="Times New Roman" w:hAnsi="Times New Roman" w:cs="Times New Roman"/>
          <w:sz w:val="24"/>
          <w:szCs w:val="24"/>
          <w:lang w:val="en-US"/>
        </w:rPr>
        <w:t>women</w:t>
      </w:r>
      <w:r w:rsidRPr="005C592C">
        <w:rPr>
          <w:rFonts w:ascii="Times New Roman" w:hAnsi="Times New Roman" w:cs="Times New Roman"/>
          <w:sz w:val="24"/>
          <w:szCs w:val="24"/>
          <w:lang w:val="en-US"/>
        </w:rPr>
        <w:t xml:space="preserve"> are neith</w:t>
      </w:r>
      <w:r w:rsidR="00E069BB">
        <w:rPr>
          <w:rFonts w:ascii="Times New Roman" w:hAnsi="Times New Roman" w:cs="Times New Roman"/>
          <w:sz w:val="24"/>
          <w:szCs w:val="24"/>
          <w:lang w:val="en-US"/>
        </w:rPr>
        <w:t xml:space="preserve">er working nor attending school - </w:t>
      </w:r>
      <w:r w:rsidRPr="005C592C">
        <w:rPr>
          <w:rFonts w:ascii="Times New Roman" w:hAnsi="Times New Roman" w:cs="Times New Roman"/>
          <w:sz w:val="24"/>
          <w:szCs w:val="24"/>
          <w:lang w:val="en-US"/>
        </w:rPr>
        <w:t>the highest share</w:t>
      </w:r>
      <w:r>
        <w:rPr>
          <w:rFonts w:ascii="Times New Roman" w:hAnsi="Times New Roman" w:cs="Times New Roman"/>
          <w:sz w:val="24"/>
          <w:szCs w:val="24"/>
          <w:lang w:val="en-US"/>
        </w:rPr>
        <w:t xml:space="preserve"> </w:t>
      </w:r>
      <w:r w:rsidRPr="005C592C">
        <w:rPr>
          <w:rFonts w:ascii="Times New Roman" w:hAnsi="Times New Roman" w:cs="Times New Roman"/>
          <w:sz w:val="24"/>
          <w:szCs w:val="24"/>
          <w:lang w:val="en-US"/>
        </w:rPr>
        <w:t>of inactive youth among OECD countries. For the youth who do work, more than half (51 percent) work in the informal sector, compared to a population average of 36 percent.</w:t>
      </w:r>
    </w:p>
    <w:p w:rsidR="00925405" w:rsidRDefault="00925405" w:rsidP="00925405">
      <w:pPr>
        <w:spacing w:line="240" w:lineRule="auto"/>
        <w:jc w:val="both"/>
        <w:rPr>
          <w:rFonts w:ascii="Times New Roman" w:hAnsi="Times New Roman" w:cs="Times New Roman"/>
          <w:sz w:val="24"/>
          <w:szCs w:val="24"/>
          <w:lang w:val="en-US"/>
        </w:rPr>
      </w:pPr>
      <w:r w:rsidRPr="005C592C">
        <w:rPr>
          <w:rFonts w:ascii="Times New Roman" w:hAnsi="Times New Roman" w:cs="Times New Roman"/>
          <w:sz w:val="24"/>
          <w:szCs w:val="24"/>
          <w:lang w:val="en-US"/>
        </w:rPr>
        <w:lastRenderedPageBreak/>
        <w:t>Labor market rigidity and the high cost of labor are important constraints to job creation in Turkey. Among OECD countries, Turkey has the highest level of employment protection, particularly with regard to limited opportunities for temporary employment.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5029128B" wp14:editId="52B9333D">
            <wp:extent cx="4775200" cy="3752850"/>
            <wp:effectExtent l="0" t="0" r="635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75200" cy="37528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noProof/>
          <w:sz w:val="24"/>
          <w:szCs w:val="24"/>
          <w:lang w:eastAsia="es-ES"/>
        </w:rPr>
      </w:pP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E6B377E" wp14:editId="323CB1D1">
            <wp:extent cx="5645150" cy="230505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45150" cy="23050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Turkey’s labor force is characterized by a low level of schooling, despite improvements in younger cohorts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The mismatch between the skills obtained in formal education and those required by business is another obstacle for productive job creation</w:t>
      </w:r>
      <w:r>
        <w:rPr>
          <w:rFonts w:ascii="Times New Roman" w:hAnsi="Times New Roman" w:cs="Times New Roman"/>
          <w:sz w:val="24"/>
          <w:szCs w:val="24"/>
          <w:lang w:val="en-US"/>
        </w:rPr>
        <w:t>…</w:t>
      </w:r>
    </w:p>
    <w:p w:rsidR="00925405" w:rsidRPr="00D03908"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Poverty and Social Protection</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 xml:space="preserve">With rapid economic growth after the 2001 crisis, Turkey’s social outcomes have improved. Poverty decreased from 44 percent in 2002 to 21 percent in 2012.2 Other </w:t>
      </w:r>
      <w:r w:rsidRPr="00D03908">
        <w:rPr>
          <w:rFonts w:ascii="Times New Roman" w:hAnsi="Times New Roman" w:cs="Times New Roman"/>
          <w:sz w:val="24"/>
          <w:szCs w:val="24"/>
          <w:lang w:val="en-US"/>
        </w:rPr>
        <w:lastRenderedPageBreak/>
        <w:t>dimensions of well-being also improved significantly, and Turkey has already met the Millennium Development Goals (MDGs) for maternal and infant mortality (see below for a discussion on Turkey’s strong performance in the health sector)</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Large inequalities persist, however, and social mobility is still limited. Turkey’s Human Development Index (HDI) increased from 0.671 in 2005 to 0.722 in 2012, putting Turkey in the high human development group. However, Turkey’s inequality-adjusted</w:t>
      </w:r>
      <w:r w:rsidR="00E069BB">
        <w:rPr>
          <w:rFonts w:ascii="Times New Roman" w:hAnsi="Times New Roman" w:cs="Times New Roman"/>
          <w:sz w:val="24"/>
          <w:szCs w:val="24"/>
          <w:lang w:val="en-US"/>
        </w:rPr>
        <w:t xml:space="preserve"> Human Development Index (IHDI) -</w:t>
      </w:r>
      <w:r w:rsidRPr="00D03908">
        <w:rPr>
          <w:rFonts w:ascii="Times New Roman" w:hAnsi="Times New Roman" w:cs="Times New Roman"/>
          <w:sz w:val="24"/>
          <w:szCs w:val="24"/>
          <w:lang w:val="en-US"/>
        </w:rPr>
        <w:t>which adjusts for inequalities in health,</w:t>
      </w:r>
      <w:r w:rsidR="00E069BB">
        <w:rPr>
          <w:rFonts w:ascii="Times New Roman" w:hAnsi="Times New Roman" w:cs="Times New Roman"/>
          <w:sz w:val="24"/>
          <w:szCs w:val="24"/>
          <w:lang w:val="en-US"/>
        </w:rPr>
        <w:t xml:space="preserve"> education, and income measures- </w:t>
      </w:r>
      <w:r w:rsidRPr="00D03908">
        <w:rPr>
          <w:rFonts w:ascii="Times New Roman" w:hAnsi="Times New Roman" w:cs="Times New Roman"/>
          <w:sz w:val="24"/>
          <w:szCs w:val="24"/>
          <w:lang w:val="en-US"/>
        </w:rPr>
        <w:t>is 23 percent lower than its nominal HDI</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The Government has developed an integrated social assistance system geared toward helping welfare recipients get out of poverty</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The 2008 social security reform improved coverage of public pensions and is expected to yield significant savings, but these are insufficient to ensure pension system balance over the long term</w:t>
      </w:r>
      <w:r>
        <w:rPr>
          <w:rFonts w:ascii="Times New Roman" w:hAnsi="Times New Roman" w:cs="Times New Roman"/>
          <w:sz w:val="24"/>
          <w:szCs w:val="24"/>
          <w:lang w:val="en-US"/>
        </w:rPr>
        <w:t>…</w:t>
      </w:r>
    </w:p>
    <w:p w:rsidR="00925405" w:rsidRPr="00D03908"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Education</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Turkey has made significant progress in increasing access to schools. Turkey has achieved almost universal primary school enrollment (99 percent in the first four years and 93 percent i</w:t>
      </w:r>
      <w:r w:rsidR="00E069BB">
        <w:rPr>
          <w:rFonts w:ascii="Times New Roman" w:hAnsi="Times New Roman" w:cs="Times New Roman"/>
          <w:sz w:val="24"/>
          <w:szCs w:val="24"/>
          <w:lang w:val="en-US"/>
        </w:rPr>
        <w:t>n the second four years in 2012-</w:t>
      </w:r>
      <w:r w:rsidRPr="00D03908">
        <w:rPr>
          <w:rFonts w:ascii="Times New Roman" w:hAnsi="Times New Roman" w:cs="Times New Roman"/>
          <w:sz w:val="24"/>
          <w:szCs w:val="24"/>
          <w:lang w:val="en-US"/>
        </w:rPr>
        <w:t>13), and secondary enrollme</w:t>
      </w:r>
      <w:r w:rsidR="00E069BB">
        <w:rPr>
          <w:rFonts w:ascii="Times New Roman" w:hAnsi="Times New Roman" w:cs="Times New Roman"/>
          <w:sz w:val="24"/>
          <w:szCs w:val="24"/>
          <w:lang w:val="en-US"/>
        </w:rPr>
        <w:t>nt was at 70 percent as of 2012-</w:t>
      </w:r>
      <w:r w:rsidRPr="00D03908">
        <w:rPr>
          <w:rFonts w:ascii="Times New Roman" w:hAnsi="Times New Roman" w:cs="Times New Roman"/>
          <w:sz w:val="24"/>
          <w:szCs w:val="24"/>
          <w:lang w:val="en-US"/>
        </w:rPr>
        <w:t>13</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In parallel with rising enrollment rates, Turkey’s average PISA performance scores have improved significantly, and inequality in student performance has declined</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A4AB104" wp14:editId="0E759D74">
            <wp:extent cx="2743200" cy="23241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43200" cy="232410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51262B0E" wp14:editId="404E8F9A">
            <wp:extent cx="2616200" cy="232410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16200" cy="23241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Looking ahead, Turkey must build on its achievements to further expand quality and broaden access to good education for all</w:t>
      </w:r>
      <w:r>
        <w:rPr>
          <w:rFonts w:ascii="Times New Roman" w:hAnsi="Times New Roman" w:cs="Times New Roman"/>
          <w:sz w:val="24"/>
          <w:szCs w:val="24"/>
          <w:lang w:val="en-US"/>
        </w:rPr>
        <w:t>…</w:t>
      </w:r>
    </w:p>
    <w:p w:rsidR="00925405" w:rsidRPr="002C4423" w:rsidRDefault="00925405" w:rsidP="00925405">
      <w:pPr>
        <w:spacing w:line="240" w:lineRule="auto"/>
        <w:jc w:val="both"/>
        <w:rPr>
          <w:rFonts w:ascii="Times New Roman" w:hAnsi="Times New Roman" w:cs="Times New Roman"/>
          <w:b/>
          <w:sz w:val="24"/>
          <w:szCs w:val="24"/>
          <w:lang w:val="en-US"/>
        </w:rPr>
      </w:pPr>
      <w:r w:rsidRPr="002C4423">
        <w:rPr>
          <w:rFonts w:ascii="Times New Roman" w:hAnsi="Times New Roman" w:cs="Times New Roman"/>
          <w:b/>
          <w:sz w:val="24"/>
          <w:szCs w:val="24"/>
          <w:lang w:val="en-US"/>
        </w:rPr>
        <w:t>I. Turkey knowledge program: results highlights</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This is a selection of recently completed or ongoing studies, which are published and available on the Turkey World Bank website (www.worldbank.org.tr), and technical assistance projects, wh</w:t>
      </w:r>
      <w:r>
        <w:rPr>
          <w:rFonts w:ascii="Times New Roman" w:hAnsi="Times New Roman" w:cs="Times New Roman"/>
          <w:sz w:val="24"/>
          <w:szCs w:val="24"/>
          <w:lang w:val="en-US"/>
        </w:rPr>
        <w:t xml:space="preserve">ich focus on capacity building. </w:t>
      </w:r>
    </w:p>
    <w:p w:rsidR="00925405" w:rsidRPr="00D03908"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report, “Turkey i</w:t>
      </w:r>
      <w:r w:rsidRPr="00D03908">
        <w:rPr>
          <w:rFonts w:ascii="Times New Roman" w:hAnsi="Times New Roman" w:cs="Times New Roman"/>
          <w:sz w:val="24"/>
          <w:szCs w:val="24"/>
          <w:lang w:val="en-US"/>
        </w:rPr>
        <w:t>n Route to High Income: Lesson</w:t>
      </w:r>
      <w:r w:rsidR="00E069BB">
        <w:rPr>
          <w:rFonts w:ascii="Times New Roman" w:hAnsi="Times New Roman" w:cs="Times New Roman"/>
          <w:sz w:val="24"/>
          <w:szCs w:val="24"/>
          <w:lang w:val="en-US"/>
        </w:rPr>
        <w:t>s in Integration and Inclusion”,</w:t>
      </w:r>
      <w:r w:rsidRPr="00D03908">
        <w:rPr>
          <w:rFonts w:ascii="Times New Roman" w:hAnsi="Times New Roman" w:cs="Times New Roman"/>
          <w:sz w:val="24"/>
          <w:szCs w:val="24"/>
          <w:lang w:val="en-US"/>
        </w:rPr>
        <w:t xml:space="preserve"> contains the following key messages:</w:t>
      </w:r>
    </w:p>
    <w:p w:rsidR="00925405" w:rsidRPr="00D03908"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lastRenderedPageBreak/>
        <w:t> Turkey is among a handful of countries on the threshold of high-income status (together with Mexico, Brazil, Malaysia, and several new EU member states). How it got there and where it is headed from here hold important lessons for other emerging markets (EMs).</w:t>
      </w:r>
    </w:p>
    <w:p w:rsidR="00925405" w:rsidRPr="00D03908"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 xml:space="preserve"> Turkey’s </w:t>
      </w:r>
      <w:r w:rsidR="00E069BB">
        <w:rPr>
          <w:rFonts w:ascii="Times New Roman" w:hAnsi="Times New Roman" w:cs="Times New Roman"/>
          <w:sz w:val="24"/>
          <w:szCs w:val="24"/>
          <w:lang w:val="en-US"/>
        </w:rPr>
        <w:t>growth has been shared. In 2002-</w:t>
      </w:r>
      <w:r w:rsidRPr="00D03908">
        <w:rPr>
          <w:rFonts w:ascii="Times New Roman" w:hAnsi="Times New Roman" w:cs="Times New Roman"/>
          <w:sz w:val="24"/>
          <w:szCs w:val="24"/>
          <w:lang w:val="en-US"/>
        </w:rPr>
        <w:t>11, poverty (measured as consumption below US$</w:t>
      </w:r>
      <w:r w:rsidR="00E069BB">
        <w:rPr>
          <w:rFonts w:ascii="Times New Roman" w:hAnsi="Times New Roman" w:cs="Times New Roman"/>
          <w:sz w:val="24"/>
          <w:szCs w:val="24"/>
          <w:lang w:val="en-US"/>
        </w:rPr>
        <w:t xml:space="preserve"> </w:t>
      </w:r>
      <w:r w:rsidRPr="00D03908">
        <w:rPr>
          <w:rFonts w:ascii="Times New Roman" w:hAnsi="Times New Roman" w:cs="Times New Roman"/>
          <w:sz w:val="24"/>
          <w:szCs w:val="24"/>
          <w:lang w:val="en-US"/>
        </w:rPr>
        <w:t>5 per day in purchasing power parity) declined by half from 43 to 22 percent. Growth in consumption of the bottom 40 percent averaged around 5 percent in the same period, marginally below the average for the country.</w:t>
      </w:r>
    </w:p>
    <w:p w:rsidR="00925405" w:rsidRPr="00D03908"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 Turkey’s economic and social progress has been led by the private sector. The Government has played a supporting role through establishing a sound regulatory framework and investing in public services and infrastructure. Government redistribution has not been a major factor.</w:t>
      </w:r>
    </w:p>
    <w:p w:rsidR="00925405" w:rsidRDefault="00925405" w:rsidP="00925405">
      <w:pPr>
        <w:spacing w:line="240" w:lineRule="auto"/>
        <w:jc w:val="both"/>
        <w:rPr>
          <w:rFonts w:ascii="Times New Roman" w:hAnsi="Times New Roman" w:cs="Times New Roman"/>
          <w:sz w:val="24"/>
          <w:szCs w:val="24"/>
          <w:lang w:val="en-US"/>
        </w:rPr>
      </w:pPr>
      <w:r w:rsidRPr="00D03908">
        <w:rPr>
          <w:rFonts w:ascii="Times New Roman" w:hAnsi="Times New Roman" w:cs="Times New Roman"/>
          <w:sz w:val="24"/>
          <w:szCs w:val="24"/>
          <w:lang w:val="en-US"/>
        </w:rPr>
        <w:t> In a less accommodating international environment, Turkey faces major challenges to sustaining economic growth and over</w:t>
      </w:r>
      <w:r w:rsidR="00E069BB">
        <w:rPr>
          <w:rFonts w:ascii="Times New Roman" w:hAnsi="Times New Roman" w:cs="Times New Roman"/>
          <w:sz w:val="24"/>
          <w:szCs w:val="24"/>
          <w:lang w:val="en-US"/>
        </w:rPr>
        <w:t>coming the “middle-income trap”.</w:t>
      </w:r>
      <w:r w:rsidRPr="00D03908">
        <w:rPr>
          <w:rFonts w:ascii="Times New Roman" w:hAnsi="Times New Roman" w:cs="Times New Roman"/>
          <w:sz w:val="24"/>
          <w:szCs w:val="24"/>
          <w:lang w:val="en-US"/>
        </w:rPr>
        <w:t xml:space="preserve"> The priorities include: (i) sustaining productivity growth through reforms of the business climate to attract more FDI and encourage innovation, (ii) boosting women’s participation in labor markets to fully benefit from the demographic dividend, (iii) deepening institutional reforms to strengthen the rule of law, increase transparency, and build greater trust.</w:t>
      </w:r>
    </w:p>
    <w:p w:rsidR="00925405" w:rsidRPr="00A8141F"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Lesso</w:t>
      </w:r>
      <w:r w:rsidRPr="00A8141F">
        <w:rPr>
          <w:rFonts w:ascii="Times New Roman" w:hAnsi="Times New Roman" w:cs="Times New Roman"/>
          <w:sz w:val="24"/>
          <w:szCs w:val="24"/>
          <w:lang w:val="en-US"/>
        </w:rPr>
        <w:t>ns in Integration and Inclusion:</w:t>
      </w:r>
    </w:p>
    <w:p w:rsidR="00E069BB"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 Six main drivers of economic and social progres</w:t>
      </w:r>
      <w:r w:rsidR="00E069BB">
        <w:rPr>
          <w:rFonts w:ascii="Times New Roman" w:hAnsi="Times New Roman" w:cs="Times New Roman"/>
          <w:sz w:val="24"/>
          <w:szCs w:val="24"/>
          <w:lang w:val="en-US"/>
        </w:rPr>
        <w:t>s are identified in the report:</w:t>
      </w:r>
    </w:p>
    <w:p w:rsidR="00E069BB"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1. Opening up to trade in the 1980s and closer integration with the EU after the Customs Union agree</w:t>
      </w:r>
      <w:r w:rsidR="00E069BB">
        <w:rPr>
          <w:rFonts w:ascii="Times New Roman" w:hAnsi="Times New Roman" w:cs="Times New Roman"/>
          <w:sz w:val="24"/>
          <w:szCs w:val="24"/>
          <w:lang w:val="en-US"/>
        </w:rPr>
        <w:t>ment entered into force in 1996</w:t>
      </w:r>
    </w:p>
    <w:p w:rsidR="00925405" w:rsidRPr="00A8141F"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2. Reforming the financial system to reorient it from government to private sector financing and making it stable enough to withstand global capital inflow volatility (even though this is an unfinished agenda)</w:t>
      </w:r>
    </w:p>
    <w:p w:rsidR="00925405" w:rsidRPr="00A8141F"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3. Reallocating labor from unproductive agriculture to more productive manufacturing and services, mostly as a result of private sector entrepreneurial activity</w:t>
      </w:r>
    </w:p>
    <w:p w:rsidR="00925405" w:rsidRPr="00A8141F"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4. Supporting structural change through infrastructure and housing investments that made Turkey’s growing cities the main engines of economic growth and improved access to public services</w:t>
      </w:r>
    </w:p>
    <w:p w:rsidR="00925405" w:rsidRPr="00A8141F"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5. Overcoming a lackluster labor market to generate an employment miracle of an additional 4 million jobs since 2009) after the global economic and financial crisis, in part through targeted reductions in labor taxes on women and youth</w:t>
      </w:r>
    </w:p>
    <w:p w:rsidR="00925405"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6. Using the room created by successful fiscal stabilization after 2001 to expand spending on health care and education while improving quality, thereby starting to close the performance gap with other OECD countries</w:t>
      </w:r>
    </w:p>
    <w:p w:rsidR="00925405" w:rsidRDefault="00925405" w:rsidP="00925405">
      <w:pPr>
        <w:spacing w:line="240" w:lineRule="auto"/>
        <w:jc w:val="both"/>
        <w:rPr>
          <w:rFonts w:ascii="Times New Roman" w:hAnsi="Times New Roman" w:cs="Times New Roman"/>
          <w:sz w:val="24"/>
          <w:szCs w:val="24"/>
          <w:lang w:val="en-US"/>
        </w:rPr>
      </w:pPr>
      <w:r w:rsidRPr="00A8141F">
        <w:rPr>
          <w:rFonts w:ascii="Times New Roman" w:hAnsi="Times New Roman" w:cs="Times New Roman"/>
          <w:sz w:val="24"/>
          <w:szCs w:val="24"/>
          <w:lang w:val="en-US"/>
        </w:rPr>
        <w:t> The first three drivers provide Turkey’s lessons in the benefits of economic integration with Europe and with the world economy. The second three demonstrate the value of shifting to a more inclusive growth model, working with and not against the forces of structural change and building on a strong fiscal foundation.</w:t>
      </w:r>
    </w:p>
    <w:p w:rsidR="00925405" w:rsidRPr="006966D1"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World Bank - </w:t>
      </w:r>
      <w:r w:rsidRPr="006966D1">
        <w:rPr>
          <w:rFonts w:ascii="Times New Roman" w:hAnsi="Times New Roman" w:cs="Times New Roman"/>
          <w:b/>
          <w:sz w:val="24"/>
          <w:szCs w:val="24"/>
          <w:lang w:val="en-US"/>
        </w:rPr>
        <w:t xml:space="preserve">Trading up to high income </w:t>
      </w:r>
      <w:r>
        <w:rPr>
          <w:rFonts w:ascii="Times New Roman" w:hAnsi="Times New Roman" w:cs="Times New Roman"/>
          <w:b/>
          <w:sz w:val="24"/>
          <w:szCs w:val="24"/>
          <w:lang w:val="en-US"/>
        </w:rPr>
        <w:t>-</w:t>
      </w:r>
      <w:r w:rsidRPr="006966D1">
        <w:rPr>
          <w:rFonts w:ascii="Times New Roman" w:hAnsi="Times New Roman" w:cs="Times New Roman"/>
          <w:b/>
          <w:sz w:val="24"/>
          <w:szCs w:val="24"/>
          <w:lang w:val="en-US"/>
        </w:rPr>
        <w:t xml:space="preserve"> Turkey country </w:t>
      </w:r>
      <w:r>
        <w:rPr>
          <w:rFonts w:ascii="Times New Roman" w:hAnsi="Times New Roman" w:cs="Times New Roman"/>
          <w:b/>
          <w:sz w:val="24"/>
          <w:szCs w:val="24"/>
          <w:lang w:val="en-US"/>
        </w:rPr>
        <w:t>Economic Memo</w:t>
      </w:r>
      <w:r w:rsidRPr="006966D1">
        <w:rPr>
          <w:rFonts w:ascii="Times New Roman" w:hAnsi="Times New Roman" w:cs="Times New Roman"/>
          <w:b/>
          <w:sz w:val="24"/>
          <w:szCs w:val="24"/>
          <w:lang w:val="en-US"/>
        </w:rPr>
        <w:t>randum</w:t>
      </w:r>
    </w:p>
    <w:p w:rsidR="00925405" w:rsidRPr="001E0B11" w:rsidRDefault="00925405" w:rsidP="00925405">
      <w:pPr>
        <w:spacing w:line="240" w:lineRule="auto"/>
        <w:jc w:val="both"/>
        <w:rPr>
          <w:rFonts w:ascii="Times New Roman" w:hAnsi="Times New Roman" w:cs="Times New Roman"/>
          <w:b/>
          <w:sz w:val="24"/>
          <w:szCs w:val="24"/>
          <w:lang w:val="en-US"/>
        </w:rPr>
      </w:pPr>
      <w:r w:rsidRPr="001E0B11">
        <w:rPr>
          <w:rFonts w:ascii="Times New Roman" w:hAnsi="Times New Roman" w:cs="Times New Roman"/>
          <w:b/>
          <w:sz w:val="24"/>
          <w:szCs w:val="24"/>
          <w:lang w:val="en-US"/>
        </w:rPr>
        <w:t xml:space="preserve">May 2014 </w:t>
      </w:r>
    </w:p>
    <w:p w:rsidR="00925405" w:rsidRPr="00F753EE" w:rsidRDefault="00925405" w:rsidP="00925405">
      <w:pPr>
        <w:spacing w:line="240" w:lineRule="auto"/>
        <w:jc w:val="both"/>
        <w:rPr>
          <w:rFonts w:ascii="Times New Roman" w:hAnsi="Times New Roman" w:cs="Times New Roman"/>
          <w:b/>
          <w:sz w:val="24"/>
          <w:szCs w:val="24"/>
          <w:lang w:val="en-US"/>
        </w:rPr>
      </w:pPr>
      <w:r w:rsidRPr="00F753EE">
        <w:rPr>
          <w:rFonts w:ascii="Times New Roman" w:hAnsi="Times New Roman" w:cs="Times New Roman"/>
          <w:b/>
          <w:sz w:val="24"/>
          <w:szCs w:val="24"/>
          <w:lang w:val="en-US"/>
        </w:rPr>
        <w:t>Executive Summary</w:t>
      </w:r>
    </w:p>
    <w:p w:rsidR="00925405" w:rsidRPr="00F753EE" w:rsidRDefault="00925405" w:rsidP="00925405">
      <w:pPr>
        <w:spacing w:line="240" w:lineRule="auto"/>
        <w:jc w:val="both"/>
        <w:rPr>
          <w:rFonts w:ascii="Times New Roman" w:hAnsi="Times New Roman" w:cs="Times New Roman"/>
          <w:b/>
          <w:sz w:val="24"/>
          <w:szCs w:val="24"/>
          <w:lang w:val="en-US"/>
        </w:rPr>
      </w:pPr>
      <w:r w:rsidRPr="00F753EE">
        <w:rPr>
          <w:rFonts w:ascii="Times New Roman" w:hAnsi="Times New Roman" w:cs="Times New Roman"/>
          <w:b/>
          <w:sz w:val="24"/>
          <w:szCs w:val="24"/>
          <w:lang w:val="en-US"/>
        </w:rPr>
        <w:t>Strong export growth combined with increased diversification</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1. Turkey’s export performance since 2002 has been strong. Amid a conducive global environment, progress in advancing structural reforms domestically, and with more productive compan</w:t>
      </w:r>
      <w:r>
        <w:rPr>
          <w:rFonts w:ascii="Times New Roman" w:hAnsi="Times New Roman" w:cs="Times New Roman"/>
          <w:sz w:val="24"/>
          <w:szCs w:val="24"/>
          <w:lang w:val="en-US"/>
        </w:rPr>
        <w:t xml:space="preserve">ies, merchandise </w:t>
      </w:r>
      <w:r w:rsidRPr="00F753EE">
        <w:rPr>
          <w:rFonts w:ascii="Times New Roman" w:hAnsi="Times New Roman" w:cs="Times New Roman"/>
          <w:sz w:val="24"/>
          <w:szCs w:val="24"/>
          <w:lang w:val="en-US"/>
        </w:rPr>
        <w:t>exports increased from US$</w:t>
      </w:r>
      <w:r w:rsidR="00E069BB">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36 billion in 2002 to over US$</w:t>
      </w:r>
      <w:r w:rsidR="00E069BB">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150 billion in 2012.</w:t>
      </w:r>
      <w:r>
        <w:rPr>
          <w:rFonts w:ascii="Times New Roman" w:hAnsi="Times New Roman" w:cs="Times New Roman"/>
          <w:sz w:val="24"/>
          <w:szCs w:val="24"/>
          <w:lang w:val="en-US"/>
        </w:rPr>
        <w:t xml:space="preserve"> Exports grew 15 percent a year </w:t>
      </w:r>
      <w:r w:rsidRPr="00F753EE">
        <w:rPr>
          <w:rFonts w:ascii="Times New Roman" w:hAnsi="Times New Roman" w:cs="Times New Roman"/>
          <w:sz w:val="24"/>
          <w:szCs w:val="24"/>
          <w:lang w:val="en-US"/>
        </w:rPr>
        <w:t>on average in dollar terms, more than six percentage points above the average g</w:t>
      </w:r>
      <w:r>
        <w:rPr>
          <w:rFonts w:ascii="Times New Roman" w:hAnsi="Times New Roman" w:cs="Times New Roman"/>
          <w:sz w:val="24"/>
          <w:szCs w:val="24"/>
          <w:lang w:val="en-US"/>
        </w:rPr>
        <w:t xml:space="preserve">lobal growth of exports, and as </w:t>
      </w:r>
      <w:r w:rsidRPr="00F753EE">
        <w:rPr>
          <w:rFonts w:ascii="Times New Roman" w:hAnsi="Times New Roman" w:cs="Times New Roman"/>
          <w:sz w:val="24"/>
          <w:szCs w:val="24"/>
          <w:lang w:val="en-US"/>
        </w:rPr>
        <w:t>much as the pace of expansion in Brazil, Russia, and India.</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2. Turkey diversified both its export markets and its export product mix.</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 Markets. Turkish exporters substantially broadened their market reach</w:t>
      </w:r>
      <w:r>
        <w:rPr>
          <w:rFonts w:ascii="Times New Roman" w:hAnsi="Times New Roman" w:cs="Times New Roman"/>
          <w:sz w:val="24"/>
          <w:szCs w:val="24"/>
          <w:lang w:val="en-US"/>
        </w:rPr>
        <w:t xml:space="preserve">, exporting to 137 countries at </w:t>
      </w:r>
      <w:r w:rsidRPr="00F753EE">
        <w:rPr>
          <w:rFonts w:ascii="Times New Roman" w:hAnsi="Times New Roman" w:cs="Times New Roman"/>
          <w:sz w:val="24"/>
          <w:szCs w:val="24"/>
          <w:lang w:val="en-US"/>
        </w:rPr>
        <w:t xml:space="preserve">present, up from 90 in 20001. Since the global financial crisis, amid a </w:t>
      </w:r>
      <w:r>
        <w:rPr>
          <w:rFonts w:ascii="Times New Roman" w:hAnsi="Times New Roman" w:cs="Times New Roman"/>
          <w:sz w:val="24"/>
          <w:szCs w:val="24"/>
          <w:lang w:val="en-US"/>
        </w:rPr>
        <w:t xml:space="preserve">sluggish expansion in demand in </w:t>
      </w:r>
      <w:r w:rsidRPr="00F753EE">
        <w:rPr>
          <w:rFonts w:ascii="Times New Roman" w:hAnsi="Times New Roman" w:cs="Times New Roman"/>
          <w:sz w:val="24"/>
          <w:szCs w:val="24"/>
          <w:lang w:val="en-US"/>
        </w:rPr>
        <w:t>traditional markets, the share of Turkey’s exports to the European U</w:t>
      </w:r>
      <w:r>
        <w:rPr>
          <w:rFonts w:ascii="Times New Roman" w:hAnsi="Times New Roman" w:cs="Times New Roman"/>
          <w:sz w:val="24"/>
          <w:szCs w:val="24"/>
          <w:lang w:val="en-US"/>
        </w:rPr>
        <w:t xml:space="preserve">nion (EU) and the European Free </w:t>
      </w:r>
      <w:r w:rsidRPr="00F753EE">
        <w:rPr>
          <w:rFonts w:ascii="Times New Roman" w:hAnsi="Times New Roman" w:cs="Times New Roman"/>
          <w:sz w:val="24"/>
          <w:szCs w:val="24"/>
          <w:lang w:val="en-US"/>
        </w:rPr>
        <w:t>Trade Association (EFTA) declined, while that of Middle East and North Africa (MENA) and ot</w:t>
      </w:r>
      <w:r>
        <w:rPr>
          <w:rFonts w:ascii="Times New Roman" w:hAnsi="Times New Roman" w:cs="Times New Roman"/>
          <w:sz w:val="24"/>
          <w:szCs w:val="24"/>
          <w:lang w:val="en-US"/>
        </w:rPr>
        <w:t xml:space="preserve">her </w:t>
      </w:r>
      <w:r w:rsidRPr="00F753EE">
        <w:rPr>
          <w:rFonts w:ascii="Times New Roman" w:hAnsi="Times New Roman" w:cs="Times New Roman"/>
          <w:sz w:val="24"/>
          <w:szCs w:val="24"/>
          <w:lang w:val="en-US"/>
        </w:rPr>
        <w:t>markets rose. These changes notwithstanding, the EU remains Turk</w:t>
      </w:r>
      <w:r>
        <w:rPr>
          <w:rFonts w:ascii="Times New Roman" w:hAnsi="Times New Roman" w:cs="Times New Roman"/>
          <w:sz w:val="24"/>
          <w:szCs w:val="24"/>
          <w:lang w:val="en-US"/>
        </w:rPr>
        <w:t xml:space="preserve">ey’s key trading and investment </w:t>
      </w:r>
      <w:r w:rsidRPr="00F753EE">
        <w:rPr>
          <w:rFonts w:ascii="Times New Roman" w:hAnsi="Times New Roman" w:cs="Times New Roman"/>
          <w:sz w:val="24"/>
          <w:szCs w:val="24"/>
          <w:lang w:val="en-US"/>
        </w:rPr>
        <w:t>partner. It is companies that exported to the EU that led the expans</w:t>
      </w:r>
      <w:r>
        <w:rPr>
          <w:rFonts w:ascii="Times New Roman" w:hAnsi="Times New Roman" w:cs="Times New Roman"/>
          <w:sz w:val="24"/>
          <w:szCs w:val="24"/>
          <w:lang w:val="en-US"/>
        </w:rPr>
        <w:t xml:space="preserve">ion of exports to MENA, drawing </w:t>
      </w:r>
      <w:r w:rsidRPr="00F753EE">
        <w:rPr>
          <w:rFonts w:ascii="Times New Roman" w:hAnsi="Times New Roman" w:cs="Times New Roman"/>
          <w:sz w:val="24"/>
          <w:szCs w:val="24"/>
          <w:lang w:val="en-US"/>
        </w:rPr>
        <w:t>on their experience in serving a demanding client. Moreover, the spill</w:t>
      </w:r>
      <w:r>
        <w:rPr>
          <w:rFonts w:ascii="Times New Roman" w:hAnsi="Times New Roman" w:cs="Times New Roman"/>
          <w:sz w:val="24"/>
          <w:szCs w:val="24"/>
          <w:lang w:val="en-US"/>
        </w:rPr>
        <w:t xml:space="preserve">overs from the strong trade and </w:t>
      </w:r>
      <w:r w:rsidRPr="00F753EE">
        <w:rPr>
          <w:rFonts w:ascii="Times New Roman" w:hAnsi="Times New Roman" w:cs="Times New Roman"/>
          <w:sz w:val="24"/>
          <w:szCs w:val="24"/>
          <w:lang w:val="en-US"/>
        </w:rPr>
        <w:t>invest</w:t>
      </w:r>
      <w:r w:rsidR="00E069BB">
        <w:rPr>
          <w:rFonts w:ascii="Times New Roman" w:hAnsi="Times New Roman" w:cs="Times New Roman"/>
          <w:sz w:val="24"/>
          <w:szCs w:val="24"/>
          <w:lang w:val="en-US"/>
        </w:rPr>
        <w:t>ment relationship with the EU -</w:t>
      </w:r>
      <w:r w:rsidRPr="00F753EE">
        <w:rPr>
          <w:rFonts w:ascii="Times New Roman" w:hAnsi="Times New Roman" w:cs="Times New Roman"/>
          <w:sz w:val="24"/>
          <w:szCs w:val="24"/>
          <w:lang w:val="en-US"/>
        </w:rPr>
        <w:t>including of technology, manag</w:t>
      </w:r>
      <w:r w:rsidR="00E069BB">
        <w:rPr>
          <w:rFonts w:ascii="Times New Roman" w:hAnsi="Times New Roman" w:cs="Times New Roman"/>
          <w:sz w:val="24"/>
          <w:szCs w:val="24"/>
          <w:lang w:val="en-US"/>
        </w:rPr>
        <w:t>ement and marketing expertise-</w:t>
      </w:r>
      <w:r>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are essential for generating solid value added and helping upgrade Turkey’s export basket.</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 Products. The composition of Turkey’s export basket changed signifi</w:t>
      </w:r>
      <w:r>
        <w:rPr>
          <w:rFonts w:ascii="Times New Roman" w:hAnsi="Times New Roman" w:cs="Times New Roman"/>
          <w:sz w:val="24"/>
          <w:szCs w:val="24"/>
          <w:lang w:val="en-US"/>
        </w:rPr>
        <w:t xml:space="preserve">cantly over the past decade, as </w:t>
      </w:r>
      <w:r w:rsidRPr="00F753EE">
        <w:rPr>
          <w:rFonts w:ascii="Times New Roman" w:hAnsi="Times New Roman" w:cs="Times New Roman"/>
          <w:sz w:val="24"/>
          <w:szCs w:val="24"/>
          <w:lang w:val="en-US"/>
        </w:rPr>
        <w:t>the economy is moving increasingly to capital-intensive and institution</w:t>
      </w:r>
      <w:r>
        <w:rPr>
          <w:rFonts w:ascii="Times New Roman" w:hAnsi="Times New Roman" w:cs="Times New Roman"/>
          <w:sz w:val="24"/>
          <w:szCs w:val="24"/>
          <w:lang w:val="en-US"/>
        </w:rPr>
        <w:t xml:space="preserve">s intensive products from those </w:t>
      </w:r>
      <w:r w:rsidRPr="00F753EE">
        <w:rPr>
          <w:rFonts w:ascii="Times New Roman" w:hAnsi="Times New Roman" w:cs="Times New Roman"/>
          <w:sz w:val="24"/>
          <w:szCs w:val="24"/>
          <w:lang w:val="en-US"/>
        </w:rPr>
        <w:t>intensive predominantly in inexpensive labor. Turkey entered the d</w:t>
      </w:r>
      <w:r>
        <w:rPr>
          <w:rFonts w:ascii="Times New Roman" w:hAnsi="Times New Roman" w:cs="Times New Roman"/>
          <w:sz w:val="24"/>
          <w:szCs w:val="24"/>
          <w:lang w:val="en-US"/>
        </w:rPr>
        <w:t xml:space="preserve">ecade highly reliant on apparel </w:t>
      </w:r>
      <w:r w:rsidRPr="00F753EE">
        <w:rPr>
          <w:rFonts w:ascii="Times New Roman" w:hAnsi="Times New Roman" w:cs="Times New Roman"/>
          <w:sz w:val="24"/>
          <w:szCs w:val="24"/>
          <w:lang w:val="en-US"/>
        </w:rPr>
        <w:t>exports. Over time, the importance of apparel declined dramatical</w:t>
      </w:r>
      <w:r>
        <w:rPr>
          <w:rFonts w:ascii="Times New Roman" w:hAnsi="Times New Roman" w:cs="Times New Roman"/>
          <w:sz w:val="24"/>
          <w:szCs w:val="24"/>
          <w:lang w:val="en-US"/>
        </w:rPr>
        <w:t xml:space="preserve">ly and was overtaken around the </w:t>
      </w:r>
      <w:r w:rsidRPr="00F753EE">
        <w:rPr>
          <w:rFonts w:ascii="Times New Roman" w:hAnsi="Times New Roman" w:cs="Times New Roman"/>
          <w:sz w:val="24"/>
          <w:szCs w:val="24"/>
          <w:lang w:val="en-US"/>
        </w:rPr>
        <w:t>middle of the decade by the automotive sector. More recently, products of th</w:t>
      </w:r>
      <w:r>
        <w:rPr>
          <w:rFonts w:ascii="Times New Roman" w:hAnsi="Times New Roman" w:cs="Times New Roman"/>
          <w:sz w:val="24"/>
          <w:szCs w:val="24"/>
          <w:lang w:val="en-US"/>
        </w:rPr>
        <w:t xml:space="preserve">e metals, machinery, and, </w:t>
      </w:r>
      <w:r w:rsidRPr="00F753EE">
        <w:rPr>
          <w:rFonts w:ascii="Times New Roman" w:hAnsi="Times New Roman" w:cs="Times New Roman"/>
          <w:sz w:val="24"/>
          <w:szCs w:val="24"/>
          <w:lang w:val="en-US"/>
        </w:rPr>
        <w:t>to a lesser extent, agri-food industries have taken a prominent position i</w:t>
      </w:r>
      <w:r>
        <w:rPr>
          <w:rFonts w:ascii="Times New Roman" w:hAnsi="Times New Roman" w:cs="Times New Roman"/>
          <w:sz w:val="24"/>
          <w:szCs w:val="24"/>
          <w:lang w:val="en-US"/>
        </w:rPr>
        <w:t xml:space="preserve">n the export basket. Exports of </w:t>
      </w:r>
      <w:r w:rsidRPr="00F753EE">
        <w:rPr>
          <w:rFonts w:ascii="Times New Roman" w:hAnsi="Times New Roman" w:cs="Times New Roman"/>
          <w:sz w:val="24"/>
          <w:szCs w:val="24"/>
          <w:lang w:val="en-US"/>
        </w:rPr>
        <w:t>chemicals, particularly plastics, have also been rising in the last few years.</w:t>
      </w:r>
    </w:p>
    <w:p w:rsidR="00925405" w:rsidRPr="00F753EE" w:rsidRDefault="00925405" w:rsidP="00925405">
      <w:pPr>
        <w:spacing w:line="240" w:lineRule="auto"/>
        <w:jc w:val="both"/>
        <w:rPr>
          <w:rFonts w:ascii="Times New Roman" w:hAnsi="Times New Roman" w:cs="Times New Roman"/>
          <w:b/>
          <w:sz w:val="24"/>
          <w:szCs w:val="24"/>
          <w:lang w:val="en-US"/>
        </w:rPr>
      </w:pPr>
      <w:r w:rsidRPr="00F753EE">
        <w:rPr>
          <w:rFonts w:ascii="Times New Roman" w:hAnsi="Times New Roman" w:cs="Times New Roman"/>
          <w:b/>
          <w:sz w:val="24"/>
          <w:szCs w:val="24"/>
          <w:lang w:val="en-US"/>
        </w:rPr>
        <w:t>Turkey’s export competitiveness has improved</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3. Much like its economy, Turkey’s exports have become more</w:t>
      </w:r>
      <w:r>
        <w:rPr>
          <w:rFonts w:ascii="Times New Roman" w:hAnsi="Times New Roman" w:cs="Times New Roman"/>
          <w:sz w:val="24"/>
          <w:szCs w:val="24"/>
          <w:lang w:val="en-US"/>
        </w:rPr>
        <w:t xml:space="preserve"> globally competitive. Turkey’s </w:t>
      </w:r>
      <w:r w:rsidRPr="00F753EE">
        <w:rPr>
          <w:rFonts w:ascii="Times New Roman" w:hAnsi="Times New Roman" w:cs="Times New Roman"/>
          <w:sz w:val="24"/>
          <w:szCs w:val="24"/>
          <w:lang w:val="en-US"/>
        </w:rPr>
        <w:t>global market share rose substantially from 0.55 percent of global imports i</w:t>
      </w:r>
      <w:r>
        <w:rPr>
          <w:rFonts w:ascii="Times New Roman" w:hAnsi="Times New Roman" w:cs="Times New Roman"/>
          <w:sz w:val="24"/>
          <w:szCs w:val="24"/>
          <w:lang w:val="en-US"/>
        </w:rPr>
        <w:t xml:space="preserve">n 2002 to 0.82 percent in 2012. </w:t>
      </w:r>
      <w:r w:rsidRPr="00F753EE">
        <w:rPr>
          <w:rFonts w:ascii="Times New Roman" w:hAnsi="Times New Roman" w:cs="Times New Roman"/>
          <w:sz w:val="24"/>
          <w:szCs w:val="24"/>
          <w:lang w:val="en-US"/>
        </w:rPr>
        <w:t>Increased competitiveness of firms supported by measures to streamline th</w:t>
      </w:r>
      <w:r>
        <w:rPr>
          <w:rFonts w:ascii="Times New Roman" w:hAnsi="Times New Roman" w:cs="Times New Roman"/>
          <w:sz w:val="24"/>
          <w:szCs w:val="24"/>
          <w:lang w:val="en-US"/>
        </w:rPr>
        <w:t xml:space="preserve">e business environment, improve </w:t>
      </w:r>
      <w:r w:rsidRPr="00F753EE">
        <w:rPr>
          <w:rFonts w:ascii="Times New Roman" w:hAnsi="Times New Roman" w:cs="Times New Roman"/>
          <w:sz w:val="24"/>
          <w:szCs w:val="24"/>
          <w:lang w:val="en-US"/>
        </w:rPr>
        <w:t xml:space="preserve">infrastructure, connect the country domestically and internationally, has been a </w:t>
      </w:r>
      <w:r>
        <w:rPr>
          <w:rFonts w:ascii="Times New Roman" w:hAnsi="Times New Roman" w:cs="Times New Roman"/>
          <w:sz w:val="24"/>
          <w:szCs w:val="24"/>
          <w:lang w:val="en-US"/>
        </w:rPr>
        <w:t xml:space="preserve">key feature of the last decade. </w:t>
      </w:r>
      <w:r w:rsidRPr="00F753EE">
        <w:rPr>
          <w:rFonts w:ascii="Times New Roman" w:hAnsi="Times New Roman" w:cs="Times New Roman"/>
          <w:sz w:val="24"/>
          <w:szCs w:val="24"/>
          <w:lang w:val="en-US"/>
        </w:rPr>
        <w:t>Export competitiveness is “the degree to which, under open market conditions, a country can pro</w:t>
      </w:r>
      <w:r>
        <w:rPr>
          <w:rFonts w:ascii="Times New Roman" w:hAnsi="Times New Roman" w:cs="Times New Roman"/>
          <w:sz w:val="24"/>
          <w:szCs w:val="24"/>
          <w:lang w:val="en-US"/>
        </w:rPr>
        <w:t xml:space="preserve">duce goods and </w:t>
      </w:r>
      <w:r w:rsidRPr="00F753EE">
        <w:rPr>
          <w:rFonts w:ascii="Times New Roman" w:hAnsi="Times New Roman" w:cs="Times New Roman"/>
          <w:sz w:val="24"/>
          <w:szCs w:val="24"/>
          <w:lang w:val="en-US"/>
        </w:rPr>
        <w:t>services that meet the test of foreign competition while simultaneously mai</w:t>
      </w:r>
      <w:r>
        <w:rPr>
          <w:rFonts w:ascii="Times New Roman" w:hAnsi="Times New Roman" w:cs="Times New Roman"/>
          <w:sz w:val="24"/>
          <w:szCs w:val="24"/>
          <w:lang w:val="en-US"/>
        </w:rPr>
        <w:t>ntaining and expanding domestic real income”.</w:t>
      </w:r>
      <w:r w:rsidRPr="00F753EE">
        <w:rPr>
          <w:rFonts w:ascii="Times New Roman" w:hAnsi="Times New Roman" w:cs="Times New Roman"/>
          <w:sz w:val="24"/>
          <w:szCs w:val="24"/>
          <w:lang w:val="en-US"/>
        </w:rPr>
        <w:t xml:space="preserve"> Measures of export competitiveness include firms’ market share, the level of complexity or</w:t>
      </w:r>
      <w:r>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technology content of exported products, and the ability of firms to charge hig</w:t>
      </w:r>
      <w:r>
        <w:rPr>
          <w:rFonts w:ascii="Times New Roman" w:hAnsi="Times New Roman" w:cs="Times New Roman"/>
          <w:sz w:val="24"/>
          <w:szCs w:val="24"/>
          <w:lang w:val="en-US"/>
        </w:rPr>
        <w:t xml:space="preserve">her prices for similar products </w:t>
      </w:r>
      <w:r w:rsidRPr="00F753EE">
        <w:rPr>
          <w:rFonts w:ascii="Times New Roman" w:hAnsi="Times New Roman" w:cs="Times New Roman"/>
          <w:sz w:val="24"/>
          <w:szCs w:val="24"/>
          <w:lang w:val="en-US"/>
        </w:rPr>
        <w:t>due to higher quality perception.</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lastRenderedPageBreak/>
        <w:t>4. Export sophistication, an important measure of export competit</w:t>
      </w:r>
      <w:r>
        <w:rPr>
          <w:rFonts w:ascii="Times New Roman" w:hAnsi="Times New Roman" w:cs="Times New Roman"/>
          <w:sz w:val="24"/>
          <w:szCs w:val="24"/>
          <w:lang w:val="en-US"/>
        </w:rPr>
        <w:t xml:space="preserve">iveness, improved through 2007. </w:t>
      </w:r>
      <w:r w:rsidRPr="00F753EE">
        <w:rPr>
          <w:rFonts w:ascii="Times New Roman" w:hAnsi="Times New Roman" w:cs="Times New Roman"/>
          <w:sz w:val="24"/>
          <w:szCs w:val="24"/>
          <w:lang w:val="en-US"/>
        </w:rPr>
        <w:t xml:space="preserve">Turkey’s export sophistication increased almost 20 percent between 1997 </w:t>
      </w:r>
      <w:r>
        <w:rPr>
          <w:rFonts w:ascii="Times New Roman" w:hAnsi="Times New Roman" w:cs="Times New Roman"/>
          <w:sz w:val="24"/>
          <w:szCs w:val="24"/>
          <w:lang w:val="en-US"/>
        </w:rPr>
        <w:t>and 2007, eased until 2009, and picked up again since then.</w:t>
      </w:r>
      <w:r w:rsidRPr="00F753EE">
        <w:rPr>
          <w:rFonts w:ascii="Times New Roman" w:hAnsi="Times New Roman" w:cs="Times New Roman"/>
          <w:sz w:val="24"/>
          <w:szCs w:val="24"/>
          <w:lang w:val="en-US"/>
        </w:rPr>
        <w:t xml:space="preserve"> The increasing importance of mid-tech exports (mai</w:t>
      </w:r>
      <w:r>
        <w:rPr>
          <w:rFonts w:ascii="Times New Roman" w:hAnsi="Times New Roman" w:cs="Times New Roman"/>
          <w:sz w:val="24"/>
          <w:szCs w:val="24"/>
          <w:lang w:val="en-US"/>
        </w:rPr>
        <w:t xml:space="preserve">nly automobiles and auto parts) </w:t>
      </w:r>
      <w:r w:rsidRPr="00F753EE">
        <w:rPr>
          <w:rFonts w:ascii="Times New Roman" w:hAnsi="Times New Roman" w:cs="Times New Roman"/>
          <w:sz w:val="24"/>
          <w:szCs w:val="24"/>
          <w:lang w:val="en-US"/>
        </w:rPr>
        <w:t>played an important role in the evolution of Turkey’s export sophistication as they replaced less sophisticated</w:t>
      </w:r>
      <w:r>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products (garments and textiles) as the top export sectors and allowed the countr</w:t>
      </w:r>
      <w:r>
        <w:rPr>
          <w:rFonts w:ascii="Times New Roman" w:hAnsi="Times New Roman" w:cs="Times New Roman"/>
          <w:sz w:val="24"/>
          <w:szCs w:val="24"/>
          <w:lang w:val="en-US"/>
        </w:rPr>
        <w:t xml:space="preserve">y to narrow the “sophistication </w:t>
      </w:r>
      <w:r w:rsidRPr="00F753EE">
        <w:rPr>
          <w:rFonts w:ascii="Times New Roman" w:hAnsi="Times New Roman" w:cs="Times New Roman"/>
          <w:sz w:val="24"/>
          <w:szCs w:val="24"/>
          <w:lang w:val="en-US"/>
        </w:rPr>
        <w:t>gap” with countries such as Poland and Mexico until 2007. The decline in export sophist</w:t>
      </w:r>
      <w:r>
        <w:rPr>
          <w:rFonts w:ascii="Times New Roman" w:hAnsi="Times New Roman" w:cs="Times New Roman"/>
          <w:sz w:val="24"/>
          <w:szCs w:val="24"/>
          <w:lang w:val="en-US"/>
        </w:rPr>
        <w:t xml:space="preserve">ication after 2007 </w:t>
      </w:r>
      <w:r w:rsidRPr="00F753EE">
        <w:rPr>
          <w:rFonts w:ascii="Times New Roman" w:hAnsi="Times New Roman" w:cs="Times New Roman"/>
          <w:sz w:val="24"/>
          <w:szCs w:val="24"/>
          <w:lang w:val="en-US"/>
        </w:rPr>
        <w:t>can at least partially be attributed to the commodity price boom of 2008, but wa</w:t>
      </w:r>
      <w:r>
        <w:rPr>
          <w:rFonts w:ascii="Times New Roman" w:hAnsi="Times New Roman" w:cs="Times New Roman"/>
          <w:sz w:val="24"/>
          <w:szCs w:val="24"/>
          <w:lang w:val="en-US"/>
        </w:rPr>
        <w:t xml:space="preserve">s also impacted strongly by the </w:t>
      </w:r>
      <w:r w:rsidRPr="00F753EE">
        <w:rPr>
          <w:rFonts w:ascii="Times New Roman" w:hAnsi="Times New Roman" w:cs="Times New Roman"/>
          <w:sz w:val="24"/>
          <w:szCs w:val="24"/>
          <w:lang w:val="en-US"/>
        </w:rPr>
        <w:t>decline in automotive and other mid-tech exports to the EU.</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5. The quality of exports also improved. In 2002, the absolute major</w:t>
      </w:r>
      <w:r>
        <w:rPr>
          <w:rFonts w:ascii="Times New Roman" w:hAnsi="Times New Roman" w:cs="Times New Roman"/>
          <w:sz w:val="24"/>
          <w:szCs w:val="24"/>
          <w:lang w:val="en-US"/>
        </w:rPr>
        <w:t xml:space="preserve">ity of exports (64 percent) was </w:t>
      </w:r>
      <w:r w:rsidRPr="00F753EE">
        <w:rPr>
          <w:rFonts w:ascii="Times New Roman" w:hAnsi="Times New Roman" w:cs="Times New Roman"/>
          <w:sz w:val="24"/>
          <w:szCs w:val="24"/>
          <w:lang w:val="en-US"/>
        </w:rPr>
        <w:t xml:space="preserve">concentrated in products which were sold at a unit price in the bottom third of </w:t>
      </w:r>
      <w:r>
        <w:rPr>
          <w:rFonts w:ascii="Times New Roman" w:hAnsi="Times New Roman" w:cs="Times New Roman"/>
          <w:sz w:val="24"/>
          <w:szCs w:val="24"/>
          <w:lang w:val="en-US"/>
        </w:rPr>
        <w:t xml:space="preserve">the price distribution compared </w:t>
      </w:r>
      <w:r w:rsidRPr="00F753EE">
        <w:rPr>
          <w:rFonts w:ascii="Times New Roman" w:hAnsi="Times New Roman" w:cs="Times New Roman"/>
          <w:sz w:val="24"/>
          <w:szCs w:val="24"/>
          <w:lang w:val="en-US"/>
        </w:rPr>
        <w:t>to the price of all competitors selling to the same destination market. By 201</w:t>
      </w:r>
      <w:r>
        <w:rPr>
          <w:rFonts w:ascii="Times New Roman" w:hAnsi="Times New Roman" w:cs="Times New Roman"/>
          <w:sz w:val="24"/>
          <w:szCs w:val="24"/>
          <w:lang w:val="en-US"/>
        </w:rPr>
        <w:t xml:space="preserve">0 the majority of products were </w:t>
      </w:r>
      <w:r w:rsidRPr="00F753EE">
        <w:rPr>
          <w:rFonts w:ascii="Times New Roman" w:hAnsi="Times New Roman" w:cs="Times New Roman"/>
          <w:sz w:val="24"/>
          <w:szCs w:val="24"/>
          <w:lang w:val="en-US"/>
        </w:rPr>
        <w:t>sold at the middle or high end of the quality range. Export quality has impro</w:t>
      </w:r>
      <w:r>
        <w:rPr>
          <w:rFonts w:ascii="Times New Roman" w:hAnsi="Times New Roman" w:cs="Times New Roman"/>
          <w:sz w:val="24"/>
          <w:szCs w:val="24"/>
          <w:lang w:val="en-US"/>
        </w:rPr>
        <w:t xml:space="preserve">ved remarkably in particular in </w:t>
      </w:r>
      <w:r w:rsidRPr="00F753EE">
        <w:rPr>
          <w:rFonts w:ascii="Times New Roman" w:hAnsi="Times New Roman" w:cs="Times New Roman"/>
          <w:sz w:val="24"/>
          <w:szCs w:val="24"/>
          <w:lang w:val="en-US"/>
        </w:rPr>
        <w:t>those sectors where quality standards matter most, such as machinery. Exporters w</w:t>
      </w:r>
      <w:r>
        <w:rPr>
          <w:rFonts w:ascii="Times New Roman" w:hAnsi="Times New Roman" w:cs="Times New Roman"/>
          <w:sz w:val="24"/>
          <w:szCs w:val="24"/>
          <w:lang w:val="en-US"/>
        </w:rPr>
        <w:t xml:space="preserve">ith higher quality of exports </w:t>
      </w:r>
      <w:r w:rsidRPr="00F753EE">
        <w:rPr>
          <w:rFonts w:ascii="Times New Roman" w:hAnsi="Times New Roman" w:cs="Times New Roman"/>
          <w:sz w:val="24"/>
          <w:szCs w:val="24"/>
          <w:lang w:val="en-US"/>
        </w:rPr>
        <w:t>are more likely to survive in export markets.</w:t>
      </w:r>
    </w:p>
    <w:p w:rsidR="00925405" w:rsidRPr="00F753EE" w:rsidRDefault="00925405" w:rsidP="00925405">
      <w:pPr>
        <w:spacing w:line="240" w:lineRule="auto"/>
        <w:jc w:val="both"/>
        <w:rPr>
          <w:rFonts w:ascii="Times New Roman" w:hAnsi="Times New Roman" w:cs="Times New Roman"/>
          <w:b/>
          <w:sz w:val="24"/>
          <w:szCs w:val="24"/>
          <w:lang w:val="en-US"/>
        </w:rPr>
      </w:pPr>
      <w:r w:rsidRPr="00F753EE">
        <w:rPr>
          <w:rFonts w:ascii="Times New Roman" w:hAnsi="Times New Roman" w:cs="Times New Roman"/>
          <w:b/>
          <w:sz w:val="24"/>
          <w:szCs w:val="24"/>
          <w:lang w:val="en-US"/>
        </w:rPr>
        <w:t>Turkey wants to further strengthen export performance</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 xml:space="preserve">6. The authorities’ ambitious development vision for 2023 includes a </w:t>
      </w:r>
      <w:r>
        <w:rPr>
          <w:rFonts w:ascii="Times New Roman" w:hAnsi="Times New Roman" w:cs="Times New Roman"/>
          <w:sz w:val="24"/>
          <w:szCs w:val="24"/>
          <w:lang w:val="en-US"/>
        </w:rPr>
        <w:t xml:space="preserve">prominent role for its exports. </w:t>
      </w:r>
      <w:r w:rsidRPr="00F753EE">
        <w:rPr>
          <w:rFonts w:ascii="Times New Roman" w:hAnsi="Times New Roman" w:cs="Times New Roman"/>
          <w:sz w:val="24"/>
          <w:szCs w:val="24"/>
          <w:lang w:val="en-US"/>
        </w:rPr>
        <w:t>Turkey aims to become one of the ten largest economies in the world by 2023,</w:t>
      </w:r>
      <w:r>
        <w:rPr>
          <w:rFonts w:ascii="Times New Roman" w:hAnsi="Times New Roman" w:cs="Times New Roman"/>
          <w:sz w:val="24"/>
          <w:szCs w:val="24"/>
          <w:lang w:val="en-US"/>
        </w:rPr>
        <w:t xml:space="preserve"> with per-capita Gross Domestic </w:t>
      </w:r>
      <w:r w:rsidRPr="00F753EE">
        <w:rPr>
          <w:rFonts w:ascii="Times New Roman" w:hAnsi="Times New Roman" w:cs="Times New Roman"/>
          <w:sz w:val="24"/>
          <w:szCs w:val="24"/>
          <w:lang w:val="en-US"/>
        </w:rPr>
        <w:t>Product (GDP) rising to US$</w:t>
      </w:r>
      <w:r w:rsidR="00E069BB">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25,000 and exports to US$</w:t>
      </w:r>
      <w:r w:rsidR="00E069BB">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500 billion. Turk</w:t>
      </w:r>
      <w:r>
        <w:rPr>
          <w:rFonts w:ascii="Times New Roman" w:hAnsi="Times New Roman" w:cs="Times New Roman"/>
          <w:sz w:val="24"/>
          <w:szCs w:val="24"/>
          <w:lang w:val="en-US"/>
        </w:rPr>
        <w:t xml:space="preserve">ey has a success story to build </w:t>
      </w:r>
      <w:r w:rsidRPr="00F753EE">
        <w:rPr>
          <w:rFonts w:ascii="Times New Roman" w:hAnsi="Times New Roman" w:cs="Times New Roman"/>
          <w:sz w:val="24"/>
          <w:szCs w:val="24"/>
          <w:lang w:val="en-US"/>
        </w:rPr>
        <w:t>on, as evidenced by its impressive reforms since 2001 and its quick reboun</w:t>
      </w:r>
      <w:r>
        <w:rPr>
          <w:rFonts w:ascii="Times New Roman" w:hAnsi="Times New Roman" w:cs="Times New Roman"/>
          <w:sz w:val="24"/>
          <w:szCs w:val="24"/>
          <w:lang w:val="en-US"/>
        </w:rPr>
        <w:t xml:space="preserve">d from the global crisis. Size, </w:t>
      </w:r>
      <w:r w:rsidRPr="00F753EE">
        <w:rPr>
          <w:rFonts w:ascii="Times New Roman" w:hAnsi="Times New Roman" w:cs="Times New Roman"/>
          <w:sz w:val="24"/>
          <w:szCs w:val="24"/>
          <w:lang w:val="en-US"/>
        </w:rPr>
        <w:t xml:space="preserve">geographic location, excellent connectivity to East and West, and a young labor </w:t>
      </w:r>
      <w:r>
        <w:rPr>
          <w:rFonts w:ascii="Times New Roman" w:hAnsi="Times New Roman" w:cs="Times New Roman"/>
          <w:sz w:val="24"/>
          <w:szCs w:val="24"/>
          <w:lang w:val="en-US"/>
        </w:rPr>
        <w:t xml:space="preserve">force are also key factors that </w:t>
      </w:r>
      <w:r w:rsidRPr="00F753EE">
        <w:rPr>
          <w:rFonts w:ascii="Times New Roman" w:hAnsi="Times New Roman" w:cs="Times New Roman"/>
          <w:sz w:val="24"/>
          <w:szCs w:val="24"/>
          <w:lang w:val="en-US"/>
        </w:rPr>
        <w:t>will contribute to success. Still, all key structural features of Turkey’s economy will need to be fit for pre</w:t>
      </w:r>
      <w:r>
        <w:rPr>
          <w:rFonts w:ascii="Times New Roman" w:hAnsi="Times New Roman" w:cs="Times New Roman"/>
          <w:sz w:val="24"/>
          <w:szCs w:val="24"/>
          <w:lang w:val="en-US"/>
        </w:rPr>
        <w:t xml:space="preserve">miere </w:t>
      </w:r>
      <w:r w:rsidRPr="00F753EE">
        <w:rPr>
          <w:rFonts w:ascii="Times New Roman" w:hAnsi="Times New Roman" w:cs="Times New Roman"/>
          <w:sz w:val="24"/>
          <w:szCs w:val="24"/>
          <w:lang w:val="en-US"/>
        </w:rPr>
        <w:t xml:space="preserve">league standards if the country is to succeed. This report focuses on Turkey’s </w:t>
      </w:r>
      <w:r>
        <w:rPr>
          <w:rFonts w:ascii="Times New Roman" w:hAnsi="Times New Roman" w:cs="Times New Roman"/>
          <w:sz w:val="24"/>
          <w:szCs w:val="24"/>
          <w:lang w:val="en-US"/>
        </w:rPr>
        <w:t xml:space="preserve">competitiveness from the supply </w:t>
      </w:r>
      <w:r w:rsidRPr="00F753EE">
        <w:rPr>
          <w:rFonts w:ascii="Times New Roman" w:hAnsi="Times New Roman" w:cs="Times New Roman"/>
          <w:sz w:val="24"/>
          <w:szCs w:val="24"/>
          <w:lang w:val="en-US"/>
        </w:rPr>
        <w:t>side, but it is important to note that ensuring a more balanced mix of financ</w:t>
      </w:r>
      <w:r>
        <w:rPr>
          <w:rFonts w:ascii="Times New Roman" w:hAnsi="Times New Roman" w:cs="Times New Roman"/>
          <w:sz w:val="24"/>
          <w:szCs w:val="24"/>
          <w:lang w:val="en-US"/>
        </w:rPr>
        <w:t xml:space="preserve">ing for the required investment </w:t>
      </w:r>
      <w:r w:rsidRPr="00F753EE">
        <w:rPr>
          <w:rFonts w:ascii="Times New Roman" w:hAnsi="Times New Roman" w:cs="Times New Roman"/>
          <w:sz w:val="24"/>
          <w:szCs w:val="24"/>
          <w:lang w:val="en-US"/>
        </w:rPr>
        <w:t>through measures to boost domestic savings is equally important if Turkey</w:t>
      </w:r>
      <w:r>
        <w:rPr>
          <w:rFonts w:ascii="Times New Roman" w:hAnsi="Times New Roman" w:cs="Times New Roman"/>
          <w:sz w:val="24"/>
          <w:szCs w:val="24"/>
          <w:lang w:val="en-US"/>
        </w:rPr>
        <w:t>’s progress is to be sustained.</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7. Achieving Turkey’s export target is possible and it will likely requir</w:t>
      </w:r>
      <w:r>
        <w:rPr>
          <w:rFonts w:ascii="Times New Roman" w:hAnsi="Times New Roman" w:cs="Times New Roman"/>
          <w:sz w:val="24"/>
          <w:szCs w:val="24"/>
          <w:lang w:val="en-US"/>
        </w:rPr>
        <w:t xml:space="preserve">e a larger global market share. </w:t>
      </w:r>
      <w:r w:rsidRPr="00F753EE">
        <w:rPr>
          <w:rFonts w:ascii="Times New Roman" w:hAnsi="Times New Roman" w:cs="Times New Roman"/>
          <w:sz w:val="24"/>
          <w:szCs w:val="24"/>
          <w:lang w:val="en-US"/>
        </w:rPr>
        <w:t>With the recent slowdown of growth in both in advanced and emerging economi</w:t>
      </w:r>
      <w:r>
        <w:rPr>
          <w:rFonts w:ascii="Times New Roman" w:hAnsi="Times New Roman" w:cs="Times New Roman"/>
          <w:sz w:val="24"/>
          <w:szCs w:val="24"/>
          <w:lang w:val="en-US"/>
        </w:rPr>
        <w:t xml:space="preserve">es, Turkey may not benefit </w:t>
      </w:r>
      <w:r w:rsidRPr="00F753EE">
        <w:rPr>
          <w:rFonts w:ascii="Times New Roman" w:hAnsi="Times New Roman" w:cs="Times New Roman"/>
          <w:sz w:val="24"/>
          <w:szCs w:val="24"/>
          <w:lang w:val="en-US"/>
        </w:rPr>
        <w:t>as much from the ‘pull’ of growing global demand as it did over the past de</w:t>
      </w:r>
      <w:r>
        <w:rPr>
          <w:rFonts w:ascii="Times New Roman" w:hAnsi="Times New Roman" w:cs="Times New Roman"/>
          <w:sz w:val="24"/>
          <w:szCs w:val="24"/>
          <w:lang w:val="en-US"/>
        </w:rPr>
        <w:t xml:space="preserve">cade. Thus, achieving continued </w:t>
      </w:r>
      <w:r w:rsidRPr="00F753EE">
        <w:rPr>
          <w:rFonts w:ascii="Times New Roman" w:hAnsi="Times New Roman" w:cs="Times New Roman"/>
          <w:sz w:val="24"/>
          <w:szCs w:val="24"/>
          <w:lang w:val="en-US"/>
        </w:rPr>
        <w:t>rapid export growth and reaching the government’s export targets will require a s</w:t>
      </w:r>
      <w:r>
        <w:rPr>
          <w:rFonts w:ascii="Times New Roman" w:hAnsi="Times New Roman" w:cs="Times New Roman"/>
          <w:sz w:val="24"/>
          <w:szCs w:val="24"/>
          <w:lang w:val="en-US"/>
        </w:rPr>
        <w:t xml:space="preserve">ignificant increase in Turkey’s </w:t>
      </w:r>
      <w:r w:rsidRPr="00F753EE">
        <w:rPr>
          <w:rFonts w:ascii="Times New Roman" w:hAnsi="Times New Roman" w:cs="Times New Roman"/>
          <w:sz w:val="24"/>
          <w:szCs w:val="24"/>
          <w:lang w:val="en-US"/>
        </w:rPr>
        <w:t>global market share. This, in turn, means that exporters need to becom</w:t>
      </w:r>
      <w:r>
        <w:rPr>
          <w:rFonts w:ascii="Times New Roman" w:hAnsi="Times New Roman" w:cs="Times New Roman"/>
          <w:sz w:val="24"/>
          <w:szCs w:val="24"/>
          <w:lang w:val="en-US"/>
        </w:rPr>
        <w:t xml:space="preserve">e more competitive by producing </w:t>
      </w:r>
      <w:r w:rsidRPr="00F753EE">
        <w:rPr>
          <w:rFonts w:ascii="Times New Roman" w:hAnsi="Times New Roman" w:cs="Times New Roman"/>
          <w:sz w:val="24"/>
          <w:szCs w:val="24"/>
          <w:lang w:val="en-US"/>
        </w:rPr>
        <w:t>g</w:t>
      </w:r>
      <w:r w:rsidR="00E069BB">
        <w:rPr>
          <w:rFonts w:ascii="Times New Roman" w:hAnsi="Times New Roman" w:cs="Times New Roman"/>
          <w:sz w:val="24"/>
          <w:szCs w:val="24"/>
          <w:lang w:val="en-US"/>
        </w:rPr>
        <w:t>oods at more attractive prices -</w:t>
      </w:r>
      <w:r w:rsidRPr="00F753EE">
        <w:rPr>
          <w:rFonts w:ascii="Times New Roman" w:hAnsi="Times New Roman" w:cs="Times New Roman"/>
          <w:sz w:val="24"/>
          <w:szCs w:val="24"/>
          <w:lang w:val="en-US"/>
        </w:rPr>
        <w:t xml:space="preserve"> or at higher quality, expanding their product </w:t>
      </w:r>
      <w:r>
        <w:rPr>
          <w:rFonts w:ascii="Times New Roman" w:hAnsi="Times New Roman" w:cs="Times New Roman"/>
          <w:sz w:val="24"/>
          <w:szCs w:val="24"/>
          <w:lang w:val="en-US"/>
        </w:rPr>
        <w:t xml:space="preserve">range to faster growing product </w:t>
      </w:r>
      <w:r w:rsidRPr="00F753EE">
        <w:rPr>
          <w:rFonts w:ascii="Times New Roman" w:hAnsi="Times New Roman" w:cs="Times New Roman"/>
          <w:sz w:val="24"/>
          <w:szCs w:val="24"/>
          <w:lang w:val="en-US"/>
        </w:rPr>
        <w:t>segments, and improving quality and technological sophistication to command higher prices in export markets.</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Accordingly, this establishes the critical importance of competitiveness for the</w:t>
      </w:r>
      <w:r>
        <w:rPr>
          <w:rFonts w:ascii="Times New Roman" w:hAnsi="Times New Roman" w:cs="Times New Roman"/>
          <w:sz w:val="24"/>
          <w:szCs w:val="24"/>
          <w:lang w:val="en-US"/>
        </w:rPr>
        <w:t xml:space="preserve"> Turkish export sector and sets </w:t>
      </w:r>
      <w:r w:rsidRPr="00F753EE">
        <w:rPr>
          <w:rFonts w:ascii="Times New Roman" w:hAnsi="Times New Roman" w:cs="Times New Roman"/>
          <w:sz w:val="24"/>
          <w:szCs w:val="24"/>
          <w:lang w:val="en-US"/>
        </w:rPr>
        <w:t xml:space="preserve">out an agenda that is based on continued substantial increases in productivity driven </w:t>
      </w:r>
      <w:r>
        <w:rPr>
          <w:rFonts w:ascii="Times New Roman" w:hAnsi="Times New Roman" w:cs="Times New Roman"/>
          <w:sz w:val="24"/>
          <w:szCs w:val="24"/>
          <w:lang w:val="en-US"/>
        </w:rPr>
        <w:t xml:space="preserve">by innovation and focused </w:t>
      </w:r>
      <w:r w:rsidRPr="00F753EE">
        <w:rPr>
          <w:rFonts w:ascii="Times New Roman" w:hAnsi="Times New Roman" w:cs="Times New Roman"/>
          <w:sz w:val="24"/>
          <w:szCs w:val="24"/>
          <w:lang w:val="en-US"/>
        </w:rPr>
        <w:t>on quality.</w:t>
      </w:r>
    </w:p>
    <w:p w:rsidR="00925405" w:rsidRPr="00F753EE" w:rsidRDefault="00925405" w:rsidP="00925405">
      <w:pPr>
        <w:spacing w:line="240" w:lineRule="auto"/>
        <w:jc w:val="both"/>
        <w:rPr>
          <w:rFonts w:ascii="Times New Roman" w:hAnsi="Times New Roman" w:cs="Times New Roman"/>
          <w:b/>
          <w:sz w:val="24"/>
          <w:szCs w:val="24"/>
          <w:lang w:val="en-US"/>
        </w:rPr>
      </w:pPr>
      <w:r w:rsidRPr="00F753EE">
        <w:rPr>
          <w:rFonts w:ascii="Times New Roman" w:hAnsi="Times New Roman" w:cs="Times New Roman"/>
          <w:b/>
          <w:sz w:val="24"/>
          <w:szCs w:val="24"/>
          <w:lang w:val="en-US"/>
        </w:rPr>
        <w:t>There are plenty of challenges</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8. Despite high export growth, exports have not been the main driving force of rising incomes in</w:t>
      </w:r>
      <w:r>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 xml:space="preserve">Turkey over the last decade. The ratio of exports to GDP rose from 20 </w:t>
      </w:r>
      <w:r w:rsidRPr="00F753EE">
        <w:rPr>
          <w:rFonts w:ascii="Times New Roman" w:hAnsi="Times New Roman" w:cs="Times New Roman"/>
          <w:sz w:val="24"/>
          <w:szCs w:val="24"/>
          <w:lang w:val="en-US"/>
        </w:rPr>
        <w:lastRenderedPageBreak/>
        <w:t>per</w:t>
      </w:r>
      <w:r>
        <w:rPr>
          <w:rFonts w:ascii="Times New Roman" w:hAnsi="Times New Roman" w:cs="Times New Roman"/>
          <w:sz w:val="24"/>
          <w:szCs w:val="24"/>
          <w:lang w:val="en-US"/>
        </w:rPr>
        <w:t xml:space="preserve">cent in 1998-2000 on average to </w:t>
      </w:r>
      <w:r w:rsidRPr="00F753EE">
        <w:rPr>
          <w:rFonts w:ascii="Times New Roman" w:hAnsi="Times New Roman" w:cs="Times New Roman"/>
          <w:sz w:val="24"/>
          <w:szCs w:val="24"/>
          <w:lang w:val="en-US"/>
        </w:rPr>
        <w:t>about 23 percent by 2009-2011. This increase is smaller than in most relevant</w:t>
      </w:r>
      <w:r>
        <w:rPr>
          <w:rFonts w:ascii="Times New Roman" w:hAnsi="Times New Roman" w:cs="Times New Roman"/>
          <w:sz w:val="24"/>
          <w:szCs w:val="24"/>
          <w:lang w:val="en-US"/>
        </w:rPr>
        <w:t xml:space="preserve"> comparators at a similar level </w:t>
      </w:r>
      <w:r w:rsidRPr="00F753EE">
        <w:rPr>
          <w:rFonts w:ascii="Times New Roman" w:hAnsi="Times New Roman" w:cs="Times New Roman"/>
          <w:sz w:val="24"/>
          <w:szCs w:val="24"/>
          <w:lang w:val="en-US"/>
        </w:rPr>
        <w:t>of development except Russia. Exports to GDP increased by about 10 percenta</w:t>
      </w:r>
      <w:r>
        <w:rPr>
          <w:rFonts w:ascii="Times New Roman" w:hAnsi="Times New Roman" w:cs="Times New Roman"/>
          <w:sz w:val="24"/>
          <w:szCs w:val="24"/>
          <w:lang w:val="en-US"/>
        </w:rPr>
        <w:t xml:space="preserve">ge points in the EU125 over the </w:t>
      </w:r>
      <w:r w:rsidRPr="00F753EE">
        <w:rPr>
          <w:rFonts w:ascii="Times New Roman" w:hAnsi="Times New Roman" w:cs="Times New Roman"/>
          <w:sz w:val="24"/>
          <w:szCs w:val="24"/>
          <w:lang w:val="en-US"/>
        </w:rPr>
        <w:t>same period, 11 percentage points in India, and 9 percentage points in China.</w:t>
      </w:r>
    </w:p>
    <w:p w:rsidR="00925405"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9. Turkey has specialized in mid-tech sectors which have experienced r</w:t>
      </w:r>
      <w:r>
        <w:rPr>
          <w:rFonts w:ascii="Times New Roman" w:hAnsi="Times New Roman" w:cs="Times New Roman"/>
          <w:sz w:val="24"/>
          <w:szCs w:val="24"/>
          <w:lang w:val="en-US"/>
        </w:rPr>
        <w:t xml:space="preserve">elatively slow growth in global </w:t>
      </w:r>
      <w:r w:rsidRPr="00F753EE">
        <w:rPr>
          <w:rFonts w:ascii="Times New Roman" w:hAnsi="Times New Roman" w:cs="Times New Roman"/>
          <w:sz w:val="24"/>
          <w:szCs w:val="24"/>
          <w:lang w:val="en-US"/>
        </w:rPr>
        <w:t>demand. Although Turkey’s exports are one of the most diversified among mi</w:t>
      </w:r>
      <w:r>
        <w:rPr>
          <w:rFonts w:ascii="Times New Roman" w:hAnsi="Times New Roman" w:cs="Times New Roman"/>
          <w:sz w:val="24"/>
          <w:szCs w:val="24"/>
          <w:lang w:val="en-US"/>
        </w:rPr>
        <w:t xml:space="preserve">ddle-income countries, they are </w:t>
      </w:r>
      <w:r w:rsidRPr="00F753EE">
        <w:rPr>
          <w:rFonts w:ascii="Times New Roman" w:hAnsi="Times New Roman" w:cs="Times New Roman"/>
          <w:sz w:val="24"/>
          <w:szCs w:val="24"/>
          <w:lang w:val="en-US"/>
        </w:rPr>
        <w:t>dominated by goods and sectors that have experienced only modest growth in g</w:t>
      </w:r>
      <w:r>
        <w:rPr>
          <w:rFonts w:ascii="Times New Roman" w:hAnsi="Times New Roman" w:cs="Times New Roman"/>
          <w:sz w:val="24"/>
          <w:szCs w:val="24"/>
          <w:lang w:val="en-US"/>
        </w:rPr>
        <w:t xml:space="preserve">lobal terms. In addition, while </w:t>
      </w:r>
      <w:r w:rsidRPr="00F753EE">
        <w:rPr>
          <w:rFonts w:ascii="Times New Roman" w:hAnsi="Times New Roman" w:cs="Times New Roman"/>
          <w:sz w:val="24"/>
          <w:szCs w:val="24"/>
          <w:lang w:val="en-US"/>
        </w:rPr>
        <w:t>Turkey has dramatically increased its medium-technology exports, it stagnate</w:t>
      </w:r>
      <w:r>
        <w:rPr>
          <w:rFonts w:ascii="Times New Roman" w:hAnsi="Times New Roman" w:cs="Times New Roman"/>
          <w:sz w:val="24"/>
          <w:szCs w:val="24"/>
          <w:lang w:val="en-US"/>
        </w:rPr>
        <w:t xml:space="preserve">d in high-tech exports. Indeed, </w:t>
      </w:r>
      <w:r w:rsidRPr="00F753EE">
        <w:rPr>
          <w:rFonts w:ascii="Times New Roman" w:hAnsi="Times New Roman" w:cs="Times New Roman"/>
          <w:sz w:val="24"/>
          <w:szCs w:val="24"/>
          <w:lang w:val="en-US"/>
        </w:rPr>
        <w:t xml:space="preserve">relative to peers, Turkey’s product composition has exerted a strong downward </w:t>
      </w:r>
      <w:r>
        <w:rPr>
          <w:rFonts w:ascii="Times New Roman" w:hAnsi="Times New Roman" w:cs="Times New Roman"/>
          <w:sz w:val="24"/>
          <w:szCs w:val="24"/>
          <w:lang w:val="en-US"/>
        </w:rPr>
        <w:t xml:space="preserve">bias on export growth. In other </w:t>
      </w:r>
      <w:r w:rsidRPr="00F753EE">
        <w:rPr>
          <w:rFonts w:ascii="Times New Roman" w:hAnsi="Times New Roman" w:cs="Times New Roman"/>
          <w:sz w:val="24"/>
          <w:szCs w:val="24"/>
          <w:lang w:val="en-US"/>
        </w:rPr>
        <w:t>words, Turkey lacks a comparative advantage in higher growth products. Since these products</w:t>
      </w:r>
      <w:r>
        <w:rPr>
          <w:rFonts w:ascii="Times New Roman" w:hAnsi="Times New Roman" w:cs="Times New Roman"/>
          <w:sz w:val="24"/>
          <w:szCs w:val="24"/>
          <w:lang w:val="en-US"/>
        </w:rPr>
        <w:t xml:space="preserve"> are relatively </w:t>
      </w:r>
      <w:r w:rsidRPr="00F753EE">
        <w:rPr>
          <w:rFonts w:ascii="Times New Roman" w:hAnsi="Times New Roman" w:cs="Times New Roman"/>
          <w:sz w:val="24"/>
          <w:szCs w:val="24"/>
          <w:lang w:val="en-US"/>
        </w:rPr>
        <w:t>distant to the country’s current export basket there are few low cost opportunitie</w:t>
      </w:r>
      <w:r>
        <w:rPr>
          <w:rFonts w:ascii="Times New Roman" w:hAnsi="Times New Roman" w:cs="Times New Roman"/>
          <w:sz w:val="24"/>
          <w:szCs w:val="24"/>
          <w:lang w:val="en-US"/>
        </w:rPr>
        <w:t xml:space="preserve">s for Turkey to shift to a more </w:t>
      </w:r>
      <w:r w:rsidRPr="00F753EE">
        <w:rPr>
          <w:rFonts w:ascii="Times New Roman" w:hAnsi="Times New Roman" w:cs="Times New Roman"/>
          <w:sz w:val="24"/>
          <w:szCs w:val="24"/>
          <w:lang w:val="en-US"/>
        </w:rPr>
        <w:t>dynamic export composition. Changes in the export basket will require i</w:t>
      </w:r>
      <w:r>
        <w:rPr>
          <w:rFonts w:ascii="Times New Roman" w:hAnsi="Times New Roman" w:cs="Times New Roman"/>
          <w:sz w:val="24"/>
          <w:szCs w:val="24"/>
          <w:lang w:val="en-US"/>
        </w:rPr>
        <w:t xml:space="preserve">nvestments and the upgrading to </w:t>
      </w:r>
      <w:r w:rsidRPr="00F753EE">
        <w:rPr>
          <w:rFonts w:ascii="Times New Roman" w:hAnsi="Times New Roman" w:cs="Times New Roman"/>
          <w:sz w:val="24"/>
          <w:szCs w:val="24"/>
          <w:lang w:val="en-US"/>
        </w:rPr>
        <w:t>Turkey’s skill base, as explained further below.</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10. However, there is strong potential for Turkey to move up the glo</w:t>
      </w:r>
      <w:r>
        <w:rPr>
          <w:rFonts w:ascii="Times New Roman" w:hAnsi="Times New Roman" w:cs="Times New Roman"/>
          <w:sz w:val="24"/>
          <w:szCs w:val="24"/>
          <w:lang w:val="en-US"/>
        </w:rPr>
        <w:t xml:space="preserve">bal value chains (GVC). Turkish </w:t>
      </w:r>
      <w:r w:rsidRPr="00F753EE">
        <w:rPr>
          <w:rFonts w:ascii="Times New Roman" w:hAnsi="Times New Roman" w:cs="Times New Roman"/>
          <w:sz w:val="24"/>
          <w:szCs w:val="24"/>
          <w:lang w:val="en-US"/>
        </w:rPr>
        <w:t>companies in key sectors of the economy have successfully integrated into G</w:t>
      </w:r>
      <w:r>
        <w:rPr>
          <w:rFonts w:ascii="Times New Roman" w:hAnsi="Times New Roman" w:cs="Times New Roman"/>
          <w:sz w:val="24"/>
          <w:szCs w:val="24"/>
          <w:lang w:val="en-US"/>
        </w:rPr>
        <w:t xml:space="preserve">VC and Turkey’s presence in GVC </w:t>
      </w:r>
      <w:r w:rsidRPr="00F753EE">
        <w:rPr>
          <w:rFonts w:ascii="Times New Roman" w:hAnsi="Times New Roman" w:cs="Times New Roman"/>
          <w:sz w:val="24"/>
          <w:szCs w:val="24"/>
          <w:lang w:val="en-US"/>
        </w:rPr>
        <w:t xml:space="preserve">is stronger than in comparators such as Mexico and Brazil. Although Turkey </w:t>
      </w:r>
      <w:r>
        <w:rPr>
          <w:rFonts w:ascii="Times New Roman" w:hAnsi="Times New Roman" w:cs="Times New Roman"/>
          <w:sz w:val="24"/>
          <w:szCs w:val="24"/>
          <w:lang w:val="en-US"/>
        </w:rPr>
        <w:t xml:space="preserve">seems to specialize in assembly </w:t>
      </w:r>
      <w:r w:rsidRPr="00F753EE">
        <w:rPr>
          <w:rFonts w:ascii="Times New Roman" w:hAnsi="Times New Roman" w:cs="Times New Roman"/>
          <w:sz w:val="24"/>
          <w:szCs w:val="24"/>
          <w:lang w:val="en-US"/>
        </w:rPr>
        <w:t>and low value added segments of GVC, the country’s presence is strongest in s</w:t>
      </w:r>
      <w:r>
        <w:rPr>
          <w:rFonts w:ascii="Times New Roman" w:hAnsi="Times New Roman" w:cs="Times New Roman"/>
          <w:sz w:val="24"/>
          <w:szCs w:val="24"/>
          <w:lang w:val="en-US"/>
        </w:rPr>
        <w:t xml:space="preserve">ectors with longer than average </w:t>
      </w:r>
      <w:r w:rsidRPr="00F753EE">
        <w:rPr>
          <w:rFonts w:ascii="Times New Roman" w:hAnsi="Times New Roman" w:cs="Times New Roman"/>
          <w:sz w:val="24"/>
          <w:szCs w:val="24"/>
          <w:lang w:val="en-US"/>
        </w:rPr>
        <w:t>value chains, representing an important opportunity for upgrading along the c</w:t>
      </w:r>
      <w:r>
        <w:rPr>
          <w:rFonts w:ascii="Times New Roman" w:hAnsi="Times New Roman" w:cs="Times New Roman"/>
          <w:sz w:val="24"/>
          <w:szCs w:val="24"/>
          <w:lang w:val="en-US"/>
        </w:rPr>
        <w:t xml:space="preserve">hain. Furthermore, Turkey meets </w:t>
      </w:r>
      <w:r w:rsidRPr="00F753EE">
        <w:rPr>
          <w:rFonts w:ascii="Times New Roman" w:hAnsi="Times New Roman" w:cs="Times New Roman"/>
          <w:sz w:val="24"/>
          <w:szCs w:val="24"/>
          <w:lang w:val="en-US"/>
        </w:rPr>
        <w:t>an important pre-condition for effectively attracting value-chain related activi</w:t>
      </w:r>
      <w:r>
        <w:rPr>
          <w:rFonts w:ascii="Times New Roman" w:hAnsi="Times New Roman" w:cs="Times New Roman"/>
          <w:sz w:val="24"/>
          <w:szCs w:val="24"/>
          <w:lang w:val="en-US"/>
        </w:rPr>
        <w:t xml:space="preserve">ty. Namely, its trade costs are </w:t>
      </w:r>
      <w:r w:rsidRPr="00F753EE">
        <w:rPr>
          <w:rFonts w:ascii="Times New Roman" w:hAnsi="Times New Roman" w:cs="Times New Roman"/>
          <w:sz w:val="24"/>
          <w:szCs w:val="24"/>
          <w:lang w:val="en-US"/>
        </w:rPr>
        <w:t>low and its logistics infrastructure is well developed, particularly when the country is benchmarke</w:t>
      </w:r>
      <w:r>
        <w:rPr>
          <w:rFonts w:ascii="Times New Roman" w:hAnsi="Times New Roman" w:cs="Times New Roman"/>
          <w:sz w:val="24"/>
          <w:szCs w:val="24"/>
          <w:lang w:val="en-US"/>
        </w:rPr>
        <w:t xml:space="preserve">d against </w:t>
      </w:r>
      <w:r w:rsidRPr="00F753EE">
        <w:rPr>
          <w:rFonts w:ascii="Times New Roman" w:hAnsi="Times New Roman" w:cs="Times New Roman"/>
          <w:sz w:val="24"/>
          <w:szCs w:val="24"/>
          <w:lang w:val="en-US"/>
        </w:rPr>
        <w:t>competitors with similar income levels.</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11. The relatively low level of Foreign Direct Investment (FDI) in</w:t>
      </w:r>
      <w:r>
        <w:rPr>
          <w:rFonts w:ascii="Times New Roman" w:hAnsi="Times New Roman" w:cs="Times New Roman"/>
          <w:sz w:val="24"/>
          <w:szCs w:val="24"/>
          <w:lang w:val="en-US"/>
        </w:rPr>
        <w:t xml:space="preserve"> Turkish manufacturing has been </w:t>
      </w:r>
      <w:r w:rsidRPr="00F753EE">
        <w:rPr>
          <w:rFonts w:ascii="Times New Roman" w:hAnsi="Times New Roman" w:cs="Times New Roman"/>
          <w:sz w:val="24"/>
          <w:szCs w:val="24"/>
          <w:lang w:val="en-US"/>
        </w:rPr>
        <w:t>a constraint to export growth and quality improvements. Limited infl</w:t>
      </w:r>
      <w:r>
        <w:rPr>
          <w:rFonts w:ascii="Times New Roman" w:hAnsi="Times New Roman" w:cs="Times New Roman"/>
          <w:sz w:val="24"/>
          <w:szCs w:val="24"/>
          <w:lang w:val="en-US"/>
        </w:rPr>
        <w:t xml:space="preserve">ows of FDI will hamper Turkey’s </w:t>
      </w:r>
      <w:r w:rsidRPr="00F753EE">
        <w:rPr>
          <w:rFonts w:ascii="Times New Roman" w:hAnsi="Times New Roman" w:cs="Times New Roman"/>
          <w:sz w:val="24"/>
          <w:szCs w:val="24"/>
          <w:lang w:val="en-US"/>
        </w:rPr>
        <w:t>ability to benefit from the technology and knowledge spillovers from firms likel</w:t>
      </w:r>
      <w:r>
        <w:rPr>
          <w:rFonts w:ascii="Times New Roman" w:hAnsi="Times New Roman" w:cs="Times New Roman"/>
          <w:sz w:val="24"/>
          <w:szCs w:val="24"/>
          <w:lang w:val="en-US"/>
        </w:rPr>
        <w:t xml:space="preserve">y to be close to the technology </w:t>
      </w:r>
      <w:r w:rsidRPr="00F753EE">
        <w:rPr>
          <w:rFonts w:ascii="Times New Roman" w:hAnsi="Times New Roman" w:cs="Times New Roman"/>
          <w:sz w:val="24"/>
          <w:szCs w:val="24"/>
          <w:lang w:val="en-US"/>
        </w:rPr>
        <w:t>frontier and thus move up the value chain. A conducive business environm</w:t>
      </w:r>
      <w:r>
        <w:rPr>
          <w:rFonts w:ascii="Times New Roman" w:hAnsi="Times New Roman" w:cs="Times New Roman"/>
          <w:sz w:val="24"/>
          <w:szCs w:val="24"/>
          <w:lang w:val="en-US"/>
        </w:rPr>
        <w:t xml:space="preserve">ent is an important determinant </w:t>
      </w:r>
      <w:r w:rsidRPr="00F753EE">
        <w:rPr>
          <w:rFonts w:ascii="Times New Roman" w:hAnsi="Times New Roman" w:cs="Times New Roman"/>
          <w:sz w:val="24"/>
          <w:szCs w:val="24"/>
          <w:lang w:val="en-US"/>
        </w:rPr>
        <w:t xml:space="preserve">of FDI, and Doing Business indicators suggest Turkey (ranked 69th) does </w:t>
      </w:r>
      <w:r>
        <w:rPr>
          <w:rFonts w:ascii="Times New Roman" w:hAnsi="Times New Roman" w:cs="Times New Roman"/>
          <w:sz w:val="24"/>
          <w:szCs w:val="24"/>
          <w:lang w:val="en-US"/>
        </w:rPr>
        <w:t xml:space="preserve">not compare favorably with many </w:t>
      </w:r>
      <w:r w:rsidRPr="00F753EE">
        <w:rPr>
          <w:rFonts w:ascii="Times New Roman" w:hAnsi="Times New Roman" w:cs="Times New Roman"/>
          <w:sz w:val="24"/>
          <w:szCs w:val="24"/>
          <w:lang w:val="en-US"/>
        </w:rPr>
        <w:t>of its competitors. A recent survey of foreign investors suggests the main barri</w:t>
      </w:r>
      <w:r>
        <w:rPr>
          <w:rFonts w:ascii="Times New Roman" w:hAnsi="Times New Roman" w:cs="Times New Roman"/>
          <w:sz w:val="24"/>
          <w:szCs w:val="24"/>
          <w:lang w:val="en-US"/>
        </w:rPr>
        <w:t xml:space="preserve">ers to larger inflows of FDI in </w:t>
      </w:r>
      <w:r w:rsidRPr="00F753EE">
        <w:rPr>
          <w:rFonts w:ascii="Times New Roman" w:hAnsi="Times New Roman" w:cs="Times New Roman"/>
          <w:sz w:val="24"/>
          <w:szCs w:val="24"/>
          <w:lang w:val="en-US"/>
        </w:rPr>
        <w:t>Turkey are microeconomic: tax and incentive policies, lack of legal assurance, and the u</w:t>
      </w:r>
      <w:r>
        <w:rPr>
          <w:rFonts w:ascii="Times New Roman" w:hAnsi="Times New Roman" w:cs="Times New Roman"/>
          <w:sz w:val="24"/>
          <w:szCs w:val="24"/>
          <w:lang w:val="en-US"/>
        </w:rPr>
        <w:t>nregistered economy are the top three factors.</w:t>
      </w:r>
      <w:r w:rsidRPr="00F753EE">
        <w:rPr>
          <w:rFonts w:ascii="Times New Roman" w:hAnsi="Times New Roman" w:cs="Times New Roman"/>
          <w:sz w:val="24"/>
          <w:szCs w:val="24"/>
          <w:lang w:val="en-US"/>
        </w:rPr>
        <w:t xml:space="preserve"> Innovative capacity and adequate work skills are also fa</w:t>
      </w:r>
      <w:r>
        <w:rPr>
          <w:rFonts w:ascii="Times New Roman" w:hAnsi="Times New Roman" w:cs="Times New Roman"/>
          <w:sz w:val="24"/>
          <w:szCs w:val="24"/>
          <w:lang w:val="en-US"/>
        </w:rPr>
        <w:t xml:space="preserve">ctors that will play a key role </w:t>
      </w:r>
      <w:r w:rsidRPr="00F753EE">
        <w:rPr>
          <w:rFonts w:ascii="Times New Roman" w:hAnsi="Times New Roman" w:cs="Times New Roman"/>
          <w:sz w:val="24"/>
          <w:szCs w:val="24"/>
          <w:lang w:val="en-US"/>
        </w:rPr>
        <w:t>in attracting foreign investors.</w:t>
      </w:r>
    </w:p>
    <w:p w:rsidR="00925405" w:rsidRPr="00F753EE"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12. The relatively poor export performance of Turkey’s SMEs is one</w:t>
      </w:r>
      <w:r>
        <w:rPr>
          <w:rFonts w:ascii="Times New Roman" w:hAnsi="Times New Roman" w:cs="Times New Roman"/>
          <w:sz w:val="24"/>
          <w:szCs w:val="24"/>
          <w:lang w:val="en-US"/>
        </w:rPr>
        <w:t xml:space="preserve"> of the main constraints to the </w:t>
      </w:r>
      <w:r w:rsidRPr="00F753EE">
        <w:rPr>
          <w:rFonts w:ascii="Times New Roman" w:hAnsi="Times New Roman" w:cs="Times New Roman"/>
          <w:sz w:val="24"/>
          <w:szCs w:val="24"/>
          <w:lang w:val="en-US"/>
        </w:rPr>
        <w:t>growth and upgrading of exports. Turkey’s firm distribution reveals a su</w:t>
      </w:r>
      <w:r>
        <w:rPr>
          <w:rFonts w:ascii="Times New Roman" w:hAnsi="Times New Roman" w:cs="Times New Roman"/>
          <w:sz w:val="24"/>
          <w:szCs w:val="24"/>
          <w:lang w:val="en-US"/>
        </w:rPr>
        <w:t xml:space="preserve">rprising lack of dynamism among </w:t>
      </w:r>
      <w:r w:rsidRPr="00F753EE">
        <w:rPr>
          <w:rFonts w:ascii="Times New Roman" w:hAnsi="Times New Roman" w:cs="Times New Roman"/>
          <w:sz w:val="24"/>
          <w:szCs w:val="24"/>
          <w:lang w:val="en-US"/>
        </w:rPr>
        <w:t xml:space="preserve">Turkey’s mid-sized firms, in terms of exports </w:t>
      </w:r>
      <w:r w:rsidR="00E069BB">
        <w:rPr>
          <w:rFonts w:ascii="Times New Roman" w:hAnsi="Times New Roman" w:cs="Times New Roman"/>
          <w:sz w:val="24"/>
          <w:szCs w:val="24"/>
          <w:lang w:val="en-US"/>
        </w:rPr>
        <w:t>as well as productivity growth -</w:t>
      </w:r>
      <w:r>
        <w:rPr>
          <w:rFonts w:ascii="Times New Roman" w:hAnsi="Times New Roman" w:cs="Times New Roman"/>
          <w:sz w:val="24"/>
          <w:szCs w:val="24"/>
          <w:lang w:val="en-US"/>
        </w:rPr>
        <w:t xml:space="preserve"> a phenomenon this Report calls the “Missing Middle”.</w:t>
      </w:r>
      <w:r w:rsidRPr="00F753EE">
        <w:rPr>
          <w:rFonts w:ascii="Times New Roman" w:hAnsi="Times New Roman" w:cs="Times New Roman"/>
          <w:sz w:val="24"/>
          <w:szCs w:val="24"/>
          <w:lang w:val="en-US"/>
        </w:rPr>
        <w:t xml:space="preserve"> Export growth has been driven strongly by the large (</w:t>
      </w:r>
      <w:r>
        <w:rPr>
          <w:rFonts w:ascii="Times New Roman" w:hAnsi="Times New Roman" w:cs="Times New Roman"/>
          <w:sz w:val="24"/>
          <w:szCs w:val="24"/>
          <w:lang w:val="en-US"/>
        </w:rPr>
        <w:t xml:space="preserve">and growing) firms that operate </w:t>
      </w:r>
      <w:r w:rsidRPr="00F753EE">
        <w:rPr>
          <w:rFonts w:ascii="Times New Roman" w:hAnsi="Times New Roman" w:cs="Times New Roman"/>
          <w:sz w:val="24"/>
          <w:szCs w:val="24"/>
          <w:lang w:val="en-US"/>
        </w:rPr>
        <w:t xml:space="preserve">at a substantial productivity premium over the majority of exporters and domestic producers </w:t>
      </w:r>
      <w:r>
        <w:rPr>
          <w:rFonts w:ascii="Times New Roman" w:hAnsi="Times New Roman" w:cs="Times New Roman"/>
          <w:sz w:val="24"/>
          <w:szCs w:val="24"/>
          <w:lang w:val="en-US"/>
        </w:rPr>
        <w:t xml:space="preserve">alike. These large </w:t>
      </w:r>
      <w:r w:rsidRPr="00F753EE">
        <w:rPr>
          <w:rFonts w:ascii="Times New Roman" w:hAnsi="Times New Roman" w:cs="Times New Roman"/>
          <w:sz w:val="24"/>
          <w:szCs w:val="24"/>
          <w:lang w:val="en-US"/>
        </w:rPr>
        <w:t>firms are driving both intensive and extensive margin growth and are increasingl</w:t>
      </w:r>
      <w:r>
        <w:rPr>
          <w:rFonts w:ascii="Times New Roman" w:hAnsi="Times New Roman" w:cs="Times New Roman"/>
          <w:sz w:val="24"/>
          <w:szCs w:val="24"/>
          <w:lang w:val="en-US"/>
        </w:rPr>
        <w:t xml:space="preserve">y pulling away from the rest of </w:t>
      </w:r>
      <w:r w:rsidRPr="00F753EE">
        <w:rPr>
          <w:rFonts w:ascii="Times New Roman" w:hAnsi="Times New Roman" w:cs="Times New Roman"/>
          <w:sz w:val="24"/>
          <w:szCs w:val="24"/>
          <w:lang w:val="en-US"/>
        </w:rPr>
        <w:t>the economy. At the same time Turkey’s export growth is driven almost exclu</w:t>
      </w:r>
      <w:r>
        <w:rPr>
          <w:rFonts w:ascii="Times New Roman" w:hAnsi="Times New Roman" w:cs="Times New Roman"/>
          <w:sz w:val="24"/>
          <w:szCs w:val="24"/>
          <w:lang w:val="en-US"/>
        </w:rPr>
        <w:t xml:space="preserve">sively by the intensive margin, </w:t>
      </w:r>
      <w:r w:rsidRPr="00F753EE">
        <w:rPr>
          <w:rFonts w:ascii="Times New Roman" w:hAnsi="Times New Roman" w:cs="Times New Roman"/>
          <w:sz w:val="24"/>
          <w:szCs w:val="24"/>
          <w:lang w:val="en-US"/>
        </w:rPr>
        <w:t>as new entries (firms, products, and markets) have not delivered sufficient growth to offset corresponding</w:t>
      </w:r>
      <w:r>
        <w:rPr>
          <w:rFonts w:ascii="Times New Roman" w:hAnsi="Times New Roman" w:cs="Times New Roman"/>
          <w:sz w:val="24"/>
          <w:szCs w:val="24"/>
          <w:lang w:val="en-US"/>
        </w:rPr>
        <w:t xml:space="preserve"> </w:t>
      </w:r>
      <w:r w:rsidRPr="00F753EE">
        <w:rPr>
          <w:rFonts w:ascii="Times New Roman" w:hAnsi="Times New Roman" w:cs="Times New Roman"/>
          <w:sz w:val="24"/>
          <w:szCs w:val="24"/>
          <w:lang w:val="en-US"/>
        </w:rPr>
        <w:t xml:space="preserve">losses of old firms, products, and markets. On the one hand, this </w:t>
      </w:r>
      <w:r w:rsidRPr="00F753EE">
        <w:rPr>
          <w:rFonts w:ascii="Times New Roman" w:hAnsi="Times New Roman" w:cs="Times New Roman"/>
          <w:sz w:val="24"/>
          <w:szCs w:val="24"/>
          <w:lang w:val="en-US"/>
        </w:rPr>
        <w:lastRenderedPageBreak/>
        <w:t>indicates that</w:t>
      </w:r>
      <w:r>
        <w:rPr>
          <w:rFonts w:ascii="Times New Roman" w:hAnsi="Times New Roman" w:cs="Times New Roman"/>
          <w:sz w:val="24"/>
          <w:szCs w:val="24"/>
          <w:lang w:val="en-US"/>
        </w:rPr>
        <w:t xml:space="preserve"> Turkey’s established exporters </w:t>
      </w:r>
      <w:r w:rsidRPr="00F753EE">
        <w:rPr>
          <w:rFonts w:ascii="Times New Roman" w:hAnsi="Times New Roman" w:cs="Times New Roman"/>
          <w:sz w:val="24"/>
          <w:szCs w:val="24"/>
          <w:lang w:val="en-US"/>
        </w:rPr>
        <w:t>are becoming increasingly competitive. On the other hand, it also means</w:t>
      </w:r>
      <w:r>
        <w:rPr>
          <w:rFonts w:ascii="Times New Roman" w:hAnsi="Times New Roman" w:cs="Times New Roman"/>
          <w:sz w:val="24"/>
          <w:szCs w:val="24"/>
          <w:lang w:val="en-US"/>
        </w:rPr>
        <w:t xml:space="preserve"> that there may be a problem of </w:t>
      </w:r>
      <w:r w:rsidRPr="00F753EE">
        <w:rPr>
          <w:rFonts w:ascii="Times New Roman" w:hAnsi="Times New Roman" w:cs="Times New Roman"/>
          <w:sz w:val="24"/>
          <w:szCs w:val="24"/>
          <w:lang w:val="en-US"/>
        </w:rPr>
        <w:t>access to exporting and export survival for smaller firms. Helping small firms</w:t>
      </w:r>
      <w:r>
        <w:rPr>
          <w:rFonts w:ascii="Times New Roman" w:hAnsi="Times New Roman" w:cs="Times New Roman"/>
          <w:sz w:val="24"/>
          <w:szCs w:val="24"/>
          <w:lang w:val="en-US"/>
        </w:rPr>
        <w:t xml:space="preserve"> to become dynamic, sustainable </w:t>
      </w:r>
      <w:r w:rsidRPr="00F753EE">
        <w:rPr>
          <w:rFonts w:ascii="Times New Roman" w:hAnsi="Times New Roman" w:cs="Times New Roman"/>
          <w:sz w:val="24"/>
          <w:szCs w:val="24"/>
          <w:lang w:val="en-US"/>
        </w:rPr>
        <w:t xml:space="preserve">mid-sized exporters may be important, as improved performance at each of the extensive margins is </w:t>
      </w:r>
      <w:r>
        <w:rPr>
          <w:rFonts w:ascii="Times New Roman" w:hAnsi="Times New Roman" w:cs="Times New Roman"/>
          <w:sz w:val="24"/>
          <w:szCs w:val="24"/>
          <w:lang w:val="en-US"/>
        </w:rPr>
        <w:t xml:space="preserve">likely to </w:t>
      </w:r>
      <w:r w:rsidRPr="00F753EE">
        <w:rPr>
          <w:rFonts w:ascii="Times New Roman" w:hAnsi="Times New Roman" w:cs="Times New Roman"/>
          <w:sz w:val="24"/>
          <w:szCs w:val="24"/>
          <w:lang w:val="en-US"/>
        </w:rPr>
        <w:t>be critical to Turkey’s future growth. In addition, as human capital intensi</w:t>
      </w:r>
      <w:r>
        <w:rPr>
          <w:rFonts w:ascii="Times New Roman" w:hAnsi="Times New Roman" w:cs="Times New Roman"/>
          <w:sz w:val="24"/>
          <w:szCs w:val="24"/>
          <w:lang w:val="en-US"/>
        </w:rPr>
        <w:t xml:space="preserve">ve services become increasingly </w:t>
      </w:r>
      <w:r w:rsidRPr="00F753EE">
        <w:rPr>
          <w:rFonts w:ascii="Times New Roman" w:hAnsi="Times New Roman" w:cs="Times New Roman"/>
          <w:sz w:val="24"/>
          <w:szCs w:val="24"/>
          <w:lang w:val="en-US"/>
        </w:rPr>
        <w:t>important for growth, a dynamic SME sector is likely to become even m</w:t>
      </w:r>
      <w:r>
        <w:rPr>
          <w:rFonts w:ascii="Times New Roman" w:hAnsi="Times New Roman" w:cs="Times New Roman"/>
          <w:sz w:val="24"/>
          <w:szCs w:val="24"/>
          <w:lang w:val="en-US"/>
        </w:rPr>
        <w:t xml:space="preserve">ore important, as evidence from </w:t>
      </w:r>
      <w:r w:rsidRPr="00F753EE">
        <w:rPr>
          <w:rFonts w:ascii="Times New Roman" w:hAnsi="Times New Roman" w:cs="Times New Roman"/>
          <w:sz w:val="24"/>
          <w:szCs w:val="24"/>
          <w:lang w:val="en-US"/>
        </w:rPr>
        <w:t>advanced economies suggests.</w:t>
      </w:r>
    </w:p>
    <w:p w:rsidR="00925405" w:rsidRDefault="00925405" w:rsidP="00925405">
      <w:pPr>
        <w:spacing w:line="240" w:lineRule="auto"/>
        <w:jc w:val="both"/>
        <w:rPr>
          <w:rFonts w:ascii="Times New Roman" w:hAnsi="Times New Roman" w:cs="Times New Roman"/>
          <w:sz w:val="24"/>
          <w:szCs w:val="24"/>
          <w:lang w:val="en-US"/>
        </w:rPr>
      </w:pPr>
      <w:r w:rsidRPr="00F753EE">
        <w:rPr>
          <w:rFonts w:ascii="Times New Roman" w:hAnsi="Times New Roman" w:cs="Times New Roman"/>
          <w:sz w:val="24"/>
          <w:szCs w:val="24"/>
          <w:lang w:val="en-US"/>
        </w:rPr>
        <w:t>13. The performance of the services sector has lagged behind competi</w:t>
      </w:r>
      <w:r>
        <w:rPr>
          <w:rFonts w:ascii="Times New Roman" w:hAnsi="Times New Roman" w:cs="Times New Roman"/>
          <w:sz w:val="24"/>
          <w:szCs w:val="24"/>
          <w:lang w:val="en-US"/>
        </w:rPr>
        <w:t xml:space="preserve">tors. Turkey’s services exports </w:t>
      </w:r>
      <w:r w:rsidRPr="00F753EE">
        <w:rPr>
          <w:rFonts w:ascii="Times New Roman" w:hAnsi="Times New Roman" w:cs="Times New Roman"/>
          <w:sz w:val="24"/>
          <w:szCs w:val="24"/>
          <w:lang w:val="en-US"/>
        </w:rPr>
        <w:t>have been sluggish during the last decade, in particular with respect to comme</w:t>
      </w:r>
      <w:r>
        <w:rPr>
          <w:rFonts w:ascii="Times New Roman" w:hAnsi="Times New Roman" w:cs="Times New Roman"/>
          <w:sz w:val="24"/>
          <w:szCs w:val="24"/>
          <w:lang w:val="en-US"/>
        </w:rPr>
        <w:t xml:space="preserve">rcial services excluding travel </w:t>
      </w:r>
      <w:r w:rsidRPr="00F753EE">
        <w:rPr>
          <w:rFonts w:ascii="Times New Roman" w:hAnsi="Times New Roman" w:cs="Times New Roman"/>
          <w:sz w:val="24"/>
          <w:szCs w:val="24"/>
          <w:lang w:val="en-US"/>
        </w:rPr>
        <w:t>and transport services. Exporting competitive products depends not only on ac</w:t>
      </w:r>
      <w:r>
        <w:rPr>
          <w:rFonts w:ascii="Times New Roman" w:hAnsi="Times New Roman" w:cs="Times New Roman"/>
          <w:sz w:val="24"/>
          <w:szCs w:val="24"/>
          <w:lang w:val="en-US"/>
        </w:rPr>
        <w:t xml:space="preserve">cess to raw material inputs but </w:t>
      </w:r>
      <w:r w:rsidRPr="00F753EE">
        <w:rPr>
          <w:rFonts w:ascii="Times New Roman" w:hAnsi="Times New Roman" w:cs="Times New Roman"/>
          <w:sz w:val="24"/>
          <w:szCs w:val="24"/>
          <w:lang w:val="en-US"/>
        </w:rPr>
        <w:t>also on critical services inputs. These include efficient, competitively priced util</w:t>
      </w:r>
      <w:r>
        <w:rPr>
          <w:rFonts w:ascii="Times New Roman" w:hAnsi="Times New Roman" w:cs="Times New Roman"/>
          <w:sz w:val="24"/>
          <w:szCs w:val="24"/>
          <w:lang w:val="en-US"/>
        </w:rPr>
        <w:t xml:space="preserve">ities, cost efficient financial </w:t>
      </w:r>
      <w:r w:rsidRPr="00F753EE">
        <w:rPr>
          <w:rFonts w:ascii="Times New Roman" w:hAnsi="Times New Roman" w:cs="Times New Roman"/>
          <w:sz w:val="24"/>
          <w:szCs w:val="24"/>
          <w:lang w:val="en-US"/>
        </w:rPr>
        <w:t xml:space="preserve">services, and other commercial services. While manufacturing accounts for 72 percent </w:t>
      </w:r>
      <w:r>
        <w:rPr>
          <w:rFonts w:ascii="Times New Roman" w:hAnsi="Times New Roman" w:cs="Times New Roman"/>
          <w:sz w:val="24"/>
          <w:szCs w:val="24"/>
          <w:lang w:val="en-US"/>
        </w:rPr>
        <w:t xml:space="preserve">of the gross value added </w:t>
      </w:r>
      <w:r w:rsidRPr="00F753EE">
        <w:rPr>
          <w:rFonts w:ascii="Times New Roman" w:hAnsi="Times New Roman" w:cs="Times New Roman"/>
          <w:sz w:val="24"/>
          <w:szCs w:val="24"/>
          <w:lang w:val="en-US"/>
        </w:rPr>
        <w:t>in 2007, its share falls considerably when forward and backward linkages to the</w:t>
      </w:r>
      <w:r>
        <w:rPr>
          <w:rFonts w:ascii="Times New Roman" w:hAnsi="Times New Roman" w:cs="Times New Roman"/>
          <w:sz w:val="24"/>
          <w:szCs w:val="24"/>
          <w:lang w:val="en-US"/>
        </w:rPr>
        <w:t xml:space="preserve"> service sector are considered. </w:t>
      </w:r>
      <w:r w:rsidRPr="00F753EE">
        <w:rPr>
          <w:rFonts w:ascii="Times New Roman" w:hAnsi="Times New Roman" w:cs="Times New Roman"/>
          <w:sz w:val="24"/>
          <w:szCs w:val="24"/>
          <w:lang w:val="en-US"/>
        </w:rPr>
        <w:t>This highlights the embedded value of services inputs to manufacturing export</w:t>
      </w:r>
      <w:r>
        <w:rPr>
          <w:rFonts w:ascii="Times New Roman" w:hAnsi="Times New Roman" w:cs="Times New Roman"/>
          <w:sz w:val="24"/>
          <w:szCs w:val="24"/>
          <w:lang w:val="en-US"/>
        </w:rPr>
        <w:t xml:space="preserve">s and underlines the importance </w:t>
      </w:r>
      <w:r w:rsidRPr="00F753EE">
        <w:rPr>
          <w:rFonts w:ascii="Times New Roman" w:hAnsi="Times New Roman" w:cs="Times New Roman"/>
          <w:sz w:val="24"/>
          <w:szCs w:val="24"/>
          <w:lang w:val="en-US"/>
        </w:rPr>
        <w:t xml:space="preserve">of a competitive services industry. Commercial </w:t>
      </w:r>
      <w:r w:rsidR="00E069BB" w:rsidRPr="00F753EE">
        <w:rPr>
          <w:rFonts w:ascii="Times New Roman" w:hAnsi="Times New Roman" w:cs="Times New Roman"/>
          <w:sz w:val="24"/>
          <w:szCs w:val="24"/>
          <w:lang w:val="en-US"/>
        </w:rPr>
        <w:t>services</w:t>
      </w:r>
      <w:r w:rsidRPr="00F753EE">
        <w:rPr>
          <w:rFonts w:ascii="Times New Roman" w:hAnsi="Times New Roman" w:cs="Times New Roman"/>
          <w:sz w:val="24"/>
          <w:szCs w:val="24"/>
          <w:lang w:val="en-US"/>
        </w:rPr>
        <w:t xml:space="preserve"> transport and distrib</w:t>
      </w:r>
      <w:r>
        <w:rPr>
          <w:rFonts w:ascii="Times New Roman" w:hAnsi="Times New Roman" w:cs="Times New Roman"/>
          <w:sz w:val="24"/>
          <w:szCs w:val="24"/>
          <w:lang w:val="en-US"/>
        </w:rPr>
        <w:t xml:space="preserve">ution services are particularly </w:t>
      </w:r>
      <w:r w:rsidRPr="00F753EE">
        <w:rPr>
          <w:rFonts w:ascii="Times New Roman" w:hAnsi="Times New Roman" w:cs="Times New Roman"/>
          <w:sz w:val="24"/>
          <w:szCs w:val="24"/>
          <w:lang w:val="en-US"/>
        </w:rPr>
        <w:t>important. Turkey’s services sector is subject to a wide range of regulatory restr</w:t>
      </w:r>
      <w:r>
        <w:rPr>
          <w:rFonts w:ascii="Times New Roman" w:hAnsi="Times New Roman" w:cs="Times New Roman"/>
          <w:sz w:val="24"/>
          <w:szCs w:val="24"/>
          <w:lang w:val="en-US"/>
        </w:rPr>
        <w:t xml:space="preserve">ictions, including on entry and </w:t>
      </w:r>
      <w:r w:rsidRPr="00F753EE">
        <w:rPr>
          <w:rFonts w:ascii="Times New Roman" w:hAnsi="Times New Roman" w:cs="Times New Roman"/>
          <w:sz w:val="24"/>
          <w:szCs w:val="24"/>
          <w:lang w:val="en-US"/>
        </w:rPr>
        <w:t>price-setting, that hamper competition. A significant decrease in relative regulat</w:t>
      </w:r>
      <w:r>
        <w:rPr>
          <w:rFonts w:ascii="Times New Roman" w:hAnsi="Times New Roman" w:cs="Times New Roman"/>
          <w:sz w:val="24"/>
          <w:szCs w:val="24"/>
          <w:lang w:val="en-US"/>
        </w:rPr>
        <w:t xml:space="preserve">ory restrictiveness in services </w:t>
      </w:r>
      <w:r w:rsidRPr="00F753EE">
        <w:rPr>
          <w:rFonts w:ascii="Times New Roman" w:hAnsi="Times New Roman" w:cs="Times New Roman"/>
          <w:sz w:val="24"/>
          <w:szCs w:val="24"/>
          <w:lang w:val="en-US"/>
        </w:rPr>
        <w:t>is likely to yield substantial gains in value added in servi</w:t>
      </w:r>
      <w:r>
        <w:rPr>
          <w:rFonts w:ascii="Times New Roman" w:hAnsi="Times New Roman" w:cs="Times New Roman"/>
          <w:sz w:val="24"/>
          <w:szCs w:val="24"/>
          <w:lang w:val="en-US"/>
        </w:rPr>
        <w:t xml:space="preserve">ce-intensive industries. Integration with the EU in the </w:t>
      </w:r>
      <w:r w:rsidRPr="00447668">
        <w:rPr>
          <w:rFonts w:ascii="Times New Roman" w:hAnsi="Times New Roman" w:cs="Times New Roman"/>
          <w:sz w:val="24"/>
          <w:szCs w:val="24"/>
          <w:lang w:val="en-US"/>
        </w:rPr>
        <w:t>area of services would also pay off in terms of raising the sector’s competitiveness.</w:t>
      </w:r>
    </w:p>
    <w:p w:rsidR="00925405" w:rsidRPr="00447668"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14. While Turkey has substantially liberalized its trade regime, its use of</w:t>
      </w:r>
      <w:r>
        <w:rPr>
          <w:rFonts w:ascii="Times New Roman" w:hAnsi="Times New Roman" w:cs="Times New Roman"/>
          <w:sz w:val="24"/>
          <w:szCs w:val="24"/>
          <w:lang w:val="en-US"/>
        </w:rPr>
        <w:t xml:space="preserve"> trade policy flexibilities may </w:t>
      </w:r>
      <w:r w:rsidRPr="00447668">
        <w:rPr>
          <w:rFonts w:ascii="Times New Roman" w:hAnsi="Times New Roman" w:cs="Times New Roman"/>
          <w:sz w:val="24"/>
          <w:szCs w:val="24"/>
          <w:lang w:val="en-US"/>
        </w:rPr>
        <w:t xml:space="preserve">negatively affect trade flows and resource allocation. In line with the large </w:t>
      </w:r>
      <w:r>
        <w:rPr>
          <w:rFonts w:ascii="Times New Roman" w:hAnsi="Times New Roman" w:cs="Times New Roman"/>
          <w:sz w:val="24"/>
          <w:szCs w:val="24"/>
          <w:lang w:val="en-US"/>
        </w:rPr>
        <w:t xml:space="preserve">scale and frequent use of trade </w:t>
      </w:r>
      <w:r w:rsidRPr="00447668">
        <w:rPr>
          <w:rFonts w:ascii="Times New Roman" w:hAnsi="Times New Roman" w:cs="Times New Roman"/>
          <w:sz w:val="24"/>
          <w:szCs w:val="24"/>
          <w:lang w:val="en-US"/>
        </w:rPr>
        <w:t>policy flexibilities by many countries, Turkey is also exercising flexibility t</w:t>
      </w:r>
      <w:r>
        <w:rPr>
          <w:rFonts w:ascii="Times New Roman" w:hAnsi="Times New Roman" w:cs="Times New Roman"/>
          <w:sz w:val="24"/>
          <w:szCs w:val="24"/>
          <w:lang w:val="en-US"/>
        </w:rPr>
        <w:t xml:space="preserve">hrough temporary trade barriers </w:t>
      </w:r>
      <w:r w:rsidRPr="00447668">
        <w:rPr>
          <w:rFonts w:ascii="Times New Roman" w:hAnsi="Times New Roman" w:cs="Times New Roman"/>
          <w:sz w:val="24"/>
          <w:szCs w:val="24"/>
          <w:lang w:val="en-US"/>
        </w:rPr>
        <w:t>(TTBs) such as antidumping, safeguards and countervailing duties. The lis</w:t>
      </w:r>
      <w:r>
        <w:rPr>
          <w:rFonts w:ascii="Times New Roman" w:hAnsi="Times New Roman" w:cs="Times New Roman"/>
          <w:sz w:val="24"/>
          <w:szCs w:val="24"/>
          <w:lang w:val="en-US"/>
        </w:rPr>
        <w:t xml:space="preserve">t of major import products that </w:t>
      </w:r>
      <w:r w:rsidRPr="00447668">
        <w:rPr>
          <w:rFonts w:ascii="Times New Roman" w:hAnsi="Times New Roman" w:cs="Times New Roman"/>
          <w:sz w:val="24"/>
          <w:szCs w:val="24"/>
          <w:lang w:val="en-US"/>
        </w:rPr>
        <w:t>are subject to TTBs (including textiles and apparel, metals and electrical</w:t>
      </w:r>
      <w:r>
        <w:rPr>
          <w:rFonts w:ascii="Times New Roman" w:hAnsi="Times New Roman" w:cs="Times New Roman"/>
          <w:sz w:val="24"/>
          <w:szCs w:val="24"/>
          <w:lang w:val="en-US"/>
        </w:rPr>
        <w:t xml:space="preserve"> machinery) presents some cause </w:t>
      </w:r>
      <w:r w:rsidRPr="00447668">
        <w:rPr>
          <w:rFonts w:ascii="Times New Roman" w:hAnsi="Times New Roman" w:cs="Times New Roman"/>
          <w:sz w:val="24"/>
          <w:szCs w:val="24"/>
          <w:lang w:val="en-US"/>
        </w:rPr>
        <w:t>for concern regarding Turkey’s industrial competitiveness, since most of thes</w:t>
      </w:r>
      <w:r>
        <w:rPr>
          <w:rFonts w:ascii="Times New Roman" w:hAnsi="Times New Roman" w:cs="Times New Roman"/>
          <w:sz w:val="24"/>
          <w:szCs w:val="24"/>
          <w:lang w:val="en-US"/>
        </w:rPr>
        <w:t xml:space="preserve">e are applied to key industrial </w:t>
      </w:r>
      <w:r w:rsidRPr="00447668">
        <w:rPr>
          <w:rFonts w:ascii="Times New Roman" w:hAnsi="Times New Roman" w:cs="Times New Roman"/>
          <w:sz w:val="24"/>
          <w:szCs w:val="24"/>
          <w:lang w:val="en-US"/>
        </w:rPr>
        <w:t xml:space="preserve">inputs. New import restrictions on inputs impose higher costs on domestic </w:t>
      </w:r>
      <w:r>
        <w:rPr>
          <w:rFonts w:ascii="Times New Roman" w:hAnsi="Times New Roman" w:cs="Times New Roman"/>
          <w:sz w:val="24"/>
          <w:szCs w:val="24"/>
          <w:lang w:val="en-US"/>
        </w:rPr>
        <w:t xml:space="preserve">downstream industries in Turkey </w:t>
      </w:r>
      <w:r w:rsidRPr="00447668">
        <w:rPr>
          <w:rFonts w:ascii="Times New Roman" w:hAnsi="Times New Roman" w:cs="Times New Roman"/>
          <w:sz w:val="24"/>
          <w:szCs w:val="24"/>
          <w:lang w:val="en-US"/>
        </w:rPr>
        <w:t>and work to decrease the competitiveness of these industries. Moreover, difficu</w:t>
      </w:r>
      <w:r>
        <w:rPr>
          <w:rFonts w:ascii="Times New Roman" w:hAnsi="Times New Roman" w:cs="Times New Roman"/>
          <w:sz w:val="24"/>
          <w:szCs w:val="24"/>
          <w:lang w:val="en-US"/>
        </w:rPr>
        <w:t xml:space="preserve">lty in accessing quality inputs </w:t>
      </w:r>
      <w:r w:rsidRPr="00447668">
        <w:rPr>
          <w:rFonts w:ascii="Times New Roman" w:hAnsi="Times New Roman" w:cs="Times New Roman"/>
          <w:sz w:val="24"/>
          <w:szCs w:val="24"/>
          <w:lang w:val="en-US"/>
        </w:rPr>
        <w:t xml:space="preserve">may also have a potential impact on the quality of exports, as suggested by the </w:t>
      </w:r>
      <w:r>
        <w:rPr>
          <w:rFonts w:ascii="Times New Roman" w:hAnsi="Times New Roman" w:cs="Times New Roman"/>
          <w:sz w:val="24"/>
          <w:szCs w:val="24"/>
          <w:lang w:val="en-US"/>
        </w:rPr>
        <w:t xml:space="preserve">analysis of the determinants </w:t>
      </w:r>
      <w:r w:rsidRPr="00447668">
        <w:rPr>
          <w:rFonts w:ascii="Times New Roman" w:hAnsi="Times New Roman" w:cs="Times New Roman"/>
          <w:sz w:val="24"/>
          <w:szCs w:val="24"/>
          <w:lang w:val="en-US"/>
        </w:rPr>
        <w:t>of export quality. Finally, if the industries further down the value chain a</w:t>
      </w:r>
      <w:r>
        <w:rPr>
          <w:rFonts w:ascii="Times New Roman" w:hAnsi="Times New Roman" w:cs="Times New Roman"/>
          <w:sz w:val="24"/>
          <w:szCs w:val="24"/>
          <w:lang w:val="en-US"/>
        </w:rPr>
        <w:t xml:space="preserve">re also protected by new import </w:t>
      </w:r>
      <w:r w:rsidRPr="00447668">
        <w:rPr>
          <w:rFonts w:ascii="Times New Roman" w:hAnsi="Times New Roman" w:cs="Times New Roman"/>
          <w:sz w:val="24"/>
          <w:szCs w:val="24"/>
          <w:lang w:val="en-US"/>
        </w:rPr>
        <w:t>restrictions, competitiveness suffers through “cascading contingent protection”.</w:t>
      </w:r>
      <w:r>
        <w:rPr>
          <w:rFonts w:ascii="Times New Roman" w:hAnsi="Times New Roman" w:cs="Times New Roman"/>
          <w:sz w:val="24"/>
          <w:szCs w:val="24"/>
          <w:lang w:val="en-US"/>
        </w:rPr>
        <w:t xml:space="preserve"> This potential negative impact </w:t>
      </w:r>
      <w:r w:rsidRPr="00447668">
        <w:rPr>
          <w:rFonts w:ascii="Times New Roman" w:hAnsi="Times New Roman" w:cs="Times New Roman"/>
          <w:sz w:val="24"/>
          <w:szCs w:val="24"/>
          <w:lang w:val="en-US"/>
        </w:rPr>
        <w:t>on competitiveness is largely mitigated by the inward processing regime unde</w:t>
      </w:r>
      <w:r>
        <w:rPr>
          <w:rFonts w:ascii="Times New Roman" w:hAnsi="Times New Roman" w:cs="Times New Roman"/>
          <w:sz w:val="24"/>
          <w:szCs w:val="24"/>
          <w:lang w:val="en-US"/>
        </w:rPr>
        <w:t xml:space="preserve">r which key inputs imported for </w:t>
      </w:r>
      <w:r w:rsidRPr="00447668">
        <w:rPr>
          <w:rFonts w:ascii="Times New Roman" w:hAnsi="Times New Roman" w:cs="Times New Roman"/>
          <w:sz w:val="24"/>
          <w:szCs w:val="24"/>
          <w:lang w:val="en-US"/>
        </w:rPr>
        <w:t>production of exported goods are exempt from trade remedies. In 2013, 44 per</w:t>
      </w:r>
      <w:r>
        <w:rPr>
          <w:rFonts w:ascii="Times New Roman" w:hAnsi="Times New Roman" w:cs="Times New Roman"/>
          <w:sz w:val="24"/>
          <w:szCs w:val="24"/>
          <w:lang w:val="en-US"/>
        </w:rPr>
        <w:t>cent of exports fell under this regime.</w:t>
      </w:r>
    </w:p>
    <w:p w:rsidR="00925405" w:rsidRPr="00447668" w:rsidRDefault="00925405" w:rsidP="00925405">
      <w:pPr>
        <w:spacing w:line="240" w:lineRule="auto"/>
        <w:jc w:val="both"/>
        <w:rPr>
          <w:rFonts w:ascii="Times New Roman" w:hAnsi="Times New Roman" w:cs="Times New Roman"/>
          <w:b/>
          <w:sz w:val="24"/>
          <w:szCs w:val="24"/>
          <w:lang w:val="en-US"/>
        </w:rPr>
      </w:pPr>
      <w:r w:rsidRPr="00447668">
        <w:rPr>
          <w:rFonts w:ascii="Times New Roman" w:hAnsi="Times New Roman" w:cs="Times New Roman"/>
          <w:b/>
          <w:sz w:val="24"/>
          <w:szCs w:val="24"/>
          <w:lang w:val="en-US"/>
        </w:rPr>
        <w:t>An effective policy agenda for competitiveness needs to focus on productivity</w:t>
      </w:r>
    </w:p>
    <w:p w:rsidR="00925405" w:rsidRPr="00447668"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15. Raising export growth to levels that help meet Turkey’s developm</w:t>
      </w:r>
      <w:r>
        <w:rPr>
          <w:rFonts w:ascii="Times New Roman" w:hAnsi="Times New Roman" w:cs="Times New Roman"/>
          <w:sz w:val="24"/>
          <w:szCs w:val="24"/>
          <w:lang w:val="en-US"/>
        </w:rPr>
        <w:t xml:space="preserve">ent goals will require a policy </w:t>
      </w:r>
      <w:r w:rsidRPr="00447668">
        <w:rPr>
          <w:rFonts w:ascii="Times New Roman" w:hAnsi="Times New Roman" w:cs="Times New Roman"/>
          <w:sz w:val="24"/>
          <w:szCs w:val="24"/>
          <w:lang w:val="en-US"/>
        </w:rPr>
        <w:t>agenda that targets sustained further improvements in Turkey’s phy</w:t>
      </w:r>
      <w:r>
        <w:rPr>
          <w:rFonts w:ascii="Times New Roman" w:hAnsi="Times New Roman" w:cs="Times New Roman"/>
          <w:sz w:val="24"/>
          <w:szCs w:val="24"/>
          <w:lang w:val="en-US"/>
        </w:rPr>
        <w:t xml:space="preserve">sical, human, and institutional </w:t>
      </w:r>
      <w:r w:rsidRPr="00447668">
        <w:rPr>
          <w:rFonts w:ascii="Times New Roman" w:hAnsi="Times New Roman" w:cs="Times New Roman"/>
          <w:sz w:val="24"/>
          <w:szCs w:val="24"/>
          <w:lang w:val="en-US"/>
        </w:rPr>
        <w:t>capital. This “asset” foundation of the economy ultimately drives economic development. Boosting the</w:t>
      </w:r>
      <w:r>
        <w:rPr>
          <w:rFonts w:ascii="Times New Roman" w:hAnsi="Times New Roman" w:cs="Times New Roman"/>
          <w:sz w:val="24"/>
          <w:szCs w:val="24"/>
          <w:lang w:val="en-US"/>
        </w:rPr>
        <w:t xml:space="preserve"> </w:t>
      </w:r>
      <w:r w:rsidRPr="00447668">
        <w:rPr>
          <w:rFonts w:ascii="Times New Roman" w:hAnsi="Times New Roman" w:cs="Times New Roman"/>
          <w:sz w:val="24"/>
          <w:szCs w:val="24"/>
          <w:lang w:val="en-US"/>
        </w:rPr>
        <w:t>quality, cost competitiveness and rang</w:t>
      </w:r>
      <w:r>
        <w:rPr>
          <w:rFonts w:ascii="Times New Roman" w:hAnsi="Times New Roman" w:cs="Times New Roman"/>
          <w:sz w:val="24"/>
          <w:szCs w:val="24"/>
          <w:lang w:val="en-US"/>
        </w:rPr>
        <w:t xml:space="preserve">e of exports is mainly the </w:t>
      </w:r>
      <w:r w:rsidRPr="00447668">
        <w:rPr>
          <w:rFonts w:ascii="Times New Roman" w:hAnsi="Times New Roman" w:cs="Times New Roman"/>
          <w:sz w:val="24"/>
          <w:szCs w:val="24"/>
          <w:lang w:val="en-US"/>
        </w:rPr>
        <w:t>result of constant upgrades to the country’s</w:t>
      </w:r>
      <w:r>
        <w:rPr>
          <w:rFonts w:ascii="Times New Roman" w:hAnsi="Times New Roman" w:cs="Times New Roman"/>
          <w:sz w:val="24"/>
          <w:szCs w:val="24"/>
          <w:lang w:val="en-US"/>
        </w:rPr>
        <w:t xml:space="preserve"> </w:t>
      </w:r>
      <w:r w:rsidRPr="00447668">
        <w:rPr>
          <w:rFonts w:ascii="Times New Roman" w:hAnsi="Times New Roman" w:cs="Times New Roman"/>
          <w:sz w:val="24"/>
          <w:szCs w:val="24"/>
          <w:lang w:val="en-US"/>
        </w:rPr>
        <w:t xml:space="preserve">assets. Recent </w:t>
      </w:r>
      <w:r w:rsidRPr="00447668">
        <w:rPr>
          <w:rFonts w:ascii="Times New Roman" w:hAnsi="Times New Roman" w:cs="Times New Roman"/>
          <w:sz w:val="24"/>
          <w:szCs w:val="24"/>
          <w:lang w:val="en-US"/>
        </w:rPr>
        <w:lastRenderedPageBreak/>
        <w:t>cross-country quantitative assessments of the main determinants</w:t>
      </w:r>
      <w:r>
        <w:rPr>
          <w:rFonts w:ascii="Times New Roman" w:hAnsi="Times New Roman" w:cs="Times New Roman"/>
          <w:sz w:val="24"/>
          <w:szCs w:val="24"/>
          <w:lang w:val="en-US"/>
        </w:rPr>
        <w:t xml:space="preserve"> of export diversification show </w:t>
      </w:r>
      <w:r w:rsidRPr="00447668">
        <w:rPr>
          <w:rFonts w:ascii="Times New Roman" w:hAnsi="Times New Roman" w:cs="Times New Roman"/>
          <w:sz w:val="24"/>
          <w:szCs w:val="24"/>
          <w:lang w:val="en-US"/>
        </w:rPr>
        <w:t>that market access, infrastructure, human capital, and the quality of institutio</w:t>
      </w:r>
      <w:r>
        <w:rPr>
          <w:rFonts w:ascii="Times New Roman" w:hAnsi="Times New Roman" w:cs="Times New Roman"/>
          <w:sz w:val="24"/>
          <w:szCs w:val="24"/>
          <w:lang w:val="en-US"/>
        </w:rPr>
        <w:t xml:space="preserve">ns positively and significantly </w:t>
      </w:r>
      <w:r w:rsidRPr="00447668">
        <w:rPr>
          <w:rFonts w:ascii="Times New Roman" w:hAnsi="Times New Roman" w:cs="Times New Roman"/>
          <w:sz w:val="24"/>
          <w:szCs w:val="24"/>
          <w:lang w:val="en-US"/>
        </w:rPr>
        <w:t>affect the level of export diversification most of which are also relevant for the competitivenes</w:t>
      </w:r>
      <w:r>
        <w:rPr>
          <w:rFonts w:ascii="Times New Roman" w:hAnsi="Times New Roman" w:cs="Times New Roman"/>
          <w:sz w:val="24"/>
          <w:szCs w:val="24"/>
          <w:lang w:val="en-US"/>
        </w:rPr>
        <w:t xml:space="preserve">s discussion </w:t>
      </w:r>
      <w:r w:rsidRPr="00447668">
        <w:rPr>
          <w:rFonts w:ascii="Times New Roman" w:hAnsi="Times New Roman" w:cs="Times New Roman"/>
          <w:sz w:val="24"/>
          <w:szCs w:val="24"/>
          <w:lang w:val="en-US"/>
        </w:rPr>
        <w:t>presented in this report.</w:t>
      </w:r>
    </w:p>
    <w:p w:rsidR="00925405" w:rsidRPr="00447668"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16. Upgrading the existing export basket is unlikely to benefit meas</w:t>
      </w:r>
      <w:r>
        <w:rPr>
          <w:rFonts w:ascii="Times New Roman" w:hAnsi="Times New Roman" w:cs="Times New Roman"/>
          <w:sz w:val="24"/>
          <w:szCs w:val="24"/>
          <w:lang w:val="en-US"/>
        </w:rPr>
        <w:t xml:space="preserve">urably from policies that ‘pick </w:t>
      </w:r>
      <w:r w:rsidRPr="00447668">
        <w:rPr>
          <w:rFonts w:ascii="Times New Roman" w:hAnsi="Times New Roman" w:cs="Times New Roman"/>
          <w:sz w:val="24"/>
          <w:szCs w:val="24"/>
          <w:lang w:val="en-US"/>
        </w:rPr>
        <w:t>winners’ among products and sectors. Instead, addressing the factors that</w:t>
      </w:r>
      <w:r>
        <w:rPr>
          <w:rFonts w:ascii="Times New Roman" w:hAnsi="Times New Roman" w:cs="Times New Roman"/>
          <w:sz w:val="24"/>
          <w:szCs w:val="24"/>
          <w:lang w:val="en-US"/>
        </w:rPr>
        <w:t xml:space="preserve"> limit productivity growth will </w:t>
      </w:r>
      <w:r w:rsidRPr="00447668">
        <w:rPr>
          <w:rFonts w:ascii="Times New Roman" w:hAnsi="Times New Roman" w:cs="Times New Roman"/>
          <w:sz w:val="24"/>
          <w:szCs w:val="24"/>
          <w:lang w:val="en-US"/>
        </w:rPr>
        <w:t>be key to success. Consequently, this report prioritizes broader policies tha</w:t>
      </w:r>
      <w:r>
        <w:rPr>
          <w:rFonts w:ascii="Times New Roman" w:hAnsi="Times New Roman" w:cs="Times New Roman"/>
          <w:sz w:val="24"/>
          <w:szCs w:val="24"/>
          <w:lang w:val="en-US"/>
        </w:rPr>
        <w:t xml:space="preserve">t are fundamental for Turkey to </w:t>
      </w:r>
      <w:r w:rsidRPr="00447668">
        <w:rPr>
          <w:rFonts w:ascii="Times New Roman" w:hAnsi="Times New Roman" w:cs="Times New Roman"/>
          <w:sz w:val="24"/>
          <w:szCs w:val="24"/>
          <w:lang w:val="en-US"/>
        </w:rPr>
        <w:t>export its way out of middle-income. Chief among these are policies that: (i</w:t>
      </w:r>
      <w:r>
        <w:rPr>
          <w:rFonts w:ascii="Times New Roman" w:hAnsi="Times New Roman" w:cs="Times New Roman"/>
          <w:sz w:val="24"/>
          <w:szCs w:val="24"/>
          <w:lang w:val="en-US"/>
        </w:rPr>
        <w:t xml:space="preserve">) link the country further with </w:t>
      </w:r>
      <w:r w:rsidRPr="00447668">
        <w:rPr>
          <w:rFonts w:ascii="Times New Roman" w:hAnsi="Times New Roman" w:cs="Times New Roman"/>
          <w:sz w:val="24"/>
          <w:szCs w:val="24"/>
          <w:lang w:val="en-US"/>
        </w:rPr>
        <w:t>international markets, including by helping bring larger inflows of FDI, part</w:t>
      </w:r>
      <w:r>
        <w:rPr>
          <w:rFonts w:ascii="Times New Roman" w:hAnsi="Times New Roman" w:cs="Times New Roman"/>
          <w:sz w:val="24"/>
          <w:szCs w:val="24"/>
          <w:lang w:val="en-US"/>
        </w:rPr>
        <w:t xml:space="preserve">icularly into the manufacturing </w:t>
      </w:r>
      <w:r w:rsidRPr="00447668">
        <w:rPr>
          <w:rFonts w:ascii="Times New Roman" w:hAnsi="Times New Roman" w:cs="Times New Roman"/>
          <w:sz w:val="24"/>
          <w:szCs w:val="24"/>
          <w:lang w:val="en-US"/>
        </w:rPr>
        <w:t>sector; (ii) promote innovation, including by encouraging a large role for pr</w:t>
      </w:r>
      <w:r>
        <w:rPr>
          <w:rFonts w:ascii="Times New Roman" w:hAnsi="Times New Roman" w:cs="Times New Roman"/>
          <w:sz w:val="24"/>
          <w:szCs w:val="24"/>
          <w:lang w:val="en-US"/>
        </w:rPr>
        <w:t xml:space="preserve">ivate companies in research and </w:t>
      </w:r>
      <w:r w:rsidRPr="00447668">
        <w:rPr>
          <w:rFonts w:ascii="Times New Roman" w:hAnsi="Times New Roman" w:cs="Times New Roman"/>
          <w:sz w:val="24"/>
          <w:szCs w:val="24"/>
          <w:lang w:val="en-US"/>
        </w:rPr>
        <w:t>development (R&amp;D); (iii) upgrade the skills both of the existing work force and new entra</w:t>
      </w:r>
      <w:r>
        <w:rPr>
          <w:rFonts w:ascii="Times New Roman" w:hAnsi="Times New Roman" w:cs="Times New Roman"/>
          <w:sz w:val="24"/>
          <w:szCs w:val="24"/>
          <w:lang w:val="en-US"/>
        </w:rPr>
        <w:t xml:space="preserve">nts; and (iv) improve </w:t>
      </w:r>
      <w:r w:rsidRPr="00447668">
        <w:rPr>
          <w:rFonts w:ascii="Times New Roman" w:hAnsi="Times New Roman" w:cs="Times New Roman"/>
          <w:sz w:val="24"/>
          <w:szCs w:val="24"/>
          <w:lang w:val="en-US"/>
        </w:rPr>
        <w:t>access to finance, particularly long-term, with a view to unlock the poten</w:t>
      </w:r>
      <w:r>
        <w:rPr>
          <w:rFonts w:ascii="Times New Roman" w:hAnsi="Times New Roman" w:cs="Times New Roman"/>
          <w:sz w:val="24"/>
          <w:szCs w:val="24"/>
          <w:lang w:val="en-US"/>
        </w:rPr>
        <w:t xml:space="preserve">tial of the dynamic SME sector. </w:t>
      </w:r>
      <w:r w:rsidRPr="00447668">
        <w:rPr>
          <w:rFonts w:ascii="Times New Roman" w:hAnsi="Times New Roman" w:cs="Times New Roman"/>
          <w:sz w:val="24"/>
          <w:szCs w:val="24"/>
          <w:lang w:val="en-US"/>
        </w:rPr>
        <w:t>While these policy areas are the ones most directly relevant for enhancing pr</w:t>
      </w:r>
      <w:r>
        <w:rPr>
          <w:rFonts w:ascii="Times New Roman" w:hAnsi="Times New Roman" w:cs="Times New Roman"/>
          <w:sz w:val="24"/>
          <w:szCs w:val="24"/>
          <w:lang w:val="en-US"/>
        </w:rPr>
        <w:t xml:space="preserve">oductivity and upgrading export </w:t>
      </w:r>
      <w:r w:rsidRPr="00447668">
        <w:rPr>
          <w:rFonts w:ascii="Times New Roman" w:hAnsi="Times New Roman" w:cs="Times New Roman"/>
          <w:sz w:val="24"/>
          <w:szCs w:val="24"/>
          <w:lang w:val="en-US"/>
        </w:rPr>
        <w:t>quality, there are other reforms, particularly in the context of improvements t</w:t>
      </w:r>
      <w:r>
        <w:rPr>
          <w:rFonts w:ascii="Times New Roman" w:hAnsi="Times New Roman" w:cs="Times New Roman"/>
          <w:sz w:val="24"/>
          <w:szCs w:val="24"/>
          <w:lang w:val="en-US"/>
        </w:rPr>
        <w:t xml:space="preserve">o investment climate that would </w:t>
      </w:r>
      <w:r w:rsidRPr="00447668">
        <w:rPr>
          <w:rFonts w:ascii="Times New Roman" w:hAnsi="Times New Roman" w:cs="Times New Roman"/>
          <w:sz w:val="24"/>
          <w:szCs w:val="24"/>
          <w:lang w:val="en-US"/>
        </w:rPr>
        <w:t>also contribute to upgrading the export basket.</w:t>
      </w:r>
    </w:p>
    <w:p w:rsidR="00925405"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17. Technology upgrading, innovation, and experimentation by la</w:t>
      </w:r>
      <w:r>
        <w:rPr>
          <w:rFonts w:ascii="Times New Roman" w:hAnsi="Times New Roman" w:cs="Times New Roman"/>
          <w:sz w:val="24"/>
          <w:szCs w:val="24"/>
          <w:lang w:val="en-US"/>
        </w:rPr>
        <w:t xml:space="preserve">rge and medium-sized firms hold </w:t>
      </w:r>
      <w:r w:rsidRPr="00447668">
        <w:rPr>
          <w:rFonts w:ascii="Times New Roman" w:hAnsi="Times New Roman" w:cs="Times New Roman"/>
          <w:sz w:val="24"/>
          <w:szCs w:val="24"/>
          <w:lang w:val="en-US"/>
        </w:rPr>
        <w:t>the key to upgrading exports. Nominal export growth is important, but ulti</w:t>
      </w:r>
      <w:r>
        <w:rPr>
          <w:rFonts w:ascii="Times New Roman" w:hAnsi="Times New Roman" w:cs="Times New Roman"/>
          <w:sz w:val="24"/>
          <w:szCs w:val="24"/>
          <w:lang w:val="en-US"/>
        </w:rPr>
        <w:t xml:space="preserve">mately it is value added growth </w:t>
      </w:r>
      <w:r w:rsidRPr="00447668">
        <w:rPr>
          <w:rFonts w:ascii="Times New Roman" w:hAnsi="Times New Roman" w:cs="Times New Roman"/>
          <w:sz w:val="24"/>
          <w:szCs w:val="24"/>
          <w:lang w:val="en-US"/>
        </w:rPr>
        <w:t>that matters. Analysis indicates that technology upgrading and absorption is an</w:t>
      </w:r>
      <w:r>
        <w:rPr>
          <w:rFonts w:ascii="Times New Roman" w:hAnsi="Times New Roman" w:cs="Times New Roman"/>
          <w:sz w:val="24"/>
          <w:szCs w:val="24"/>
          <w:lang w:val="en-US"/>
        </w:rPr>
        <w:t xml:space="preserve"> important determinant of value </w:t>
      </w:r>
      <w:r w:rsidRPr="00447668">
        <w:rPr>
          <w:rFonts w:ascii="Times New Roman" w:hAnsi="Times New Roman" w:cs="Times New Roman"/>
          <w:sz w:val="24"/>
          <w:szCs w:val="24"/>
          <w:lang w:val="en-US"/>
        </w:rPr>
        <w:t>added growth and that primary channels for these are FDI, import of inter</w:t>
      </w:r>
      <w:r>
        <w:rPr>
          <w:rFonts w:ascii="Times New Roman" w:hAnsi="Times New Roman" w:cs="Times New Roman"/>
          <w:sz w:val="24"/>
          <w:szCs w:val="24"/>
          <w:lang w:val="en-US"/>
        </w:rPr>
        <w:t xml:space="preserve">mediates and investment in R&amp;D. </w:t>
      </w:r>
      <w:r w:rsidRPr="00447668">
        <w:rPr>
          <w:rFonts w:ascii="Times New Roman" w:hAnsi="Times New Roman" w:cs="Times New Roman"/>
          <w:sz w:val="24"/>
          <w:szCs w:val="24"/>
          <w:lang w:val="en-US"/>
        </w:rPr>
        <w:t>Among other benefits, technology upgrading and absorption allow for the p</w:t>
      </w:r>
      <w:r>
        <w:rPr>
          <w:rFonts w:ascii="Times New Roman" w:hAnsi="Times New Roman" w:cs="Times New Roman"/>
          <w:sz w:val="24"/>
          <w:szCs w:val="24"/>
          <w:lang w:val="en-US"/>
        </w:rPr>
        <w:t xml:space="preserve">roduction of more sophisticated </w:t>
      </w:r>
      <w:r w:rsidRPr="00447668">
        <w:rPr>
          <w:rFonts w:ascii="Times New Roman" w:hAnsi="Times New Roman" w:cs="Times New Roman"/>
          <w:sz w:val="24"/>
          <w:szCs w:val="24"/>
          <w:lang w:val="en-US"/>
        </w:rPr>
        <w:t>and higher quality goods, which generate higher value added. Medium and especially larg</w:t>
      </w:r>
      <w:r>
        <w:rPr>
          <w:rFonts w:ascii="Times New Roman" w:hAnsi="Times New Roman" w:cs="Times New Roman"/>
          <w:sz w:val="24"/>
          <w:szCs w:val="24"/>
          <w:lang w:val="en-US"/>
        </w:rPr>
        <w:t xml:space="preserve">e firms have driven </w:t>
      </w:r>
      <w:r w:rsidRPr="00447668">
        <w:rPr>
          <w:rFonts w:ascii="Times New Roman" w:hAnsi="Times New Roman" w:cs="Times New Roman"/>
          <w:sz w:val="24"/>
          <w:szCs w:val="24"/>
          <w:lang w:val="en-US"/>
        </w:rPr>
        <w:t>product diversification and quality in recent years, and will continue to be in</w:t>
      </w:r>
      <w:r>
        <w:rPr>
          <w:rFonts w:ascii="Times New Roman" w:hAnsi="Times New Roman" w:cs="Times New Roman"/>
          <w:sz w:val="24"/>
          <w:szCs w:val="24"/>
          <w:lang w:val="en-US"/>
        </w:rPr>
        <w:t xml:space="preserve"> the best position to invest in </w:t>
      </w:r>
      <w:r w:rsidRPr="00447668">
        <w:rPr>
          <w:rFonts w:ascii="Times New Roman" w:hAnsi="Times New Roman" w:cs="Times New Roman"/>
          <w:sz w:val="24"/>
          <w:szCs w:val="24"/>
          <w:lang w:val="en-US"/>
        </w:rPr>
        <w:t>research and in innovation more broadly. This will encompass investment</w:t>
      </w:r>
      <w:r>
        <w:rPr>
          <w:rFonts w:ascii="Times New Roman" w:hAnsi="Times New Roman" w:cs="Times New Roman"/>
          <w:sz w:val="24"/>
          <w:szCs w:val="24"/>
          <w:lang w:val="en-US"/>
        </w:rPr>
        <w:t xml:space="preserve"> in R&amp;D to improve capacity for </w:t>
      </w:r>
      <w:r w:rsidRPr="00447668">
        <w:rPr>
          <w:rFonts w:ascii="Times New Roman" w:hAnsi="Times New Roman" w:cs="Times New Roman"/>
          <w:sz w:val="24"/>
          <w:szCs w:val="24"/>
          <w:lang w:val="en-US"/>
        </w:rPr>
        <w:t>innovation and technology absorption. Moreover, there exists significant potenti</w:t>
      </w:r>
      <w:r>
        <w:rPr>
          <w:rFonts w:ascii="Times New Roman" w:hAnsi="Times New Roman" w:cs="Times New Roman"/>
          <w:sz w:val="24"/>
          <w:szCs w:val="24"/>
          <w:lang w:val="en-US"/>
        </w:rPr>
        <w:t xml:space="preserve">al for spillovers of technology </w:t>
      </w:r>
      <w:r w:rsidRPr="00447668">
        <w:rPr>
          <w:rFonts w:ascii="Times New Roman" w:hAnsi="Times New Roman" w:cs="Times New Roman"/>
          <w:sz w:val="24"/>
          <w:szCs w:val="24"/>
          <w:lang w:val="en-US"/>
        </w:rPr>
        <w:t>adoption to SMEs as well as reputation effects from investments in quality an</w:t>
      </w:r>
      <w:r>
        <w:rPr>
          <w:rFonts w:ascii="Times New Roman" w:hAnsi="Times New Roman" w:cs="Times New Roman"/>
          <w:sz w:val="24"/>
          <w:szCs w:val="24"/>
          <w:lang w:val="en-US"/>
        </w:rPr>
        <w:t xml:space="preserve">d branding for Turkey’s leading </w:t>
      </w:r>
      <w:r w:rsidRPr="00447668">
        <w:rPr>
          <w:rFonts w:ascii="Times New Roman" w:hAnsi="Times New Roman" w:cs="Times New Roman"/>
          <w:sz w:val="24"/>
          <w:szCs w:val="24"/>
          <w:lang w:val="en-US"/>
        </w:rPr>
        <w:t>companies. At the same time, it is apparent that Turkey has far from exhauste</w:t>
      </w:r>
      <w:r>
        <w:rPr>
          <w:rFonts w:ascii="Times New Roman" w:hAnsi="Times New Roman" w:cs="Times New Roman"/>
          <w:sz w:val="24"/>
          <w:szCs w:val="24"/>
          <w:lang w:val="en-US"/>
        </w:rPr>
        <w:t xml:space="preserve">d its potential to attract FDI, </w:t>
      </w:r>
      <w:r w:rsidRPr="00447668">
        <w:rPr>
          <w:rFonts w:ascii="Times New Roman" w:hAnsi="Times New Roman" w:cs="Times New Roman"/>
          <w:sz w:val="24"/>
          <w:szCs w:val="24"/>
          <w:lang w:val="en-US"/>
        </w:rPr>
        <w:t>despite the significant increase in inflows over the past decade. A coordinat</w:t>
      </w:r>
      <w:r>
        <w:rPr>
          <w:rFonts w:ascii="Times New Roman" w:hAnsi="Times New Roman" w:cs="Times New Roman"/>
          <w:sz w:val="24"/>
          <w:szCs w:val="24"/>
          <w:lang w:val="en-US"/>
        </w:rPr>
        <w:t xml:space="preserve">ed strategy to make Turkey more </w:t>
      </w:r>
      <w:r w:rsidRPr="00447668">
        <w:rPr>
          <w:rFonts w:ascii="Times New Roman" w:hAnsi="Times New Roman" w:cs="Times New Roman"/>
          <w:sz w:val="24"/>
          <w:szCs w:val="24"/>
          <w:lang w:val="en-US"/>
        </w:rPr>
        <w:t>attractive as an investment destination for multinational companies as well as for innovation b</w:t>
      </w:r>
      <w:r>
        <w:rPr>
          <w:rFonts w:ascii="Times New Roman" w:hAnsi="Times New Roman" w:cs="Times New Roman"/>
          <w:sz w:val="24"/>
          <w:szCs w:val="24"/>
          <w:lang w:val="en-US"/>
        </w:rPr>
        <w:t xml:space="preserve">y domestic </w:t>
      </w:r>
      <w:r w:rsidRPr="00447668">
        <w:rPr>
          <w:rFonts w:ascii="Times New Roman" w:hAnsi="Times New Roman" w:cs="Times New Roman"/>
          <w:sz w:val="24"/>
          <w:szCs w:val="24"/>
          <w:lang w:val="en-US"/>
        </w:rPr>
        <w:t>industry leaders would go a long way towards delivering the upgrading of Turk</w:t>
      </w:r>
      <w:r>
        <w:rPr>
          <w:rFonts w:ascii="Times New Roman" w:hAnsi="Times New Roman" w:cs="Times New Roman"/>
          <w:sz w:val="24"/>
          <w:szCs w:val="24"/>
          <w:lang w:val="en-US"/>
        </w:rPr>
        <w:t xml:space="preserve">ey’s technological capabilities </w:t>
      </w:r>
      <w:r w:rsidRPr="00447668">
        <w:rPr>
          <w:rFonts w:ascii="Times New Roman" w:hAnsi="Times New Roman" w:cs="Times New Roman"/>
          <w:sz w:val="24"/>
          <w:szCs w:val="24"/>
          <w:lang w:val="en-US"/>
        </w:rPr>
        <w:t>to premier league level.</w:t>
      </w:r>
    </w:p>
    <w:p w:rsidR="00925405" w:rsidRPr="00447668"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18. Higher value added exports will require more skilled labor, particular</w:t>
      </w:r>
      <w:r>
        <w:rPr>
          <w:rFonts w:ascii="Times New Roman" w:hAnsi="Times New Roman" w:cs="Times New Roman"/>
          <w:sz w:val="24"/>
          <w:szCs w:val="24"/>
          <w:lang w:val="en-US"/>
        </w:rPr>
        <w:t xml:space="preserve">ly as the global digitalization </w:t>
      </w:r>
      <w:r w:rsidRPr="00447668">
        <w:rPr>
          <w:rFonts w:ascii="Times New Roman" w:hAnsi="Times New Roman" w:cs="Times New Roman"/>
          <w:sz w:val="24"/>
          <w:szCs w:val="24"/>
          <w:lang w:val="en-US"/>
        </w:rPr>
        <w:t>leads to a decline in the relevance of labor-cost advantage. Firms with a higher</w:t>
      </w:r>
      <w:r>
        <w:rPr>
          <w:rFonts w:ascii="Times New Roman" w:hAnsi="Times New Roman" w:cs="Times New Roman"/>
          <w:sz w:val="24"/>
          <w:szCs w:val="24"/>
          <w:lang w:val="en-US"/>
        </w:rPr>
        <w:t xml:space="preserve"> share of staff with university </w:t>
      </w:r>
      <w:r w:rsidRPr="00447668">
        <w:rPr>
          <w:rFonts w:ascii="Times New Roman" w:hAnsi="Times New Roman" w:cs="Times New Roman"/>
          <w:sz w:val="24"/>
          <w:szCs w:val="24"/>
          <w:lang w:val="en-US"/>
        </w:rPr>
        <w:t xml:space="preserve">education and relevant skills tend to show higher productivity, according to </w:t>
      </w:r>
      <w:r>
        <w:rPr>
          <w:rFonts w:ascii="Times New Roman" w:hAnsi="Times New Roman" w:cs="Times New Roman"/>
          <w:sz w:val="24"/>
          <w:szCs w:val="24"/>
          <w:lang w:val="en-US"/>
        </w:rPr>
        <w:t xml:space="preserve">the analysis carried out in the </w:t>
      </w:r>
      <w:r w:rsidRPr="00447668">
        <w:rPr>
          <w:rFonts w:ascii="Times New Roman" w:hAnsi="Times New Roman" w:cs="Times New Roman"/>
          <w:sz w:val="24"/>
          <w:szCs w:val="24"/>
          <w:lang w:val="en-US"/>
        </w:rPr>
        <w:t>Turkey 2010 Investment Climate Assessment (ICA). Survey results show th</w:t>
      </w:r>
      <w:r>
        <w:rPr>
          <w:rFonts w:ascii="Times New Roman" w:hAnsi="Times New Roman" w:cs="Times New Roman"/>
          <w:sz w:val="24"/>
          <w:szCs w:val="24"/>
          <w:lang w:val="en-US"/>
        </w:rPr>
        <w:t xml:space="preserve">at larger firms are in a better </w:t>
      </w:r>
      <w:r w:rsidRPr="00447668">
        <w:rPr>
          <w:rFonts w:ascii="Times New Roman" w:hAnsi="Times New Roman" w:cs="Times New Roman"/>
          <w:sz w:val="24"/>
          <w:szCs w:val="24"/>
          <w:lang w:val="en-US"/>
        </w:rPr>
        <w:t>position to afford skilled staff with university education, which contributes</w:t>
      </w:r>
      <w:r>
        <w:rPr>
          <w:rFonts w:ascii="Times New Roman" w:hAnsi="Times New Roman" w:cs="Times New Roman"/>
          <w:sz w:val="24"/>
          <w:szCs w:val="24"/>
          <w:lang w:val="en-US"/>
        </w:rPr>
        <w:t xml:space="preserve"> to larger firms’ better export </w:t>
      </w:r>
      <w:r w:rsidRPr="00447668">
        <w:rPr>
          <w:rFonts w:ascii="Times New Roman" w:hAnsi="Times New Roman" w:cs="Times New Roman"/>
          <w:sz w:val="24"/>
          <w:szCs w:val="24"/>
          <w:lang w:val="en-US"/>
        </w:rPr>
        <w:t>performance compared to mid-sized firms. A more educated workforce, essential to adop</w:t>
      </w:r>
      <w:r>
        <w:rPr>
          <w:rFonts w:ascii="Times New Roman" w:hAnsi="Times New Roman" w:cs="Times New Roman"/>
          <w:sz w:val="24"/>
          <w:szCs w:val="24"/>
          <w:lang w:val="en-US"/>
        </w:rPr>
        <w:t xml:space="preserve">ting new technology, </w:t>
      </w:r>
      <w:r w:rsidRPr="00447668">
        <w:rPr>
          <w:rFonts w:ascii="Times New Roman" w:hAnsi="Times New Roman" w:cs="Times New Roman"/>
          <w:sz w:val="24"/>
          <w:szCs w:val="24"/>
          <w:lang w:val="en-US"/>
        </w:rPr>
        <w:t>is also likely to attract higher foreign investment into the country, as suggeste</w:t>
      </w:r>
      <w:r>
        <w:rPr>
          <w:rFonts w:ascii="Times New Roman" w:hAnsi="Times New Roman" w:cs="Times New Roman"/>
          <w:sz w:val="24"/>
          <w:szCs w:val="24"/>
          <w:lang w:val="en-US"/>
        </w:rPr>
        <w:t xml:space="preserve">d by the analysis of the global </w:t>
      </w:r>
      <w:r w:rsidRPr="00447668">
        <w:rPr>
          <w:rFonts w:ascii="Times New Roman" w:hAnsi="Times New Roman" w:cs="Times New Roman"/>
          <w:sz w:val="24"/>
          <w:szCs w:val="24"/>
          <w:lang w:val="en-US"/>
        </w:rPr>
        <w:t>value chains. As a result, upgrading the skills set of the workforce is an important element of moving up the</w:t>
      </w:r>
      <w:r>
        <w:rPr>
          <w:rFonts w:ascii="Times New Roman" w:hAnsi="Times New Roman" w:cs="Times New Roman"/>
          <w:sz w:val="24"/>
          <w:szCs w:val="24"/>
          <w:lang w:val="en-US"/>
        </w:rPr>
        <w:t xml:space="preserve"> </w:t>
      </w:r>
      <w:r w:rsidRPr="00447668">
        <w:rPr>
          <w:rFonts w:ascii="Times New Roman" w:hAnsi="Times New Roman" w:cs="Times New Roman"/>
          <w:sz w:val="24"/>
          <w:szCs w:val="24"/>
          <w:lang w:val="en-US"/>
        </w:rPr>
        <w:t>value added ladder in exports. Nearly a quarter of Turkish firms rate the education and skills levels of the</w:t>
      </w:r>
      <w:r>
        <w:rPr>
          <w:rFonts w:ascii="Times New Roman" w:hAnsi="Times New Roman" w:cs="Times New Roman"/>
          <w:sz w:val="24"/>
          <w:szCs w:val="24"/>
          <w:lang w:val="en-US"/>
        </w:rPr>
        <w:t xml:space="preserve"> </w:t>
      </w:r>
      <w:r w:rsidRPr="00447668">
        <w:rPr>
          <w:rFonts w:ascii="Times New Roman" w:hAnsi="Times New Roman" w:cs="Times New Roman"/>
          <w:sz w:val="24"/>
          <w:szCs w:val="24"/>
          <w:lang w:val="en-US"/>
        </w:rPr>
        <w:t>workforce as a major or very severe constraint on operations and growth. The low</w:t>
      </w:r>
      <w:r>
        <w:rPr>
          <w:rFonts w:ascii="Times New Roman" w:hAnsi="Times New Roman" w:cs="Times New Roman"/>
          <w:sz w:val="24"/>
          <w:szCs w:val="24"/>
          <w:lang w:val="en-US"/>
        </w:rPr>
        <w:t xml:space="preserve"> </w:t>
      </w:r>
      <w:r>
        <w:rPr>
          <w:rFonts w:ascii="Times New Roman" w:hAnsi="Times New Roman" w:cs="Times New Roman"/>
          <w:sz w:val="24"/>
          <w:szCs w:val="24"/>
          <w:lang w:val="en-US"/>
        </w:rPr>
        <w:lastRenderedPageBreak/>
        <w:t xml:space="preserve">level of skills of the working </w:t>
      </w:r>
      <w:r w:rsidRPr="00447668">
        <w:rPr>
          <w:rFonts w:ascii="Times New Roman" w:hAnsi="Times New Roman" w:cs="Times New Roman"/>
          <w:sz w:val="24"/>
          <w:szCs w:val="24"/>
          <w:lang w:val="en-US"/>
        </w:rPr>
        <w:t>age population (particularly for women), the increasing demand for skills, an</w:t>
      </w:r>
      <w:r>
        <w:rPr>
          <w:rFonts w:ascii="Times New Roman" w:hAnsi="Times New Roman" w:cs="Times New Roman"/>
          <w:sz w:val="24"/>
          <w:szCs w:val="24"/>
          <w:lang w:val="en-US"/>
        </w:rPr>
        <w:t xml:space="preserve">d the demographic dividend make </w:t>
      </w:r>
      <w:r w:rsidRPr="00447668">
        <w:rPr>
          <w:rFonts w:ascii="Times New Roman" w:hAnsi="Times New Roman" w:cs="Times New Roman"/>
          <w:sz w:val="24"/>
          <w:szCs w:val="24"/>
          <w:lang w:val="en-US"/>
        </w:rPr>
        <w:t>skills particularly relevant in Turkey. Improving the quality of education throu</w:t>
      </w:r>
      <w:r>
        <w:rPr>
          <w:rFonts w:ascii="Times New Roman" w:hAnsi="Times New Roman" w:cs="Times New Roman"/>
          <w:sz w:val="24"/>
          <w:szCs w:val="24"/>
          <w:lang w:val="en-US"/>
        </w:rPr>
        <w:t xml:space="preserve">gh the school cycle is the most </w:t>
      </w:r>
      <w:r w:rsidRPr="00447668">
        <w:rPr>
          <w:rFonts w:ascii="Times New Roman" w:hAnsi="Times New Roman" w:cs="Times New Roman"/>
          <w:sz w:val="24"/>
          <w:szCs w:val="24"/>
          <w:lang w:val="en-US"/>
        </w:rPr>
        <w:t>cost-effective measure to enhance productive employment over the long run. In addi</w:t>
      </w:r>
      <w:r>
        <w:rPr>
          <w:rFonts w:ascii="Times New Roman" w:hAnsi="Times New Roman" w:cs="Times New Roman"/>
          <w:sz w:val="24"/>
          <w:szCs w:val="24"/>
          <w:lang w:val="en-US"/>
        </w:rPr>
        <w:t xml:space="preserve">tion, enhancing the skills </w:t>
      </w:r>
      <w:r w:rsidRPr="00447668">
        <w:rPr>
          <w:rFonts w:ascii="Times New Roman" w:hAnsi="Times New Roman" w:cs="Times New Roman"/>
          <w:sz w:val="24"/>
          <w:szCs w:val="24"/>
          <w:lang w:val="en-US"/>
        </w:rPr>
        <w:t>of the existing labor force is also crucial.</w:t>
      </w:r>
    </w:p>
    <w:p w:rsidR="00925405" w:rsidRPr="00447668"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19. Firms of all size categories perceive access to finance as the</w:t>
      </w:r>
      <w:r>
        <w:rPr>
          <w:rFonts w:ascii="Times New Roman" w:hAnsi="Times New Roman" w:cs="Times New Roman"/>
          <w:sz w:val="24"/>
          <w:szCs w:val="24"/>
          <w:lang w:val="en-US"/>
        </w:rPr>
        <w:t xml:space="preserve"> single most severe obstacle to </w:t>
      </w:r>
      <w:r w:rsidRPr="00447668">
        <w:rPr>
          <w:rFonts w:ascii="Times New Roman" w:hAnsi="Times New Roman" w:cs="Times New Roman"/>
          <w:sz w:val="24"/>
          <w:szCs w:val="24"/>
          <w:lang w:val="en-US"/>
        </w:rPr>
        <w:t>expanding business. Medium-sized firms appear to be particularly affected, wit</w:t>
      </w:r>
      <w:r>
        <w:rPr>
          <w:rFonts w:ascii="Times New Roman" w:hAnsi="Times New Roman" w:cs="Times New Roman"/>
          <w:sz w:val="24"/>
          <w:szCs w:val="24"/>
          <w:lang w:val="en-US"/>
        </w:rPr>
        <w:t xml:space="preserve">h a third of these firms citing </w:t>
      </w:r>
      <w:r w:rsidRPr="00447668">
        <w:rPr>
          <w:rFonts w:ascii="Times New Roman" w:hAnsi="Times New Roman" w:cs="Times New Roman"/>
          <w:sz w:val="24"/>
          <w:szCs w:val="24"/>
          <w:lang w:val="en-US"/>
        </w:rPr>
        <w:t>lack of finance as a constraint. Medium- and long-term financing is particul</w:t>
      </w:r>
      <w:r>
        <w:rPr>
          <w:rFonts w:ascii="Times New Roman" w:hAnsi="Times New Roman" w:cs="Times New Roman"/>
          <w:sz w:val="24"/>
          <w:szCs w:val="24"/>
          <w:lang w:val="en-US"/>
        </w:rPr>
        <w:t xml:space="preserve">arly scarce and high collateral </w:t>
      </w:r>
      <w:r w:rsidRPr="00447668">
        <w:rPr>
          <w:rFonts w:ascii="Times New Roman" w:hAnsi="Times New Roman" w:cs="Times New Roman"/>
          <w:sz w:val="24"/>
          <w:szCs w:val="24"/>
          <w:lang w:val="en-US"/>
        </w:rPr>
        <w:t>requirements or credit rejection rates prevent many SMEs from realizing investm</w:t>
      </w:r>
      <w:r>
        <w:rPr>
          <w:rFonts w:ascii="Times New Roman" w:hAnsi="Times New Roman" w:cs="Times New Roman"/>
          <w:sz w:val="24"/>
          <w:szCs w:val="24"/>
          <w:lang w:val="en-US"/>
        </w:rPr>
        <w:t xml:space="preserve">ents to upgrade or expand their </w:t>
      </w:r>
      <w:r w:rsidRPr="00447668">
        <w:rPr>
          <w:rFonts w:ascii="Times New Roman" w:hAnsi="Times New Roman" w:cs="Times New Roman"/>
          <w:sz w:val="24"/>
          <w:szCs w:val="24"/>
          <w:lang w:val="en-US"/>
        </w:rPr>
        <w:t xml:space="preserve">facilities. The access of SMEs to long-term finance can be improved through </w:t>
      </w:r>
      <w:r>
        <w:rPr>
          <w:rFonts w:ascii="Times New Roman" w:hAnsi="Times New Roman" w:cs="Times New Roman"/>
          <w:sz w:val="24"/>
          <w:szCs w:val="24"/>
          <w:lang w:val="en-US"/>
        </w:rPr>
        <w:t xml:space="preserve">consistently stability-oriented </w:t>
      </w:r>
      <w:r w:rsidRPr="00447668">
        <w:rPr>
          <w:rFonts w:ascii="Times New Roman" w:hAnsi="Times New Roman" w:cs="Times New Roman"/>
          <w:sz w:val="24"/>
          <w:szCs w:val="24"/>
          <w:lang w:val="en-US"/>
        </w:rPr>
        <w:t>macroeconomic policy and reforms of the institutional environment for credi</w:t>
      </w:r>
      <w:r>
        <w:rPr>
          <w:rFonts w:ascii="Times New Roman" w:hAnsi="Times New Roman" w:cs="Times New Roman"/>
          <w:sz w:val="24"/>
          <w:szCs w:val="24"/>
          <w:lang w:val="en-US"/>
        </w:rPr>
        <w:t xml:space="preserve">t markets, including insolvency </w:t>
      </w:r>
      <w:r w:rsidRPr="00447668">
        <w:rPr>
          <w:rFonts w:ascii="Times New Roman" w:hAnsi="Times New Roman" w:cs="Times New Roman"/>
          <w:sz w:val="24"/>
          <w:szCs w:val="24"/>
          <w:lang w:val="en-US"/>
        </w:rPr>
        <w:t>legislation and a more efficient framework for secured transactions. The abili</w:t>
      </w:r>
      <w:r>
        <w:rPr>
          <w:rFonts w:ascii="Times New Roman" w:hAnsi="Times New Roman" w:cs="Times New Roman"/>
          <w:sz w:val="24"/>
          <w:szCs w:val="24"/>
          <w:lang w:val="en-US"/>
        </w:rPr>
        <w:t xml:space="preserve">ty of financial institutions to </w:t>
      </w:r>
      <w:r w:rsidRPr="00447668">
        <w:rPr>
          <w:rFonts w:ascii="Times New Roman" w:hAnsi="Times New Roman" w:cs="Times New Roman"/>
          <w:sz w:val="24"/>
          <w:szCs w:val="24"/>
          <w:lang w:val="en-US"/>
        </w:rPr>
        <w:t>assess the creditworthiness of SMEs can be supported through improved cre</w:t>
      </w:r>
      <w:r>
        <w:rPr>
          <w:rFonts w:ascii="Times New Roman" w:hAnsi="Times New Roman" w:cs="Times New Roman"/>
          <w:sz w:val="24"/>
          <w:szCs w:val="24"/>
          <w:lang w:val="en-US"/>
        </w:rPr>
        <w:t xml:space="preserve">dit information, enforcement of </w:t>
      </w:r>
      <w:r w:rsidRPr="00447668">
        <w:rPr>
          <w:rFonts w:ascii="Times New Roman" w:hAnsi="Times New Roman" w:cs="Times New Roman"/>
          <w:sz w:val="24"/>
          <w:szCs w:val="24"/>
          <w:lang w:val="en-US"/>
        </w:rPr>
        <w:t>transparent financial reporting standards and technical assistance to improve</w:t>
      </w:r>
      <w:r>
        <w:rPr>
          <w:rFonts w:ascii="Times New Roman" w:hAnsi="Times New Roman" w:cs="Times New Roman"/>
          <w:sz w:val="24"/>
          <w:szCs w:val="24"/>
          <w:lang w:val="en-US"/>
        </w:rPr>
        <w:t xml:space="preserve"> the ability of SMEs to present </w:t>
      </w:r>
      <w:r w:rsidRPr="00447668">
        <w:rPr>
          <w:rFonts w:ascii="Times New Roman" w:hAnsi="Times New Roman" w:cs="Times New Roman"/>
          <w:sz w:val="24"/>
          <w:szCs w:val="24"/>
          <w:lang w:val="en-US"/>
        </w:rPr>
        <w:t>investment and business plans. Leasing products and private equity are also po</w:t>
      </w:r>
      <w:r>
        <w:rPr>
          <w:rFonts w:ascii="Times New Roman" w:hAnsi="Times New Roman" w:cs="Times New Roman"/>
          <w:sz w:val="24"/>
          <w:szCs w:val="24"/>
          <w:lang w:val="en-US"/>
        </w:rPr>
        <w:t xml:space="preserve">tential instruments which could </w:t>
      </w:r>
      <w:r w:rsidRPr="00447668">
        <w:rPr>
          <w:rFonts w:ascii="Times New Roman" w:hAnsi="Times New Roman" w:cs="Times New Roman"/>
          <w:sz w:val="24"/>
          <w:szCs w:val="24"/>
          <w:lang w:val="en-US"/>
        </w:rPr>
        <w:t>better serve SMEs’ financing needs.</w:t>
      </w:r>
    </w:p>
    <w:p w:rsidR="00925405" w:rsidRDefault="00925405" w:rsidP="00925405">
      <w:pPr>
        <w:spacing w:line="240" w:lineRule="auto"/>
        <w:jc w:val="both"/>
        <w:rPr>
          <w:rFonts w:ascii="Times New Roman" w:hAnsi="Times New Roman" w:cs="Times New Roman"/>
          <w:sz w:val="24"/>
          <w:szCs w:val="24"/>
          <w:lang w:val="en-US"/>
        </w:rPr>
      </w:pPr>
      <w:r w:rsidRPr="00447668">
        <w:rPr>
          <w:rFonts w:ascii="Times New Roman" w:hAnsi="Times New Roman" w:cs="Times New Roman"/>
          <w:sz w:val="24"/>
          <w:szCs w:val="24"/>
          <w:lang w:val="en-US"/>
        </w:rPr>
        <w:t>20. The following table provides more specific policy recommendations, so</w:t>
      </w:r>
      <w:r>
        <w:rPr>
          <w:rFonts w:ascii="Times New Roman" w:hAnsi="Times New Roman" w:cs="Times New Roman"/>
          <w:sz w:val="24"/>
          <w:szCs w:val="24"/>
          <w:lang w:val="en-US"/>
        </w:rPr>
        <w:t xml:space="preserve">me of which rely on other World </w:t>
      </w:r>
      <w:r w:rsidRPr="00447668">
        <w:rPr>
          <w:rFonts w:ascii="Times New Roman" w:hAnsi="Times New Roman" w:cs="Times New Roman"/>
          <w:sz w:val="24"/>
          <w:szCs w:val="24"/>
          <w:lang w:val="en-US"/>
        </w:rPr>
        <w:t>Bank studies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b/>
          <w:sz w:val="24"/>
          <w:szCs w:val="24"/>
          <w:lang w:val="en-US"/>
        </w:rPr>
      </w:pPr>
      <w:r w:rsidRPr="001E0B11">
        <w:rPr>
          <w:rFonts w:ascii="Times New Roman" w:hAnsi="Times New Roman" w:cs="Times New Roman"/>
          <w:b/>
          <w:sz w:val="24"/>
          <w:szCs w:val="24"/>
          <w:lang w:val="en-US"/>
        </w:rPr>
        <w:t>2. Exports, Exporters and Partners</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11. Turkey’s export performance over the last decade has been strong. Duri</w:t>
      </w:r>
      <w:r>
        <w:rPr>
          <w:rFonts w:ascii="Times New Roman" w:hAnsi="Times New Roman" w:cs="Times New Roman"/>
          <w:sz w:val="24"/>
          <w:szCs w:val="24"/>
          <w:lang w:val="en-US"/>
        </w:rPr>
        <w:t xml:space="preserve">ng this period, Turkish </w:t>
      </w:r>
      <w:r w:rsidRPr="001E0B11">
        <w:rPr>
          <w:rFonts w:ascii="Times New Roman" w:hAnsi="Times New Roman" w:cs="Times New Roman"/>
          <w:sz w:val="24"/>
          <w:szCs w:val="24"/>
          <w:lang w:val="en-US"/>
        </w:rPr>
        <w:t>exports gained an increasingly bigger share of the global import demand, up fr</w:t>
      </w:r>
      <w:r>
        <w:rPr>
          <w:rFonts w:ascii="Times New Roman" w:hAnsi="Times New Roman" w:cs="Times New Roman"/>
          <w:sz w:val="24"/>
          <w:szCs w:val="24"/>
          <w:lang w:val="en-US"/>
        </w:rPr>
        <w:t xml:space="preserve">om 0.55 percent in 2002 to 0.83 </w:t>
      </w:r>
      <w:r w:rsidRPr="001E0B11">
        <w:rPr>
          <w:rFonts w:ascii="Times New Roman" w:hAnsi="Times New Roman" w:cs="Times New Roman"/>
          <w:sz w:val="24"/>
          <w:szCs w:val="24"/>
          <w:lang w:val="en-US"/>
        </w:rPr>
        <w:t>percent in 2012. Market diversification towards non-traditional markets, par</w:t>
      </w:r>
      <w:r>
        <w:rPr>
          <w:rFonts w:ascii="Times New Roman" w:hAnsi="Times New Roman" w:cs="Times New Roman"/>
          <w:sz w:val="24"/>
          <w:szCs w:val="24"/>
          <w:lang w:val="en-US"/>
        </w:rPr>
        <w:t xml:space="preserve">ticularly at a time when the EU </w:t>
      </w:r>
      <w:r w:rsidRPr="001E0B11">
        <w:rPr>
          <w:rFonts w:ascii="Times New Roman" w:hAnsi="Times New Roman" w:cs="Times New Roman"/>
          <w:sz w:val="24"/>
          <w:szCs w:val="24"/>
          <w:lang w:val="en-US"/>
        </w:rPr>
        <w:t xml:space="preserve">suffered from weak demand, paid off. At the same time, the shift in the product </w:t>
      </w:r>
      <w:r>
        <w:rPr>
          <w:rFonts w:ascii="Times New Roman" w:hAnsi="Times New Roman" w:cs="Times New Roman"/>
          <w:sz w:val="24"/>
          <w:szCs w:val="24"/>
          <w:lang w:val="en-US"/>
        </w:rPr>
        <w:t xml:space="preserve">composition led to an increased </w:t>
      </w:r>
      <w:r w:rsidRPr="001E0B11">
        <w:rPr>
          <w:rFonts w:ascii="Times New Roman" w:hAnsi="Times New Roman" w:cs="Times New Roman"/>
          <w:sz w:val="24"/>
          <w:szCs w:val="24"/>
          <w:lang w:val="en-US"/>
        </w:rPr>
        <w:t xml:space="preserve">level of sophistication. Moreover, the quality of Turkish exports also </w:t>
      </w:r>
      <w:r>
        <w:rPr>
          <w:rFonts w:ascii="Times New Roman" w:hAnsi="Times New Roman" w:cs="Times New Roman"/>
          <w:sz w:val="24"/>
          <w:szCs w:val="24"/>
          <w:lang w:val="en-US"/>
        </w:rPr>
        <w:t xml:space="preserve">improved. The country developed </w:t>
      </w:r>
      <w:r w:rsidRPr="001E0B11">
        <w:rPr>
          <w:rFonts w:ascii="Times New Roman" w:hAnsi="Times New Roman" w:cs="Times New Roman"/>
          <w:sz w:val="24"/>
          <w:szCs w:val="24"/>
          <w:lang w:val="en-US"/>
        </w:rPr>
        <w:t xml:space="preserve">revealed comparative advantage in new products such as road vehicles and on </w:t>
      </w:r>
      <w:r>
        <w:rPr>
          <w:rFonts w:ascii="Times New Roman" w:hAnsi="Times New Roman" w:cs="Times New Roman"/>
          <w:sz w:val="24"/>
          <w:szCs w:val="24"/>
          <w:lang w:val="en-US"/>
        </w:rPr>
        <w:t xml:space="preserve">the whole demonstrated a larger </w:t>
      </w:r>
      <w:r w:rsidRPr="001E0B11">
        <w:rPr>
          <w:rFonts w:ascii="Times New Roman" w:hAnsi="Times New Roman" w:cs="Times New Roman"/>
          <w:sz w:val="24"/>
          <w:szCs w:val="24"/>
          <w:lang w:val="en-US"/>
        </w:rPr>
        <w:t>degree of export diversification than many of its Brazil, Russia, India, China and South Africa (BRICS) peers.</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12. What countries produce and how they produce it matters for export growth. Simply put, to</w:t>
      </w:r>
      <w:r>
        <w:rPr>
          <w:rFonts w:ascii="Times New Roman" w:hAnsi="Times New Roman" w:cs="Times New Roman"/>
          <w:sz w:val="24"/>
          <w:szCs w:val="24"/>
          <w:lang w:val="en-US"/>
        </w:rPr>
        <w:t xml:space="preserve"> ascend </w:t>
      </w:r>
      <w:r w:rsidRPr="001E0B11">
        <w:rPr>
          <w:rFonts w:ascii="Times New Roman" w:hAnsi="Times New Roman" w:cs="Times New Roman"/>
          <w:sz w:val="24"/>
          <w:szCs w:val="24"/>
          <w:lang w:val="en-US"/>
        </w:rPr>
        <w:t xml:space="preserve">to high income status, Turkey needs to shift into producing and trading more </w:t>
      </w:r>
      <w:r>
        <w:rPr>
          <w:rFonts w:ascii="Times New Roman" w:hAnsi="Times New Roman" w:cs="Times New Roman"/>
          <w:sz w:val="24"/>
          <w:szCs w:val="24"/>
          <w:lang w:val="en-US"/>
        </w:rPr>
        <w:t xml:space="preserve">high income goods and services, </w:t>
      </w:r>
      <w:r w:rsidRPr="001E0B11">
        <w:rPr>
          <w:rFonts w:ascii="Times New Roman" w:hAnsi="Times New Roman" w:cs="Times New Roman"/>
          <w:sz w:val="24"/>
          <w:szCs w:val="24"/>
          <w:lang w:val="en-US"/>
        </w:rPr>
        <w:t>and perhaps even more importantly, move up the value chain in those sectors in which it is already specialized.</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Over the past decade, while Turkey dramatically increased its medium-tech</w:t>
      </w:r>
      <w:r>
        <w:rPr>
          <w:rFonts w:ascii="Times New Roman" w:hAnsi="Times New Roman" w:cs="Times New Roman"/>
          <w:sz w:val="24"/>
          <w:szCs w:val="24"/>
          <w:lang w:val="en-US"/>
        </w:rPr>
        <w:t xml:space="preserve">nology exports, the increase in </w:t>
      </w:r>
      <w:r w:rsidRPr="001E0B11">
        <w:rPr>
          <w:rFonts w:ascii="Times New Roman" w:hAnsi="Times New Roman" w:cs="Times New Roman"/>
          <w:sz w:val="24"/>
          <w:szCs w:val="24"/>
          <w:lang w:val="en-US"/>
        </w:rPr>
        <w:t>its high-tech exports was not as strong. Furthermore, the quality ranking of</w:t>
      </w:r>
      <w:r w:rsidR="00E069BB">
        <w:rPr>
          <w:rFonts w:ascii="Times New Roman" w:hAnsi="Times New Roman" w:cs="Times New Roman"/>
          <w:sz w:val="24"/>
          <w:szCs w:val="24"/>
          <w:lang w:val="en-US"/>
        </w:rPr>
        <w:t xml:space="preserve"> Turkish exports remained low -especially in EU markets-</w:t>
      </w:r>
      <w:r w:rsidRPr="001E0B11">
        <w:rPr>
          <w:rFonts w:ascii="Times New Roman" w:hAnsi="Times New Roman" w:cs="Times New Roman"/>
          <w:sz w:val="24"/>
          <w:szCs w:val="24"/>
          <w:lang w:val="en-US"/>
        </w:rPr>
        <w:t xml:space="preserve"> despite significant improvements of late.</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13. Turkey’s good export performance has not been shared widely acro</w:t>
      </w:r>
      <w:r>
        <w:rPr>
          <w:rFonts w:ascii="Times New Roman" w:hAnsi="Times New Roman" w:cs="Times New Roman"/>
          <w:sz w:val="24"/>
          <w:szCs w:val="24"/>
          <w:lang w:val="en-US"/>
        </w:rPr>
        <w:t xml:space="preserve">ss the spectrum of firms. While </w:t>
      </w:r>
      <w:r w:rsidRPr="001E0B11">
        <w:rPr>
          <w:rFonts w:ascii="Times New Roman" w:hAnsi="Times New Roman" w:cs="Times New Roman"/>
          <w:sz w:val="24"/>
          <w:szCs w:val="24"/>
          <w:lang w:val="en-US"/>
        </w:rPr>
        <w:t>the number of mid-sized firms increased during 2003-08, their contribution to exports decreased significantly.</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The analysis suggests the underlying cause is the low and declining productivity for this group of firms. This</w:t>
      </w:r>
      <w:r>
        <w:rPr>
          <w:rFonts w:ascii="Times New Roman" w:hAnsi="Times New Roman" w:cs="Times New Roman"/>
          <w:sz w:val="24"/>
          <w:szCs w:val="24"/>
          <w:lang w:val="en-US"/>
        </w:rPr>
        <w:t xml:space="preserve"> </w:t>
      </w:r>
      <w:r w:rsidRPr="001E0B11">
        <w:rPr>
          <w:rFonts w:ascii="Times New Roman" w:hAnsi="Times New Roman" w:cs="Times New Roman"/>
          <w:sz w:val="24"/>
          <w:szCs w:val="24"/>
          <w:lang w:val="en-US"/>
        </w:rPr>
        <w:t>weak performance is likely to be a result of significant barriers, such as a taxing regulatory environment, which</w:t>
      </w:r>
      <w:r>
        <w:rPr>
          <w:rFonts w:ascii="Times New Roman" w:hAnsi="Times New Roman" w:cs="Times New Roman"/>
          <w:sz w:val="24"/>
          <w:szCs w:val="24"/>
          <w:lang w:val="en-US"/>
        </w:rPr>
        <w:t xml:space="preserve"> </w:t>
      </w:r>
      <w:r w:rsidRPr="001E0B11">
        <w:rPr>
          <w:rFonts w:ascii="Times New Roman" w:hAnsi="Times New Roman" w:cs="Times New Roman"/>
          <w:sz w:val="24"/>
          <w:szCs w:val="24"/>
          <w:lang w:val="en-US"/>
        </w:rPr>
        <w:t xml:space="preserve">disproportionately affect mid-sized </w:t>
      </w:r>
      <w:r w:rsidRPr="001E0B11">
        <w:rPr>
          <w:rFonts w:ascii="Times New Roman" w:hAnsi="Times New Roman" w:cs="Times New Roman"/>
          <w:sz w:val="24"/>
          <w:szCs w:val="24"/>
          <w:lang w:val="en-US"/>
        </w:rPr>
        <w:lastRenderedPageBreak/>
        <w:t>firms. Spreading export success more wide</w:t>
      </w:r>
      <w:r>
        <w:rPr>
          <w:rFonts w:ascii="Times New Roman" w:hAnsi="Times New Roman" w:cs="Times New Roman"/>
          <w:sz w:val="24"/>
          <w:szCs w:val="24"/>
          <w:lang w:val="en-US"/>
        </w:rPr>
        <w:t xml:space="preserve">ly will be key to boosting </w:t>
      </w:r>
      <w:r w:rsidRPr="001E0B11">
        <w:rPr>
          <w:rFonts w:ascii="Times New Roman" w:hAnsi="Times New Roman" w:cs="Times New Roman"/>
          <w:sz w:val="24"/>
          <w:szCs w:val="24"/>
          <w:lang w:val="en-US"/>
        </w:rPr>
        <w:t>export growth on the extensive margin going forward.</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 xml:space="preserve">14. This chapter starts with a snapshot of Turkey’s exports and </w:t>
      </w:r>
      <w:r>
        <w:rPr>
          <w:rFonts w:ascii="Times New Roman" w:hAnsi="Times New Roman" w:cs="Times New Roman"/>
          <w:sz w:val="24"/>
          <w:szCs w:val="24"/>
          <w:lang w:val="en-US"/>
        </w:rPr>
        <w:t xml:space="preserve">exporters with a focus on three </w:t>
      </w:r>
      <w:r w:rsidRPr="001E0B11">
        <w:rPr>
          <w:rFonts w:ascii="Times New Roman" w:hAnsi="Times New Roman" w:cs="Times New Roman"/>
          <w:sz w:val="24"/>
          <w:szCs w:val="24"/>
          <w:lang w:val="en-US"/>
        </w:rPr>
        <w:t>dimensions; markets, sectors (products) and firms. The chapter introduce</w:t>
      </w:r>
      <w:r>
        <w:rPr>
          <w:rFonts w:ascii="Times New Roman" w:hAnsi="Times New Roman" w:cs="Times New Roman"/>
          <w:sz w:val="24"/>
          <w:szCs w:val="24"/>
          <w:lang w:val="en-US"/>
        </w:rPr>
        <w:t xml:space="preserve">s the concepts of trade margin, </w:t>
      </w:r>
      <w:r w:rsidRPr="001E0B11">
        <w:rPr>
          <w:rFonts w:ascii="Times New Roman" w:hAnsi="Times New Roman" w:cs="Times New Roman"/>
          <w:sz w:val="24"/>
          <w:szCs w:val="24"/>
          <w:lang w:val="en-US"/>
        </w:rPr>
        <w:t>export sophistication and export quality before proceeding to assess Tur</w:t>
      </w:r>
      <w:r>
        <w:rPr>
          <w:rFonts w:ascii="Times New Roman" w:hAnsi="Times New Roman" w:cs="Times New Roman"/>
          <w:sz w:val="24"/>
          <w:szCs w:val="24"/>
          <w:lang w:val="en-US"/>
        </w:rPr>
        <w:t xml:space="preserve">key’s export competitiveness as </w:t>
      </w:r>
      <w:r w:rsidRPr="001E0B11">
        <w:rPr>
          <w:rFonts w:ascii="Times New Roman" w:hAnsi="Times New Roman" w:cs="Times New Roman"/>
          <w:sz w:val="24"/>
          <w:szCs w:val="24"/>
          <w:lang w:val="en-US"/>
        </w:rPr>
        <w:t>measured by these indicators. Agriculture trade is then discussed in mor</w:t>
      </w:r>
      <w:r>
        <w:rPr>
          <w:rFonts w:ascii="Times New Roman" w:hAnsi="Times New Roman" w:cs="Times New Roman"/>
          <w:sz w:val="24"/>
          <w:szCs w:val="24"/>
          <w:lang w:val="en-US"/>
        </w:rPr>
        <w:t xml:space="preserve">e detail. The chapter ends with </w:t>
      </w:r>
      <w:r w:rsidRPr="001E0B11">
        <w:rPr>
          <w:rFonts w:ascii="Times New Roman" w:hAnsi="Times New Roman" w:cs="Times New Roman"/>
          <w:sz w:val="24"/>
          <w:szCs w:val="24"/>
          <w:lang w:val="en-US"/>
        </w:rPr>
        <w:t>introducing the p</w:t>
      </w:r>
      <w:r w:rsidR="00E069BB">
        <w:rPr>
          <w:rFonts w:ascii="Times New Roman" w:hAnsi="Times New Roman" w:cs="Times New Roman"/>
          <w:sz w:val="24"/>
          <w:szCs w:val="24"/>
          <w:lang w:val="en-US"/>
        </w:rPr>
        <w:t>roblem of “the missing middle” -</w:t>
      </w:r>
      <w:r w:rsidRPr="001E0B11">
        <w:rPr>
          <w:rFonts w:ascii="Times New Roman" w:hAnsi="Times New Roman" w:cs="Times New Roman"/>
          <w:sz w:val="24"/>
          <w:szCs w:val="24"/>
          <w:lang w:val="en-US"/>
        </w:rPr>
        <w:t xml:space="preserve"> i.e., the underperformance </w:t>
      </w:r>
      <w:r>
        <w:rPr>
          <w:rFonts w:ascii="Times New Roman" w:hAnsi="Times New Roman" w:cs="Times New Roman"/>
          <w:sz w:val="24"/>
          <w:szCs w:val="24"/>
          <w:lang w:val="en-US"/>
        </w:rPr>
        <w:t xml:space="preserve">of mid-sized firms according to </w:t>
      </w:r>
      <w:r w:rsidRPr="001E0B11">
        <w:rPr>
          <w:rFonts w:ascii="Times New Roman" w:hAnsi="Times New Roman" w:cs="Times New Roman"/>
          <w:sz w:val="24"/>
          <w:szCs w:val="24"/>
          <w:lang w:val="en-US"/>
        </w:rPr>
        <w:t>their contribution to exports, driven by low and declining productivity.</w:t>
      </w:r>
    </w:p>
    <w:p w:rsidR="00925405" w:rsidRPr="001E0B11"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Overvie</w:t>
      </w:r>
      <w:r w:rsidRPr="001E0B11">
        <w:rPr>
          <w:rFonts w:ascii="Times New Roman" w:hAnsi="Times New Roman" w:cs="Times New Roman"/>
          <w:b/>
          <w:sz w:val="24"/>
          <w:szCs w:val="24"/>
          <w:lang w:val="en-US"/>
        </w:rPr>
        <w:t>w of Exports</w:t>
      </w:r>
    </w:p>
    <w:p w:rsidR="00925405"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15. Exports grew rapidly after 2001, with a temporary decline in 2009.</w:t>
      </w:r>
      <w:r>
        <w:rPr>
          <w:rFonts w:ascii="Times New Roman" w:hAnsi="Times New Roman" w:cs="Times New Roman"/>
          <w:sz w:val="24"/>
          <w:szCs w:val="24"/>
          <w:lang w:val="en-US"/>
        </w:rPr>
        <w:t xml:space="preserve"> Exports grew at a double digit </w:t>
      </w:r>
      <w:r w:rsidRPr="001E0B11">
        <w:rPr>
          <w:rFonts w:ascii="Times New Roman" w:hAnsi="Times New Roman" w:cs="Times New Roman"/>
          <w:sz w:val="24"/>
          <w:szCs w:val="24"/>
          <w:lang w:val="en-US"/>
        </w:rPr>
        <w:t>rate every year until the global financial crisis in 2009. Following a declin</w:t>
      </w:r>
      <w:r>
        <w:rPr>
          <w:rFonts w:ascii="Times New Roman" w:hAnsi="Times New Roman" w:cs="Times New Roman"/>
          <w:sz w:val="24"/>
          <w:szCs w:val="24"/>
          <w:lang w:val="en-US"/>
        </w:rPr>
        <w:t xml:space="preserve">e of one-fifth in 2009, exports </w:t>
      </w:r>
      <w:r w:rsidRPr="001E0B11">
        <w:rPr>
          <w:rFonts w:ascii="Times New Roman" w:hAnsi="Times New Roman" w:cs="Times New Roman"/>
          <w:sz w:val="24"/>
          <w:szCs w:val="24"/>
          <w:lang w:val="en-US"/>
        </w:rPr>
        <w:t>recovered in 2010 and accelerated in 2011-12, moving well beyond the 2</w:t>
      </w:r>
      <w:r>
        <w:rPr>
          <w:rFonts w:ascii="Times New Roman" w:hAnsi="Times New Roman" w:cs="Times New Roman"/>
          <w:sz w:val="24"/>
          <w:szCs w:val="24"/>
          <w:lang w:val="en-US"/>
        </w:rPr>
        <w:t>008 peak and passing the US$</w:t>
      </w:r>
      <w:r w:rsidR="00E069B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150 </w:t>
      </w:r>
      <w:r w:rsidRPr="001E0B11">
        <w:rPr>
          <w:rFonts w:ascii="Times New Roman" w:hAnsi="Times New Roman" w:cs="Times New Roman"/>
          <w:sz w:val="24"/>
          <w:szCs w:val="24"/>
          <w:lang w:val="en-US"/>
        </w:rPr>
        <w:t>billion mark (</w:t>
      </w:r>
      <w:r w:rsidRPr="00E069BB">
        <w:rPr>
          <w:rFonts w:ascii="Times New Roman" w:hAnsi="Times New Roman" w:cs="Times New Roman"/>
          <w:color w:val="FF0000"/>
          <w:sz w:val="24"/>
          <w:szCs w:val="24"/>
          <w:lang w:val="en-US"/>
        </w:rPr>
        <w:t>Figure 1 and Figure 2</w:t>
      </w:r>
      <w:r w:rsidRPr="001E0B11">
        <w:rPr>
          <w:rFonts w:ascii="Times New Roman" w:hAnsi="Times New Roman" w:cs="Times New Roman"/>
          <w:sz w:val="24"/>
          <w:szCs w:val="24"/>
          <w:lang w:val="en-US"/>
        </w:rPr>
        <w:t>). Overall, exports grew by a factor of four, o</w:t>
      </w:r>
      <w:r>
        <w:rPr>
          <w:rFonts w:ascii="Times New Roman" w:hAnsi="Times New Roman" w:cs="Times New Roman"/>
          <w:sz w:val="24"/>
          <w:szCs w:val="24"/>
          <w:lang w:val="en-US"/>
        </w:rPr>
        <w:t xml:space="preserve">r 15.3 percent annually, during </w:t>
      </w:r>
      <w:r w:rsidRPr="001E0B11">
        <w:rPr>
          <w:rFonts w:ascii="Times New Roman" w:hAnsi="Times New Roman" w:cs="Times New Roman"/>
          <w:sz w:val="24"/>
          <w:szCs w:val="24"/>
          <w:lang w:val="en-US"/>
        </w:rPr>
        <w:t>the 2000s. To put this into perspective, Turkey’s export expansion during the past</w:t>
      </w:r>
      <w:r>
        <w:rPr>
          <w:rFonts w:ascii="Times New Roman" w:hAnsi="Times New Roman" w:cs="Times New Roman"/>
          <w:sz w:val="24"/>
          <w:szCs w:val="24"/>
          <w:lang w:val="en-US"/>
        </w:rPr>
        <w:t xml:space="preserve"> decade was more than 6 </w:t>
      </w:r>
      <w:r w:rsidRPr="001E0B11">
        <w:rPr>
          <w:rFonts w:ascii="Times New Roman" w:hAnsi="Times New Roman" w:cs="Times New Roman"/>
          <w:sz w:val="24"/>
          <w:szCs w:val="24"/>
          <w:lang w:val="en-US"/>
        </w:rPr>
        <w:t xml:space="preserve">percentage points above the global annual average growth of exports, more </w:t>
      </w:r>
      <w:r>
        <w:rPr>
          <w:rFonts w:ascii="Times New Roman" w:hAnsi="Times New Roman" w:cs="Times New Roman"/>
          <w:sz w:val="24"/>
          <w:szCs w:val="24"/>
          <w:lang w:val="en-US"/>
        </w:rPr>
        <w:t xml:space="preserve">than twice that of Organization </w:t>
      </w:r>
      <w:r w:rsidRPr="001E0B11">
        <w:rPr>
          <w:rFonts w:ascii="Times New Roman" w:hAnsi="Times New Roman" w:cs="Times New Roman"/>
          <w:sz w:val="24"/>
          <w:szCs w:val="24"/>
          <w:lang w:val="en-US"/>
        </w:rPr>
        <w:t xml:space="preserve">for Economic Cooperation and Development (OECD) countries, and only 4 </w:t>
      </w:r>
      <w:r>
        <w:rPr>
          <w:rFonts w:ascii="Times New Roman" w:hAnsi="Times New Roman" w:cs="Times New Roman"/>
          <w:sz w:val="24"/>
          <w:szCs w:val="24"/>
          <w:lang w:val="en-US"/>
        </w:rPr>
        <w:t xml:space="preserve">percentage points below that of </w:t>
      </w:r>
      <w:r w:rsidRPr="001E0B11">
        <w:rPr>
          <w:rFonts w:ascii="Times New Roman" w:hAnsi="Times New Roman" w:cs="Times New Roman"/>
          <w:sz w:val="24"/>
          <w:szCs w:val="24"/>
          <w:lang w:val="en-US"/>
        </w:rPr>
        <w:t>China.</w:t>
      </w:r>
    </w:p>
    <w:p w:rsidR="00925405" w:rsidRPr="001E0B11"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16. The sharp expo</w:t>
      </w:r>
      <w:r>
        <w:rPr>
          <w:rFonts w:ascii="Times New Roman" w:hAnsi="Times New Roman" w:cs="Times New Roman"/>
          <w:sz w:val="24"/>
          <w:szCs w:val="24"/>
          <w:lang w:val="en-US"/>
        </w:rPr>
        <w:t xml:space="preserve">rt expansion </w:t>
      </w:r>
      <w:r w:rsidRPr="001E0B11">
        <w:rPr>
          <w:rFonts w:ascii="Times New Roman" w:hAnsi="Times New Roman" w:cs="Times New Roman"/>
          <w:sz w:val="24"/>
          <w:szCs w:val="24"/>
          <w:lang w:val="en-US"/>
        </w:rPr>
        <w:t>notwithsta</w:t>
      </w:r>
      <w:r>
        <w:rPr>
          <w:rFonts w:ascii="Times New Roman" w:hAnsi="Times New Roman" w:cs="Times New Roman"/>
          <w:sz w:val="24"/>
          <w:szCs w:val="24"/>
          <w:lang w:val="en-US"/>
        </w:rPr>
        <w:t xml:space="preserve">nding, Turkey’s trade rose only </w:t>
      </w:r>
      <w:r w:rsidRPr="001E0B11">
        <w:rPr>
          <w:rFonts w:ascii="Times New Roman" w:hAnsi="Times New Roman" w:cs="Times New Roman"/>
          <w:sz w:val="24"/>
          <w:szCs w:val="24"/>
          <w:lang w:val="en-US"/>
        </w:rPr>
        <w:t>modestly relative</w:t>
      </w:r>
      <w:r>
        <w:rPr>
          <w:rFonts w:ascii="Times New Roman" w:hAnsi="Times New Roman" w:cs="Times New Roman"/>
          <w:sz w:val="24"/>
          <w:szCs w:val="24"/>
          <w:lang w:val="en-US"/>
        </w:rPr>
        <w:t xml:space="preserve"> to GDP during the last decade. </w:t>
      </w:r>
      <w:r w:rsidRPr="001E0B11">
        <w:rPr>
          <w:rFonts w:ascii="Times New Roman" w:hAnsi="Times New Roman" w:cs="Times New Roman"/>
          <w:sz w:val="24"/>
          <w:szCs w:val="24"/>
          <w:lang w:val="en-US"/>
        </w:rPr>
        <w:t>Imports grew signif</w:t>
      </w:r>
      <w:r>
        <w:rPr>
          <w:rFonts w:ascii="Times New Roman" w:hAnsi="Times New Roman" w:cs="Times New Roman"/>
          <w:sz w:val="24"/>
          <w:szCs w:val="24"/>
          <w:lang w:val="en-US"/>
        </w:rPr>
        <w:t xml:space="preserve">icantly, with the trade deficit </w:t>
      </w:r>
      <w:r w:rsidRPr="001E0B11">
        <w:rPr>
          <w:rFonts w:ascii="Times New Roman" w:hAnsi="Times New Roman" w:cs="Times New Roman"/>
          <w:sz w:val="24"/>
          <w:szCs w:val="24"/>
          <w:lang w:val="en-US"/>
        </w:rPr>
        <w:t>widening over the decade (</w:t>
      </w:r>
      <w:r w:rsidRPr="001E0B11">
        <w:rPr>
          <w:rFonts w:ascii="Times New Roman" w:hAnsi="Times New Roman" w:cs="Times New Roman"/>
          <w:color w:val="FF0000"/>
          <w:sz w:val="24"/>
          <w:szCs w:val="24"/>
          <w:lang w:val="en-US"/>
        </w:rPr>
        <w:t>Figure 3</w:t>
      </w:r>
      <w:r>
        <w:rPr>
          <w:rFonts w:ascii="Times New Roman" w:hAnsi="Times New Roman" w:cs="Times New Roman"/>
          <w:sz w:val="24"/>
          <w:szCs w:val="24"/>
          <w:lang w:val="en-US"/>
        </w:rPr>
        <w:t xml:space="preserve">). But while </w:t>
      </w:r>
      <w:r w:rsidRPr="001E0B11">
        <w:rPr>
          <w:rFonts w:ascii="Times New Roman" w:hAnsi="Times New Roman" w:cs="Times New Roman"/>
          <w:sz w:val="24"/>
          <w:szCs w:val="24"/>
          <w:lang w:val="en-US"/>
        </w:rPr>
        <w:t>Turkey did increase</w:t>
      </w:r>
      <w:r>
        <w:rPr>
          <w:rFonts w:ascii="Times New Roman" w:hAnsi="Times New Roman" w:cs="Times New Roman"/>
          <w:sz w:val="24"/>
          <w:szCs w:val="24"/>
          <w:lang w:val="en-US"/>
        </w:rPr>
        <w:t xml:space="preserve"> imports 50 percent faster than </w:t>
      </w:r>
      <w:r w:rsidRPr="001E0B11">
        <w:rPr>
          <w:rFonts w:ascii="Times New Roman" w:hAnsi="Times New Roman" w:cs="Times New Roman"/>
          <w:sz w:val="24"/>
          <w:szCs w:val="24"/>
          <w:lang w:val="en-US"/>
        </w:rPr>
        <w:t>the world average</w:t>
      </w:r>
      <w:r>
        <w:rPr>
          <w:rFonts w:ascii="Times New Roman" w:hAnsi="Times New Roman" w:cs="Times New Roman"/>
          <w:sz w:val="24"/>
          <w:szCs w:val="24"/>
          <w:lang w:val="en-US"/>
        </w:rPr>
        <w:t xml:space="preserve"> and 75 percent faster than the </w:t>
      </w:r>
      <w:r w:rsidRPr="001E0B11">
        <w:rPr>
          <w:rFonts w:ascii="Times New Roman" w:hAnsi="Times New Roman" w:cs="Times New Roman"/>
          <w:sz w:val="24"/>
          <w:szCs w:val="24"/>
          <w:lang w:val="en-US"/>
        </w:rPr>
        <w:t>OECD average, thi</w:t>
      </w:r>
      <w:r>
        <w:rPr>
          <w:rFonts w:ascii="Times New Roman" w:hAnsi="Times New Roman" w:cs="Times New Roman"/>
          <w:sz w:val="24"/>
          <w:szCs w:val="24"/>
          <w:lang w:val="en-US"/>
        </w:rPr>
        <w:t xml:space="preserve">s increase was far less than in </w:t>
      </w:r>
      <w:r w:rsidRPr="001E0B11">
        <w:rPr>
          <w:rFonts w:ascii="Times New Roman" w:hAnsi="Times New Roman" w:cs="Times New Roman"/>
          <w:sz w:val="24"/>
          <w:szCs w:val="24"/>
          <w:lang w:val="en-US"/>
        </w:rPr>
        <w:t>other emerging mar</w:t>
      </w:r>
      <w:r>
        <w:rPr>
          <w:rFonts w:ascii="Times New Roman" w:hAnsi="Times New Roman" w:cs="Times New Roman"/>
          <w:sz w:val="24"/>
          <w:szCs w:val="24"/>
          <w:lang w:val="en-US"/>
        </w:rPr>
        <w:t xml:space="preserve">ket economies which experienced </w:t>
      </w:r>
      <w:r w:rsidRPr="001E0B11">
        <w:rPr>
          <w:rFonts w:ascii="Times New Roman" w:hAnsi="Times New Roman" w:cs="Times New Roman"/>
          <w:sz w:val="24"/>
          <w:szCs w:val="24"/>
          <w:lang w:val="en-US"/>
        </w:rPr>
        <w:t>a dramatic expansion o</w:t>
      </w:r>
      <w:r>
        <w:rPr>
          <w:rFonts w:ascii="Times New Roman" w:hAnsi="Times New Roman" w:cs="Times New Roman"/>
          <w:sz w:val="24"/>
          <w:szCs w:val="24"/>
          <w:lang w:val="en-US"/>
        </w:rPr>
        <w:t xml:space="preserve">f their integration into global </w:t>
      </w:r>
      <w:r w:rsidRPr="001E0B11">
        <w:rPr>
          <w:rFonts w:ascii="Times New Roman" w:hAnsi="Times New Roman" w:cs="Times New Roman"/>
          <w:sz w:val="24"/>
          <w:szCs w:val="24"/>
          <w:lang w:val="en-US"/>
        </w:rPr>
        <w:t>production netwo</w:t>
      </w:r>
      <w:r>
        <w:rPr>
          <w:rFonts w:ascii="Times New Roman" w:hAnsi="Times New Roman" w:cs="Times New Roman"/>
          <w:sz w:val="24"/>
          <w:szCs w:val="24"/>
          <w:lang w:val="en-US"/>
        </w:rPr>
        <w:t xml:space="preserve">rks. For example, Turkey’s rate </w:t>
      </w:r>
      <w:r w:rsidRPr="001E0B11">
        <w:rPr>
          <w:rFonts w:ascii="Times New Roman" w:hAnsi="Times New Roman" w:cs="Times New Roman"/>
          <w:sz w:val="24"/>
          <w:szCs w:val="24"/>
          <w:lang w:val="en-US"/>
        </w:rPr>
        <w:t>of import growth was</w:t>
      </w:r>
      <w:r>
        <w:rPr>
          <w:rFonts w:ascii="Times New Roman" w:hAnsi="Times New Roman" w:cs="Times New Roman"/>
          <w:sz w:val="24"/>
          <w:szCs w:val="24"/>
          <w:lang w:val="en-US"/>
        </w:rPr>
        <w:t xml:space="preserve"> only half the rate observed in </w:t>
      </w:r>
      <w:r w:rsidRPr="001E0B11">
        <w:rPr>
          <w:rFonts w:ascii="Times New Roman" w:hAnsi="Times New Roman" w:cs="Times New Roman"/>
          <w:sz w:val="24"/>
          <w:szCs w:val="24"/>
          <w:lang w:val="en-US"/>
        </w:rPr>
        <w:t>China over the dec</w:t>
      </w:r>
      <w:r>
        <w:rPr>
          <w:rFonts w:ascii="Times New Roman" w:hAnsi="Times New Roman" w:cs="Times New Roman"/>
          <w:sz w:val="24"/>
          <w:szCs w:val="24"/>
          <w:lang w:val="en-US"/>
        </w:rPr>
        <w:t xml:space="preserve">ade. At the same time, Turkey’s </w:t>
      </w:r>
      <w:r w:rsidRPr="001E0B11">
        <w:rPr>
          <w:rFonts w:ascii="Times New Roman" w:hAnsi="Times New Roman" w:cs="Times New Roman"/>
          <w:sz w:val="24"/>
          <w:szCs w:val="24"/>
          <w:lang w:val="en-US"/>
        </w:rPr>
        <w:t>GDP measured in U</w:t>
      </w:r>
      <w:r>
        <w:rPr>
          <w:rFonts w:ascii="Times New Roman" w:hAnsi="Times New Roman" w:cs="Times New Roman"/>
          <w:sz w:val="24"/>
          <w:szCs w:val="24"/>
          <w:lang w:val="en-US"/>
        </w:rPr>
        <w:t xml:space="preserve">S dollar terms tripled over the </w:t>
      </w:r>
      <w:r w:rsidRPr="001E0B11">
        <w:rPr>
          <w:rFonts w:ascii="Times New Roman" w:hAnsi="Times New Roman" w:cs="Times New Roman"/>
          <w:sz w:val="24"/>
          <w:szCs w:val="24"/>
          <w:lang w:val="en-US"/>
        </w:rPr>
        <w:t xml:space="preserve">past decade as the </w:t>
      </w:r>
      <w:r>
        <w:rPr>
          <w:rFonts w:ascii="Times New Roman" w:hAnsi="Times New Roman" w:cs="Times New Roman"/>
          <w:sz w:val="24"/>
          <w:szCs w:val="24"/>
          <w:lang w:val="en-US"/>
        </w:rPr>
        <w:t xml:space="preserve">real exchange rate appreciated. </w:t>
      </w:r>
      <w:r w:rsidRPr="001E0B11">
        <w:rPr>
          <w:rFonts w:ascii="Times New Roman" w:hAnsi="Times New Roman" w:cs="Times New Roman"/>
          <w:sz w:val="24"/>
          <w:szCs w:val="24"/>
          <w:lang w:val="en-US"/>
        </w:rPr>
        <w:t>Consequently, the rat</w:t>
      </w:r>
      <w:r>
        <w:rPr>
          <w:rFonts w:ascii="Times New Roman" w:hAnsi="Times New Roman" w:cs="Times New Roman"/>
          <w:sz w:val="24"/>
          <w:szCs w:val="24"/>
          <w:lang w:val="en-US"/>
        </w:rPr>
        <w:t xml:space="preserve">io of trade to GDP increased by </w:t>
      </w:r>
      <w:r w:rsidRPr="001E0B11">
        <w:rPr>
          <w:rFonts w:ascii="Times New Roman" w:hAnsi="Times New Roman" w:cs="Times New Roman"/>
          <w:sz w:val="24"/>
          <w:szCs w:val="24"/>
          <w:lang w:val="en-US"/>
        </w:rPr>
        <w:t>only 5 percentage</w:t>
      </w:r>
      <w:r>
        <w:rPr>
          <w:rFonts w:ascii="Times New Roman" w:hAnsi="Times New Roman" w:cs="Times New Roman"/>
          <w:sz w:val="24"/>
          <w:szCs w:val="24"/>
          <w:lang w:val="en-US"/>
        </w:rPr>
        <w:t xml:space="preserve"> points from 1998-2000 to 2008-</w:t>
      </w:r>
      <w:r w:rsidRPr="001E0B11">
        <w:rPr>
          <w:rFonts w:ascii="Times New Roman" w:hAnsi="Times New Roman" w:cs="Times New Roman"/>
          <w:sz w:val="24"/>
          <w:szCs w:val="24"/>
          <w:lang w:val="en-US"/>
        </w:rPr>
        <w:t>2010, the smalle</w:t>
      </w:r>
      <w:r>
        <w:rPr>
          <w:rFonts w:ascii="Times New Roman" w:hAnsi="Times New Roman" w:cs="Times New Roman"/>
          <w:sz w:val="24"/>
          <w:szCs w:val="24"/>
          <w:lang w:val="en-US"/>
        </w:rPr>
        <w:t xml:space="preserve">st change among all comparators </w:t>
      </w:r>
      <w:r w:rsidRPr="001E0B11">
        <w:rPr>
          <w:rFonts w:ascii="Times New Roman" w:hAnsi="Times New Roman" w:cs="Times New Roman"/>
          <w:sz w:val="24"/>
          <w:szCs w:val="24"/>
          <w:lang w:val="en-US"/>
        </w:rPr>
        <w:t xml:space="preserve">with the exception of </w:t>
      </w:r>
      <w:r>
        <w:rPr>
          <w:rFonts w:ascii="Times New Roman" w:hAnsi="Times New Roman" w:cs="Times New Roman"/>
          <w:sz w:val="24"/>
          <w:szCs w:val="24"/>
          <w:lang w:val="en-US"/>
        </w:rPr>
        <w:t xml:space="preserve">Russia. Overall, Turkey’s trade </w:t>
      </w:r>
      <w:r w:rsidRPr="001E0B11">
        <w:rPr>
          <w:rFonts w:ascii="Times New Roman" w:hAnsi="Times New Roman" w:cs="Times New Roman"/>
          <w:sz w:val="24"/>
          <w:szCs w:val="24"/>
          <w:lang w:val="en-US"/>
        </w:rPr>
        <w:t>volume-to-GDP ratio is broadly in line with its BRICS comparators, but far below that of smaller neighbor</w:t>
      </w:r>
      <w:r>
        <w:rPr>
          <w:rFonts w:ascii="Times New Roman" w:hAnsi="Times New Roman" w:cs="Times New Roman"/>
          <w:sz w:val="24"/>
          <w:szCs w:val="24"/>
          <w:lang w:val="en-US"/>
        </w:rPr>
        <w:t xml:space="preserve">s at </w:t>
      </w:r>
      <w:r w:rsidRPr="001E0B11">
        <w:rPr>
          <w:rFonts w:ascii="Times New Roman" w:hAnsi="Times New Roman" w:cs="Times New Roman"/>
          <w:sz w:val="24"/>
          <w:szCs w:val="24"/>
          <w:lang w:val="en-US"/>
        </w:rPr>
        <w:t>similar levels of development (</w:t>
      </w:r>
      <w:r w:rsidRPr="001E0B11">
        <w:rPr>
          <w:rFonts w:ascii="Times New Roman" w:hAnsi="Times New Roman" w:cs="Times New Roman"/>
          <w:color w:val="FF0000"/>
          <w:sz w:val="24"/>
          <w:szCs w:val="24"/>
          <w:lang w:val="en-US"/>
        </w:rPr>
        <w:t>Figure 4</w:t>
      </w:r>
      <w:r w:rsidRPr="001E0B11">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1E0B11">
        <w:rPr>
          <w:rFonts w:ascii="Times New Roman" w:hAnsi="Times New Roman" w:cs="Times New Roman"/>
          <w:sz w:val="24"/>
          <w:szCs w:val="24"/>
          <w:lang w:val="en-US"/>
        </w:rPr>
        <w:t>17. An increase in a country’s exports can be due to rising glob</w:t>
      </w:r>
      <w:r>
        <w:rPr>
          <w:rFonts w:ascii="Times New Roman" w:hAnsi="Times New Roman" w:cs="Times New Roman"/>
          <w:sz w:val="24"/>
          <w:szCs w:val="24"/>
          <w:lang w:val="en-US"/>
        </w:rPr>
        <w:t xml:space="preserve">al demand or to improvements in </w:t>
      </w:r>
      <w:r w:rsidRPr="001E0B11">
        <w:rPr>
          <w:rFonts w:ascii="Times New Roman" w:hAnsi="Times New Roman" w:cs="Times New Roman"/>
          <w:sz w:val="24"/>
          <w:szCs w:val="24"/>
          <w:lang w:val="en-US"/>
        </w:rPr>
        <w:t>competitiveness. For policy purposes, it is useful to decompose these two</w:t>
      </w:r>
      <w:r>
        <w:rPr>
          <w:rFonts w:ascii="Times New Roman" w:hAnsi="Times New Roman" w:cs="Times New Roman"/>
          <w:sz w:val="24"/>
          <w:szCs w:val="24"/>
          <w:lang w:val="en-US"/>
        </w:rPr>
        <w:t xml:space="preserve"> factors. Assuming that Country </w:t>
      </w:r>
      <w:r w:rsidR="00E069BB">
        <w:rPr>
          <w:rFonts w:ascii="Times New Roman" w:hAnsi="Times New Roman" w:cs="Times New Roman"/>
          <w:sz w:val="24"/>
          <w:szCs w:val="24"/>
          <w:lang w:val="en-US"/>
        </w:rPr>
        <w:t>A is “more competitive”</w:t>
      </w:r>
      <w:r w:rsidRPr="001E0B11">
        <w:rPr>
          <w:rFonts w:ascii="Times New Roman" w:hAnsi="Times New Roman" w:cs="Times New Roman"/>
          <w:sz w:val="24"/>
          <w:szCs w:val="24"/>
          <w:lang w:val="en-US"/>
        </w:rPr>
        <w:t xml:space="preserve"> in trade than Country B simply because its exports ar</w:t>
      </w:r>
      <w:r>
        <w:rPr>
          <w:rFonts w:ascii="Times New Roman" w:hAnsi="Times New Roman" w:cs="Times New Roman"/>
          <w:sz w:val="24"/>
          <w:szCs w:val="24"/>
          <w:lang w:val="en-US"/>
        </w:rPr>
        <w:t xml:space="preserve">e growing faster is simplistic. </w:t>
      </w:r>
      <w:r w:rsidRPr="001E0B11">
        <w:rPr>
          <w:rFonts w:ascii="Times New Roman" w:hAnsi="Times New Roman" w:cs="Times New Roman"/>
          <w:sz w:val="24"/>
          <w:szCs w:val="24"/>
          <w:lang w:val="en-US"/>
        </w:rPr>
        <w:t>Even using relative performance in terms of market share, growth may be pron</w:t>
      </w:r>
      <w:r>
        <w:rPr>
          <w:rFonts w:ascii="Times New Roman" w:hAnsi="Times New Roman" w:cs="Times New Roman"/>
          <w:sz w:val="24"/>
          <w:szCs w:val="24"/>
          <w:lang w:val="en-US"/>
        </w:rPr>
        <w:t xml:space="preserve">e to misinterpretation. This is </w:t>
      </w:r>
      <w:r w:rsidRPr="001E0B11">
        <w:rPr>
          <w:rFonts w:ascii="Times New Roman" w:hAnsi="Times New Roman" w:cs="Times New Roman"/>
          <w:sz w:val="24"/>
          <w:szCs w:val="24"/>
          <w:lang w:val="en-US"/>
        </w:rPr>
        <w:t xml:space="preserve">because export growth is influenced by “pull” (or compositional) effects and </w:t>
      </w:r>
      <w:r>
        <w:rPr>
          <w:rFonts w:ascii="Times New Roman" w:hAnsi="Times New Roman" w:cs="Times New Roman"/>
          <w:sz w:val="24"/>
          <w:szCs w:val="24"/>
          <w:lang w:val="en-US"/>
        </w:rPr>
        <w:t xml:space="preserve">“push” (or performance) effects </w:t>
      </w:r>
      <w:r w:rsidRPr="001E0B11">
        <w:rPr>
          <w:rFonts w:ascii="Times New Roman" w:hAnsi="Times New Roman" w:cs="Times New Roman"/>
          <w:sz w:val="24"/>
          <w:szCs w:val="24"/>
          <w:lang w:val="en-US"/>
        </w:rPr>
        <w:t>(</w:t>
      </w:r>
      <w:r w:rsidRPr="001E0B11">
        <w:rPr>
          <w:rFonts w:ascii="Times New Roman" w:hAnsi="Times New Roman" w:cs="Times New Roman"/>
          <w:color w:val="FF0000"/>
          <w:sz w:val="24"/>
          <w:szCs w:val="24"/>
          <w:lang w:val="en-US"/>
        </w:rPr>
        <w:t>Table 2</w:t>
      </w:r>
      <w:r w:rsidRPr="001E0B11">
        <w:rPr>
          <w:rFonts w:ascii="Times New Roman" w:hAnsi="Times New Roman" w:cs="Times New Roman"/>
          <w:sz w:val="24"/>
          <w:szCs w:val="24"/>
          <w:lang w:val="en-US"/>
        </w:rPr>
        <w:t>). Two countries may actually have similarly competitive bundles of e</w:t>
      </w:r>
      <w:r>
        <w:rPr>
          <w:rFonts w:ascii="Times New Roman" w:hAnsi="Times New Roman" w:cs="Times New Roman"/>
          <w:sz w:val="24"/>
          <w:szCs w:val="24"/>
          <w:lang w:val="en-US"/>
        </w:rPr>
        <w:t xml:space="preserve">xport firms, but overall export </w:t>
      </w:r>
      <w:r w:rsidRPr="001E0B11">
        <w:rPr>
          <w:rFonts w:ascii="Times New Roman" w:hAnsi="Times New Roman" w:cs="Times New Roman"/>
          <w:sz w:val="24"/>
          <w:szCs w:val="24"/>
          <w:lang w:val="en-US"/>
        </w:rPr>
        <w:t>performance of one country will be higher than the other in the short-to-me</w:t>
      </w:r>
      <w:r>
        <w:rPr>
          <w:rFonts w:ascii="Times New Roman" w:hAnsi="Times New Roman" w:cs="Times New Roman"/>
          <w:sz w:val="24"/>
          <w:szCs w:val="24"/>
          <w:lang w:val="en-US"/>
        </w:rPr>
        <w:t xml:space="preserve">dium term because it has a more </w:t>
      </w:r>
      <w:r w:rsidRPr="001E0B11">
        <w:rPr>
          <w:rFonts w:ascii="Times New Roman" w:hAnsi="Times New Roman" w:cs="Times New Roman"/>
          <w:sz w:val="24"/>
          <w:szCs w:val="24"/>
          <w:lang w:val="en-US"/>
        </w:rPr>
        <w:t>favorable (at the time) composition of exports, in terms of both geographical</w:t>
      </w:r>
      <w:r>
        <w:rPr>
          <w:rFonts w:ascii="Times New Roman" w:hAnsi="Times New Roman" w:cs="Times New Roman"/>
          <w:sz w:val="24"/>
          <w:szCs w:val="24"/>
          <w:lang w:val="en-US"/>
        </w:rPr>
        <w:t xml:space="preserve"> markets and sectors. What does </w:t>
      </w:r>
      <w:r w:rsidRPr="001E0B11">
        <w:rPr>
          <w:rFonts w:ascii="Times New Roman" w:hAnsi="Times New Roman" w:cs="Times New Roman"/>
          <w:sz w:val="24"/>
          <w:szCs w:val="24"/>
          <w:lang w:val="en-US"/>
        </w:rPr>
        <w:t>decomposing exports in this way say about Turkey’s export competitiveness in recent years?</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8838BBF" wp14:editId="79950110">
            <wp:extent cx="5391150" cy="259715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1150" cy="25971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0C91382" wp14:editId="6CFE5CA8">
            <wp:extent cx="2457450" cy="277495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57450" cy="27749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753591BD" wp14:editId="2324F17A">
            <wp:extent cx="2933700" cy="2921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33700" cy="29210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AB4C98">
        <w:rPr>
          <w:rFonts w:ascii="Times New Roman" w:hAnsi="Times New Roman" w:cs="Times New Roman"/>
          <w:sz w:val="24"/>
          <w:szCs w:val="24"/>
          <w:lang w:val="en-US"/>
        </w:rPr>
        <w:t xml:space="preserve">18. Competitiveness played a bigger role in driving exports before the </w:t>
      </w:r>
      <w:r>
        <w:rPr>
          <w:rFonts w:ascii="Times New Roman" w:hAnsi="Times New Roman" w:cs="Times New Roman"/>
          <w:sz w:val="24"/>
          <w:szCs w:val="24"/>
          <w:lang w:val="en-US"/>
        </w:rPr>
        <w:t xml:space="preserve">crisis, but pull factors became </w:t>
      </w:r>
      <w:r w:rsidRPr="00AB4C98">
        <w:rPr>
          <w:rFonts w:ascii="Times New Roman" w:hAnsi="Times New Roman" w:cs="Times New Roman"/>
          <w:sz w:val="24"/>
          <w:szCs w:val="24"/>
          <w:lang w:val="en-US"/>
        </w:rPr>
        <w:t xml:space="preserve">more dominant after 2009. The analysis provides three key findings. First, </w:t>
      </w:r>
      <w:r>
        <w:rPr>
          <w:rFonts w:ascii="Times New Roman" w:hAnsi="Times New Roman" w:cs="Times New Roman"/>
          <w:sz w:val="24"/>
          <w:szCs w:val="24"/>
          <w:lang w:val="en-US"/>
        </w:rPr>
        <w:t xml:space="preserve">until the crisis Turkey clearly </w:t>
      </w:r>
      <w:r w:rsidRPr="00AB4C98">
        <w:rPr>
          <w:rFonts w:ascii="Times New Roman" w:hAnsi="Times New Roman" w:cs="Times New Roman"/>
          <w:sz w:val="24"/>
          <w:szCs w:val="24"/>
          <w:lang w:val="en-US"/>
        </w:rPr>
        <w:t xml:space="preserve">outperformed global export growth, but during and after the crisis (2010) growth </w:t>
      </w:r>
      <w:r>
        <w:rPr>
          <w:rFonts w:ascii="Times New Roman" w:hAnsi="Times New Roman" w:cs="Times New Roman"/>
          <w:sz w:val="24"/>
          <w:szCs w:val="24"/>
          <w:lang w:val="en-US"/>
        </w:rPr>
        <w:t xml:space="preserve">fell below the average. Second, </w:t>
      </w:r>
      <w:r w:rsidRPr="00AB4C98">
        <w:rPr>
          <w:rFonts w:ascii="Times New Roman" w:hAnsi="Times New Roman" w:cs="Times New Roman"/>
          <w:sz w:val="24"/>
          <w:szCs w:val="24"/>
          <w:lang w:val="en-US"/>
        </w:rPr>
        <w:t xml:space="preserve">until the crisis, competitiveness (or “push” effects) played the biggest role </w:t>
      </w:r>
      <w:r>
        <w:rPr>
          <w:rFonts w:ascii="Times New Roman" w:hAnsi="Times New Roman" w:cs="Times New Roman"/>
          <w:sz w:val="24"/>
          <w:szCs w:val="24"/>
          <w:lang w:val="en-US"/>
        </w:rPr>
        <w:t xml:space="preserve">in driving export growth before </w:t>
      </w:r>
      <w:r w:rsidRPr="00AB4C98">
        <w:rPr>
          <w:rFonts w:ascii="Times New Roman" w:hAnsi="Times New Roman" w:cs="Times New Roman"/>
          <w:sz w:val="24"/>
          <w:szCs w:val="24"/>
          <w:lang w:val="en-US"/>
        </w:rPr>
        <w:t>giving way to “pull” factors during and after the crisis. Third, going forward,</w:t>
      </w:r>
      <w:r>
        <w:rPr>
          <w:rFonts w:ascii="Times New Roman" w:hAnsi="Times New Roman" w:cs="Times New Roman"/>
          <w:sz w:val="24"/>
          <w:szCs w:val="24"/>
          <w:lang w:val="en-US"/>
        </w:rPr>
        <w:t xml:space="preserve"> Turkey’s greatest challenge in </w:t>
      </w:r>
      <w:r w:rsidRPr="00AB4C98">
        <w:rPr>
          <w:rFonts w:ascii="Times New Roman" w:hAnsi="Times New Roman" w:cs="Times New Roman"/>
          <w:sz w:val="24"/>
          <w:szCs w:val="24"/>
          <w:lang w:val="en-US"/>
        </w:rPr>
        <w:t>increasing export growth may be due less to the geographical composition of its e</w:t>
      </w:r>
      <w:r>
        <w:rPr>
          <w:rFonts w:ascii="Times New Roman" w:hAnsi="Times New Roman" w:cs="Times New Roman"/>
          <w:sz w:val="24"/>
          <w:szCs w:val="24"/>
          <w:lang w:val="en-US"/>
        </w:rPr>
        <w:t xml:space="preserve">xports and more to the </w:t>
      </w:r>
      <w:r w:rsidR="00E069BB">
        <w:rPr>
          <w:rFonts w:ascii="Times New Roman" w:hAnsi="Times New Roman" w:cs="Times New Roman"/>
          <w:sz w:val="24"/>
          <w:szCs w:val="24"/>
          <w:lang w:val="en-US"/>
        </w:rPr>
        <w:t>sectorial</w:t>
      </w:r>
      <w:r>
        <w:rPr>
          <w:rFonts w:ascii="Times New Roman" w:hAnsi="Times New Roman" w:cs="Times New Roman"/>
          <w:sz w:val="24"/>
          <w:szCs w:val="24"/>
          <w:lang w:val="en-US"/>
        </w:rPr>
        <w:t xml:space="preserve"> </w:t>
      </w:r>
      <w:r w:rsidRPr="00AB4C98">
        <w:rPr>
          <w:rFonts w:ascii="Times New Roman" w:hAnsi="Times New Roman" w:cs="Times New Roman"/>
          <w:sz w:val="24"/>
          <w:szCs w:val="24"/>
          <w:lang w:val="en-US"/>
        </w:rPr>
        <w:t>composition. In other words, Turkey needs to move into products for which global demand is growing fast.</w:t>
      </w:r>
    </w:p>
    <w:p w:rsidR="00925405" w:rsidRDefault="00925405" w:rsidP="00925405">
      <w:pPr>
        <w:spacing w:line="240" w:lineRule="auto"/>
        <w:jc w:val="both"/>
        <w:rPr>
          <w:rFonts w:ascii="Times New Roman" w:hAnsi="Times New Roman" w:cs="Times New Roman"/>
          <w:sz w:val="24"/>
          <w:szCs w:val="24"/>
          <w:lang w:val="en-US"/>
        </w:rPr>
      </w:pPr>
      <w:r w:rsidRPr="00AB4C98">
        <w:rPr>
          <w:rFonts w:ascii="Times New Roman" w:hAnsi="Times New Roman" w:cs="Times New Roman"/>
          <w:sz w:val="24"/>
          <w:szCs w:val="24"/>
          <w:lang w:val="en-US"/>
        </w:rPr>
        <w:t xml:space="preserve">19. Turkey’s trade competitiveness compares favorably to that of its </w:t>
      </w:r>
      <w:r>
        <w:rPr>
          <w:rFonts w:ascii="Times New Roman" w:hAnsi="Times New Roman" w:cs="Times New Roman"/>
          <w:sz w:val="24"/>
          <w:szCs w:val="24"/>
          <w:lang w:val="en-US"/>
        </w:rPr>
        <w:t xml:space="preserve">major peers. </w:t>
      </w:r>
      <w:r w:rsidRPr="00AB4C98">
        <w:rPr>
          <w:rFonts w:ascii="Times New Roman" w:hAnsi="Times New Roman" w:cs="Times New Roman"/>
          <w:color w:val="FF0000"/>
          <w:sz w:val="24"/>
          <w:szCs w:val="24"/>
          <w:lang w:val="en-US"/>
        </w:rPr>
        <w:t>Table 2</w:t>
      </w:r>
      <w:r>
        <w:rPr>
          <w:rFonts w:ascii="Times New Roman" w:hAnsi="Times New Roman" w:cs="Times New Roman"/>
          <w:sz w:val="24"/>
          <w:szCs w:val="24"/>
          <w:lang w:val="en-US"/>
        </w:rPr>
        <w:t xml:space="preserve"> shows that </w:t>
      </w:r>
      <w:r w:rsidRPr="00AB4C98">
        <w:rPr>
          <w:rFonts w:ascii="Times New Roman" w:hAnsi="Times New Roman" w:cs="Times New Roman"/>
          <w:sz w:val="24"/>
          <w:szCs w:val="24"/>
          <w:lang w:val="en-US"/>
        </w:rPr>
        <w:t xml:space="preserve">Turkey’s export performance stripped of compositional effects during the period </w:t>
      </w:r>
      <w:r>
        <w:rPr>
          <w:rFonts w:ascii="Times New Roman" w:hAnsi="Times New Roman" w:cs="Times New Roman"/>
          <w:sz w:val="24"/>
          <w:szCs w:val="24"/>
          <w:lang w:val="en-US"/>
        </w:rPr>
        <w:t xml:space="preserve">2005-2010 is relatively strong, </w:t>
      </w:r>
      <w:r w:rsidRPr="00AB4C98">
        <w:rPr>
          <w:rFonts w:ascii="Times New Roman" w:hAnsi="Times New Roman" w:cs="Times New Roman"/>
          <w:sz w:val="24"/>
          <w:szCs w:val="24"/>
          <w:lang w:val="en-US"/>
        </w:rPr>
        <w:t>trailing only China and India among the peer group. The negative effect of T</w:t>
      </w:r>
      <w:r>
        <w:rPr>
          <w:rFonts w:ascii="Times New Roman" w:hAnsi="Times New Roman" w:cs="Times New Roman"/>
          <w:sz w:val="24"/>
          <w:szCs w:val="24"/>
          <w:lang w:val="en-US"/>
        </w:rPr>
        <w:t xml:space="preserve">urkey’s </w:t>
      </w:r>
      <w:r w:rsidR="00E069BB">
        <w:rPr>
          <w:rFonts w:ascii="Times New Roman" w:hAnsi="Times New Roman" w:cs="Times New Roman"/>
          <w:sz w:val="24"/>
          <w:szCs w:val="24"/>
          <w:lang w:val="en-US"/>
        </w:rPr>
        <w:t>sectorial</w:t>
      </w:r>
      <w:r>
        <w:rPr>
          <w:rFonts w:ascii="Times New Roman" w:hAnsi="Times New Roman" w:cs="Times New Roman"/>
          <w:sz w:val="24"/>
          <w:szCs w:val="24"/>
          <w:lang w:val="en-US"/>
        </w:rPr>
        <w:t xml:space="preserve"> composition is </w:t>
      </w:r>
      <w:r w:rsidRPr="00AB4C98">
        <w:rPr>
          <w:rFonts w:ascii="Times New Roman" w:hAnsi="Times New Roman" w:cs="Times New Roman"/>
          <w:sz w:val="24"/>
          <w:szCs w:val="24"/>
          <w:lang w:val="en-US"/>
        </w:rPr>
        <w:t>clear, while the geographical contribution to growth is higher than in any peer country other than Brazil. This</w:t>
      </w:r>
      <w:r>
        <w:rPr>
          <w:rFonts w:ascii="Times New Roman" w:hAnsi="Times New Roman" w:cs="Times New Roman"/>
          <w:sz w:val="24"/>
          <w:szCs w:val="24"/>
          <w:lang w:val="en-US"/>
        </w:rPr>
        <w:t xml:space="preserve"> </w:t>
      </w:r>
      <w:r w:rsidRPr="00AB4C98">
        <w:rPr>
          <w:rFonts w:ascii="Times New Roman" w:hAnsi="Times New Roman" w:cs="Times New Roman"/>
          <w:sz w:val="24"/>
          <w:szCs w:val="24"/>
          <w:lang w:val="en-US"/>
        </w:rPr>
        <w:t>seems to run counter to the conventional wisdom that Turkey has a market problem that must be addressed, for</w:t>
      </w:r>
      <w:r>
        <w:rPr>
          <w:rFonts w:ascii="Times New Roman" w:hAnsi="Times New Roman" w:cs="Times New Roman"/>
          <w:sz w:val="24"/>
          <w:szCs w:val="24"/>
          <w:lang w:val="en-US"/>
        </w:rPr>
        <w:t xml:space="preserve"> </w:t>
      </w:r>
      <w:r w:rsidRPr="00AB4C98">
        <w:rPr>
          <w:rFonts w:ascii="Times New Roman" w:hAnsi="Times New Roman" w:cs="Times New Roman"/>
          <w:sz w:val="24"/>
          <w:szCs w:val="24"/>
          <w:lang w:val="en-US"/>
        </w:rPr>
        <w:t>example by shifting away from the EU. Instead, it suggests that the problem is more one of the sectors in which</w:t>
      </w:r>
      <w:r>
        <w:rPr>
          <w:rFonts w:ascii="Times New Roman" w:hAnsi="Times New Roman" w:cs="Times New Roman"/>
          <w:sz w:val="24"/>
          <w:szCs w:val="24"/>
          <w:lang w:val="en-US"/>
        </w:rPr>
        <w:t xml:space="preserve"> </w:t>
      </w:r>
      <w:r w:rsidRPr="00AB4C98">
        <w:rPr>
          <w:rFonts w:ascii="Times New Roman" w:hAnsi="Times New Roman" w:cs="Times New Roman"/>
          <w:sz w:val="24"/>
          <w:szCs w:val="24"/>
          <w:lang w:val="en-US"/>
        </w:rPr>
        <w:t xml:space="preserve">Turkey’s exporters </w:t>
      </w:r>
      <w:r w:rsidRPr="00AB4C98">
        <w:rPr>
          <w:rFonts w:ascii="Times New Roman" w:hAnsi="Times New Roman" w:cs="Times New Roman"/>
          <w:sz w:val="24"/>
          <w:szCs w:val="24"/>
          <w:lang w:val="en-US"/>
        </w:rPr>
        <w:lastRenderedPageBreak/>
        <w:t>compete, and their position within</w:t>
      </w:r>
      <w:r w:rsidR="00E069BB">
        <w:rPr>
          <w:rFonts w:ascii="Times New Roman" w:hAnsi="Times New Roman" w:cs="Times New Roman"/>
          <w:sz w:val="24"/>
          <w:szCs w:val="24"/>
          <w:lang w:val="en-US"/>
        </w:rPr>
        <w:t xml:space="preserve"> these sectors. Looking at the “</w:t>
      </w:r>
      <w:r w:rsidRPr="00AB4C98">
        <w:rPr>
          <w:rFonts w:ascii="Times New Roman" w:hAnsi="Times New Roman" w:cs="Times New Roman"/>
          <w:sz w:val="24"/>
          <w:szCs w:val="24"/>
          <w:lang w:val="en-US"/>
        </w:rPr>
        <w:t>p</w:t>
      </w:r>
      <w:r w:rsidR="00E069BB">
        <w:rPr>
          <w:rFonts w:ascii="Times New Roman" w:hAnsi="Times New Roman" w:cs="Times New Roman"/>
          <w:sz w:val="24"/>
          <w:szCs w:val="24"/>
          <w:lang w:val="en-US"/>
        </w:rPr>
        <w:t>ush”</w:t>
      </w:r>
      <w:r>
        <w:rPr>
          <w:rFonts w:ascii="Times New Roman" w:hAnsi="Times New Roman" w:cs="Times New Roman"/>
          <w:sz w:val="24"/>
          <w:szCs w:val="24"/>
          <w:lang w:val="en-US"/>
        </w:rPr>
        <w:t xml:space="preserve"> or performance </w:t>
      </w:r>
      <w:r w:rsidRPr="00AB4C98">
        <w:rPr>
          <w:rFonts w:ascii="Times New Roman" w:hAnsi="Times New Roman" w:cs="Times New Roman"/>
          <w:sz w:val="24"/>
          <w:szCs w:val="24"/>
          <w:lang w:val="en-US"/>
        </w:rPr>
        <w:t>factors, it is clear that Turkey has grown well on the back of volume growth, whil</w:t>
      </w:r>
      <w:r>
        <w:rPr>
          <w:rFonts w:ascii="Times New Roman" w:hAnsi="Times New Roman" w:cs="Times New Roman"/>
          <w:sz w:val="24"/>
          <w:szCs w:val="24"/>
          <w:lang w:val="en-US"/>
        </w:rPr>
        <w:t xml:space="preserve">e price has played a relatively </w:t>
      </w:r>
      <w:r w:rsidRPr="00AB4C98">
        <w:rPr>
          <w:rFonts w:ascii="Times New Roman" w:hAnsi="Times New Roman" w:cs="Times New Roman"/>
          <w:sz w:val="24"/>
          <w:szCs w:val="24"/>
          <w:lang w:val="en-US"/>
        </w:rPr>
        <w:t>minor role.</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145E67A" wp14:editId="51A7C9EF">
            <wp:extent cx="5397500" cy="37147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7500" cy="37147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AB4C98">
        <w:rPr>
          <w:rFonts w:ascii="Times New Roman" w:hAnsi="Times New Roman" w:cs="Times New Roman"/>
          <w:sz w:val="24"/>
          <w:szCs w:val="24"/>
          <w:lang w:val="en-US"/>
        </w:rPr>
        <w:t>20. However, Turkey’s export gains were mostly the result of existing</w:t>
      </w:r>
      <w:r>
        <w:rPr>
          <w:rFonts w:ascii="Times New Roman" w:hAnsi="Times New Roman" w:cs="Times New Roman"/>
          <w:sz w:val="24"/>
          <w:szCs w:val="24"/>
          <w:lang w:val="en-US"/>
        </w:rPr>
        <w:t xml:space="preserve"> firms selling more of the same </w:t>
      </w:r>
      <w:r w:rsidRPr="00AB4C98">
        <w:rPr>
          <w:rFonts w:ascii="Times New Roman" w:hAnsi="Times New Roman" w:cs="Times New Roman"/>
          <w:sz w:val="24"/>
          <w:szCs w:val="24"/>
          <w:lang w:val="en-US"/>
        </w:rPr>
        <w:t>products. A de-composition of export growth on the intensive and extensiv</w:t>
      </w:r>
      <w:r>
        <w:rPr>
          <w:rFonts w:ascii="Times New Roman" w:hAnsi="Times New Roman" w:cs="Times New Roman"/>
          <w:sz w:val="24"/>
          <w:szCs w:val="24"/>
          <w:lang w:val="en-US"/>
        </w:rPr>
        <w:t xml:space="preserve">e margins provides an important </w:t>
      </w:r>
      <w:r w:rsidRPr="00AB4C98">
        <w:rPr>
          <w:rFonts w:ascii="Times New Roman" w:hAnsi="Times New Roman" w:cs="Times New Roman"/>
          <w:sz w:val="24"/>
          <w:szCs w:val="24"/>
          <w:lang w:val="en-US"/>
        </w:rPr>
        <w:t>indicator of a country’s competitiveness. Specifically, one can look at whether</w:t>
      </w:r>
      <w:r>
        <w:rPr>
          <w:rFonts w:ascii="Times New Roman" w:hAnsi="Times New Roman" w:cs="Times New Roman"/>
          <w:sz w:val="24"/>
          <w:szCs w:val="24"/>
          <w:lang w:val="en-US"/>
        </w:rPr>
        <w:t xml:space="preserve"> export growth is the result of </w:t>
      </w:r>
      <w:r w:rsidRPr="00AB4C98">
        <w:rPr>
          <w:rFonts w:ascii="Times New Roman" w:hAnsi="Times New Roman" w:cs="Times New Roman"/>
          <w:sz w:val="24"/>
          <w:szCs w:val="24"/>
          <w:lang w:val="en-US"/>
        </w:rPr>
        <w:t>existing companies exporting more of their current products to existing marke</w:t>
      </w:r>
      <w:r>
        <w:rPr>
          <w:rFonts w:ascii="Times New Roman" w:hAnsi="Times New Roman" w:cs="Times New Roman"/>
          <w:sz w:val="24"/>
          <w:szCs w:val="24"/>
          <w:lang w:val="en-US"/>
        </w:rPr>
        <w:t xml:space="preserve">ts (the “intensive margin”), or </w:t>
      </w:r>
      <w:r w:rsidRPr="00AB4C98">
        <w:rPr>
          <w:rFonts w:ascii="Times New Roman" w:hAnsi="Times New Roman" w:cs="Times New Roman"/>
          <w:sz w:val="24"/>
          <w:szCs w:val="24"/>
          <w:lang w:val="en-US"/>
        </w:rPr>
        <w:t>whether exports increase because new firms enter, new products are exporte</w:t>
      </w:r>
      <w:r>
        <w:rPr>
          <w:rFonts w:ascii="Times New Roman" w:hAnsi="Times New Roman" w:cs="Times New Roman"/>
          <w:sz w:val="24"/>
          <w:szCs w:val="24"/>
          <w:lang w:val="en-US"/>
        </w:rPr>
        <w:t xml:space="preserve">d and new markets opened (three </w:t>
      </w:r>
      <w:r w:rsidRPr="00AB4C98">
        <w:rPr>
          <w:rFonts w:ascii="Times New Roman" w:hAnsi="Times New Roman" w:cs="Times New Roman"/>
          <w:sz w:val="24"/>
          <w:szCs w:val="24"/>
          <w:lang w:val="en-US"/>
        </w:rPr>
        <w:t>dimensions of the “extensive margin”) (</w:t>
      </w:r>
      <w:r w:rsidRPr="00AB4C98">
        <w:rPr>
          <w:rFonts w:ascii="Times New Roman" w:hAnsi="Times New Roman" w:cs="Times New Roman"/>
          <w:color w:val="FF0000"/>
          <w:sz w:val="24"/>
          <w:szCs w:val="24"/>
          <w:lang w:val="en-US"/>
        </w:rPr>
        <w:t>Table 3</w:t>
      </w:r>
      <w:r w:rsidRPr="00AB4C98">
        <w:rPr>
          <w:rFonts w:ascii="Times New Roman" w:hAnsi="Times New Roman" w:cs="Times New Roman"/>
          <w:sz w:val="24"/>
          <w:szCs w:val="24"/>
          <w:lang w:val="en-US"/>
        </w:rPr>
        <w:t>). Such a de-composition reve</w:t>
      </w:r>
      <w:r>
        <w:rPr>
          <w:rFonts w:ascii="Times New Roman" w:hAnsi="Times New Roman" w:cs="Times New Roman"/>
          <w:sz w:val="24"/>
          <w:szCs w:val="24"/>
          <w:lang w:val="en-US"/>
        </w:rPr>
        <w:t xml:space="preserve">als that the “intensive margin” </w:t>
      </w:r>
      <w:r w:rsidRPr="00AB4C98">
        <w:rPr>
          <w:rFonts w:ascii="Times New Roman" w:hAnsi="Times New Roman" w:cs="Times New Roman"/>
          <w:sz w:val="24"/>
          <w:szCs w:val="24"/>
          <w:lang w:val="en-US"/>
        </w:rPr>
        <w:t>accounted for nearly two-thirds of export growth in 2002-2011 (</w:t>
      </w:r>
      <w:r w:rsidRPr="00AB4C98">
        <w:rPr>
          <w:rFonts w:ascii="Times New Roman" w:hAnsi="Times New Roman" w:cs="Times New Roman"/>
          <w:color w:val="FF0000"/>
          <w:sz w:val="24"/>
          <w:szCs w:val="24"/>
          <w:lang w:val="en-US"/>
        </w:rPr>
        <w:t>Figure 5</w:t>
      </w:r>
      <w:r w:rsidRPr="00AB4C98">
        <w:rPr>
          <w:rFonts w:ascii="Times New Roman" w:hAnsi="Times New Roman" w:cs="Times New Roman"/>
          <w:sz w:val="24"/>
          <w:szCs w:val="24"/>
          <w:lang w:val="en-US"/>
        </w:rPr>
        <w:t>). By co</w:t>
      </w:r>
      <w:r>
        <w:rPr>
          <w:rFonts w:ascii="Times New Roman" w:hAnsi="Times New Roman" w:cs="Times New Roman"/>
          <w:sz w:val="24"/>
          <w:szCs w:val="24"/>
          <w:lang w:val="en-US"/>
        </w:rPr>
        <w:t xml:space="preserve">ntrast, new markets accounted </w:t>
      </w:r>
      <w:r w:rsidRPr="00AB4C98">
        <w:rPr>
          <w:rFonts w:ascii="Times New Roman" w:hAnsi="Times New Roman" w:cs="Times New Roman"/>
          <w:sz w:val="24"/>
          <w:szCs w:val="24"/>
          <w:lang w:val="en-US"/>
        </w:rPr>
        <w:t>for 15 percent, new products for 9 percent, and new firms for 11 percent. Th</w:t>
      </w:r>
      <w:r>
        <w:rPr>
          <w:rFonts w:ascii="Times New Roman" w:hAnsi="Times New Roman" w:cs="Times New Roman"/>
          <w:sz w:val="24"/>
          <w:szCs w:val="24"/>
          <w:lang w:val="en-US"/>
        </w:rPr>
        <w:t xml:space="preserve">is is in line with the analyses </w:t>
      </w:r>
      <w:r w:rsidRPr="00AB4C98">
        <w:rPr>
          <w:rFonts w:ascii="Times New Roman" w:hAnsi="Times New Roman" w:cs="Times New Roman"/>
          <w:sz w:val="24"/>
          <w:szCs w:val="24"/>
          <w:lang w:val="en-US"/>
        </w:rPr>
        <w:t>in Aldan and Çulha (2013), which suggest the increase in the extensive mar</w:t>
      </w:r>
      <w:r>
        <w:rPr>
          <w:rFonts w:ascii="Times New Roman" w:hAnsi="Times New Roman" w:cs="Times New Roman"/>
          <w:sz w:val="24"/>
          <w:szCs w:val="24"/>
          <w:lang w:val="en-US"/>
        </w:rPr>
        <w:t xml:space="preserve">gin of exports during 1993-2011 </w:t>
      </w:r>
      <w:r w:rsidRPr="00AB4C98">
        <w:rPr>
          <w:rFonts w:ascii="Times New Roman" w:hAnsi="Times New Roman" w:cs="Times New Roman"/>
          <w:sz w:val="24"/>
          <w:szCs w:val="24"/>
          <w:lang w:val="en-US"/>
        </w:rPr>
        <w:t>mostly comes from entering new markets.</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C6A7A26" wp14:editId="1BDD061C">
            <wp:extent cx="5391150" cy="17970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17970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986A140" wp14:editId="3CE50F35">
            <wp:extent cx="5391150" cy="25717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1150" cy="25717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AB4C98">
        <w:rPr>
          <w:rFonts w:ascii="Times New Roman" w:hAnsi="Times New Roman" w:cs="Times New Roman"/>
          <w:sz w:val="24"/>
          <w:szCs w:val="24"/>
          <w:lang w:val="en-US"/>
        </w:rPr>
        <w:t>21. A high reliance of export growth on the intensive margin is not un</w:t>
      </w:r>
      <w:r>
        <w:rPr>
          <w:rFonts w:ascii="Times New Roman" w:hAnsi="Times New Roman" w:cs="Times New Roman"/>
          <w:sz w:val="24"/>
          <w:szCs w:val="24"/>
          <w:lang w:val="en-US"/>
        </w:rPr>
        <w:t xml:space="preserve">usual for a country at Turkey’s </w:t>
      </w:r>
      <w:r w:rsidRPr="00AB4C98">
        <w:rPr>
          <w:rFonts w:ascii="Times New Roman" w:hAnsi="Times New Roman" w:cs="Times New Roman"/>
          <w:sz w:val="24"/>
          <w:szCs w:val="24"/>
          <w:lang w:val="en-US"/>
        </w:rPr>
        <w:t xml:space="preserve">stage of development. </w:t>
      </w:r>
      <w:r w:rsidRPr="00AB4C98">
        <w:rPr>
          <w:rFonts w:ascii="Times New Roman" w:hAnsi="Times New Roman" w:cs="Times New Roman"/>
          <w:color w:val="FF0000"/>
          <w:sz w:val="24"/>
          <w:szCs w:val="24"/>
          <w:lang w:val="en-US"/>
        </w:rPr>
        <w:t>Figure 6</w:t>
      </w:r>
      <w:r w:rsidRPr="00AB4C98">
        <w:rPr>
          <w:rFonts w:ascii="Times New Roman" w:hAnsi="Times New Roman" w:cs="Times New Roman"/>
          <w:sz w:val="24"/>
          <w:szCs w:val="24"/>
          <w:lang w:val="en-US"/>
        </w:rPr>
        <w:t xml:space="preserve"> compares Turkey’s share of export grow</w:t>
      </w:r>
      <w:r>
        <w:rPr>
          <w:rFonts w:ascii="Times New Roman" w:hAnsi="Times New Roman" w:cs="Times New Roman"/>
          <w:sz w:val="24"/>
          <w:szCs w:val="24"/>
          <w:lang w:val="en-US"/>
        </w:rPr>
        <w:t xml:space="preserve">th on the intensive margin with </w:t>
      </w:r>
      <w:r w:rsidRPr="00AB4C98">
        <w:rPr>
          <w:rFonts w:ascii="Times New Roman" w:hAnsi="Times New Roman" w:cs="Times New Roman"/>
          <w:sz w:val="24"/>
          <w:szCs w:val="24"/>
          <w:lang w:val="en-US"/>
        </w:rPr>
        <w:t>countries across a range of develo</w:t>
      </w:r>
      <w:r>
        <w:rPr>
          <w:rFonts w:ascii="Times New Roman" w:hAnsi="Times New Roman" w:cs="Times New Roman"/>
          <w:sz w:val="24"/>
          <w:szCs w:val="24"/>
          <w:lang w:val="en-US"/>
        </w:rPr>
        <w:t xml:space="preserve">pment levels and geographies. </w:t>
      </w:r>
      <w:r w:rsidRPr="00AB4C98">
        <w:rPr>
          <w:rFonts w:ascii="Times New Roman" w:hAnsi="Times New Roman" w:cs="Times New Roman"/>
          <w:sz w:val="24"/>
          <w:szCs w:val="24"/>
          <w:lang w:val="en-US"/>
        </w:rPr>
        <w:t>The data sug</w:t>
      </w:r>
      <w:r>
        <w:rPr>
          <w:rFonts w:ascii="Times New Roman" w:hAnsi="Times New Roman" w:cs="Times New Roman"/>
          <w:sz w:val="24"/>
          <w:szCs w:val="24"/>
          <w:lang w:val="en-US"/>
        </w:rPr>
        <w:t xml:space="preserve">gests there may be a decreasing </w:t>
      </w:r>
      <w:r w:rsidRPr="00AB4C98">
        <w:rPr>
          <w:rFonts w:ascii="Times New Roman" w:hAnsi="Times New Roman" w:cs="Times New Roman"/>
          <w:sz w:val="24"/>
          <w:szCs w:val="24"/>
          <w:lang w:val="en-US"/>
        </w:rPr>
        <w:t>contribution of the intensive margin at higher stages of development, as co</w:t>
      </w:r>
      <w:r>
        <w:rPr>
          <w:rFonts w:ascii="Times New Roman" w:hAnsi="Times New Roman" w:cs="Times New Roman"/>
          <w:sz w:val="24"/>
          <w:szCs w:val="24"/>
          <w:lang w:val="en-US"/>
        </w:rPr>
        <w:t xml:space="preserve">mpanies close to the technology </w:t>
      </w:r>
      <w:r w:rsidRPr="00AB4C98">
        <w:rPr>
          <w:rFonts w:ascii="Times New Roman" w:hAnsi="Times New Roman" w:cs="Times New Roman"/>
          <w:sz w:val="24"/>
          <w:szCs w:val="24"/>
          <w:lang w:val="en-US"/>
        </w:rPr>
        <w:t>frontier need to innovate more to remain in business, producing a diversi</w:t>
      </w:r>
      <w:r>
        <w:rPr>
          <w:rFonts w:ascii="Times New Roman" w:hAnsi="Times New Roman" w:cs="Times New Roman"/>
          <w:sz w:val="24"/>
          <w:szCs w:val="24"/>
          <w:lang w:val="en-US"/>
        </w:rPr>
        <w:t xml:space="preserve">fied set of goods and services, </w:t>
      </w:r>
      <w:r w:rsidRPr="00AB4C98">
        <w:rPr>
          <w:rFonts w:ascii="Times New Roman" w:hAnsi="Times New Roman" w:cs="Times New Roman"/>
          <w:sz w:val="24"/>
          <w:szCs w:val="24"/>
          <w:lang w:val="en-US"/>
        </w:rPr>
        <w:t>and firms move beyond local and traditional markets. For example, the ex</w:t>
      </w:r>
      <w:r>
        <w:rPr>
          <w:rFonts w:ascii="Times New Roman" w:hAnsi="Times New Roman" w:cs="Times New Roman"/>
          <w:sz w:val="24"/>
          <w:szCs w:val="24"/>
          <w:lang w:val="en-US"/>
        </w:rPr>
        <w:t xml:space="preserve">tensive margin accounted for 60 </w:t>
      </w:r>
      <w:r w:rsidRPr="00AB4C98">
        <w:rPr>
          <w:rFonts w:ascii="Times New Roman" w:hAnsi="Times New Roman" w:cs="Times New Roman"/>
          <w:sz w:val="24"/>
          <w:szCs w:val="24"/>
          <w:lang w:val="en-US"/>
        </w:rPr>
        <w:t xml:space="preserve">percent of France’s export growth over 2002-2007, of which 27 percentage </w:t>
      </w:r>
      <w:r>
        <w:rPr>
          <w:rFonts w:ascii="Times New Roman" w:hAnsi="Times New Roman" w:cs="Times New Roman"/>
          <w:sz w:val="24"/>
          <w:szCs w:val="24"/>
          <w:lang w:val="en-US"/>
        </w:rPr>
        <w:t xml:space="preserve">points was accounted for by the </w:t>
      </w:r>
      <w:r w:rsidRPr="00AB4C98">
        <w:rPr>
          <w:rFonts w:ascii="Times New Roman" w:hAnsi="Times New Roman" w:cs="Times New Roman"/>
          <w:sz w:val="24"/>
          <w:szCs w:val="24"/>
          <w:lang w:val="en-US"/>
        </w:rPr>
        <w:t>replacement of less efficient with more efficient firms, 20 percentage point</w:t>
      </w:r>
      <w:r>
        <w:rPr>
          <w:rFonts w:ascii="Times New Roman" w:hAnsi="Times New Roman" w:cs="Times New Roman"/>
          <w:sz w:val="24"/>
          <w:szCs w:val="24"/>
          <w:lang w:val="en-US"/>
        </w:rPr>
        <w:t xml:space="preserve">s from new market entry and the </w:t>
      </w:r>
      <w:r w:rsidRPr="00AB4C98">
        <w:rPr>
          <w:rFonts w:ascii="Times New Roman" w:hAnsi="Times New Roman" w:cs="Times New Roman"/>
          <w:sz w:val="24"/>
          <w:szCs w:val="24"/>
          <w:lang w:val="en-US"/>
        </w:rPr>
        <w:t>phasing out of slow-growing markets, and 13 percentage points from focus</w:t>
      </w:r>
      <w:r>
        <w:rPr>
          <w:rFonts w:ascii="Times New Roman" w:hAnsi="Times New Roman" w:cs="Times New Roman"/>
          <w:sz w:val="24"/>
          <w:szCs w:val="24"/>
          <w:lang w:val="en-US"/>
        </w:rPr>
        <w:t xml:space="preserve">ing on exporting new and higher </w:t>
      </w:r>
      <w:r w:rsidRPr="00AB4C98">
        <w:rPr>
          <w:rFonts w:ascii="Times New Roman" w:hAnsi="Times New Roman" w:cs="Times New Roman"/>
          <w:sz w:val="24"/>
          <w:szCs w:val="24"/>
          <w:lang w:val="en-US"/>
        </w:rPr>
        <w:t>value products (Bricongne et al. 2011). For commodity exporters, this ex</w:t>
      </w:r>
      <w:r>
        <w:rPr>
          <w:rFonts w:ascii="Times New Roman" w:hAnsi="Times New Roman" w:cs="Times New Roman"/>
          <w:sz w:val="24"/>
          <w:szCs w:val="24"/>
          <w:lang w:val="en-US"/>
        </w:rPr>
        <w:t xml:space="preserve">perimentation may be slower and </w:t>
      </w:r>
      <w:r w:rsidRPr="00AB4C98">
        <w:rPr>
          <w:rFonts w:ascii="Times New Roman" w:hAnsi="Times New Roman" w:cs="Times New Roman"/>
          <w:sz w:val="24"/>
          <w:szCs w:val="24"/>
          <w:lang w:val="en-US"/>
        </w:rPr>
        <w:t xml:space="preserve">the relative contribution from the intensive margin higher. Indeed, this is what emerges from </w:t>
      </w:r>
      <w:r>
        <w:rPr>
          <w:rFonts w:ascii="Times New Roman" w:hAnsi="Times New Roman" w:cs="Times New Roman"/>
          <w:sz w:val="24"/>
          <w:szCs w:val="24"/>
          <w:lang w:val="en-US"/>
        </w:rPr>
        <w:t xml:space="preserve">the scatter-plot, </w:t>
      </w:r>
      <w:r w:rsidRPr="00AB4C98">
        <w:rPr>
          <w:rFonts w:ascii="Times New Roman" w:hAnsi="Times New Roman" w:cs="Times New Roman"/>
          <w:sz w:val="24"/>
          <w:szCs w:val="24"/>
          <w:lang w:val="en-US"/>
        </w:rPr>
        <w:t>where the countries who rely most on the intensive margin are all significant</w:t>
      </w:r>
      <w:r>
        <w:rPr>
          <w:rFonts w:ascii="Times New Roman" w:hAnsi="Times New Roman" w:cs="Times New Roman"/>
          <w:sz w:val="24"/>
          <w:szCs w:val="24"/>
          <w:lang w:val="en-US"/>
        </w:rPr>
        <w:t xml:space="preserve"> exporters of commodities, with </w:t>
      </w:r>
      <w:r w:rsidRPr="00AB4C98">
        <w:rPr>
          <w:rFonts w:ascii="Times New Roman" w:hAnsi="Times New Roman" w:cs="Times New Roman"/>
          <w:sz w:val="24"/>
          <w:szCs w:val="24"/>
          <w:lang w:val="en-US"/>
        </w:rPr>
        <w:t>the notable exception of Turkey</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1A5BD90" wp14:editId="5E6619C6">
            <wp:extent cx="5391150" cy="27622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1150" cy="2762250"/>
                    </a:xfrm>
                    <a:prstGeom prst="rect">
                      <a:avLst/>
                    </a:prstGeom>
                    <a:noFill/>
                    <a:ln>
                      <a:noFill/>
                    </a:ln>
                  </pic:spPr>
                </pic:pic>
              </a:graphicData>
            </a:graphic>
          </wp:inline>
        </w:drawing>
      </w:r>
    </w:p>
    <w:p w:rsidR="00925405" w:rsidRPr="001E0B11" w:rsidRDefault="00925405" w:rsidP="00925405">
      <w:pPr>
        <w:spacing w:line="240" w:lineRule="auto"/>
        <w:jc w:val="both"/>
        <w:rPr>
          <w:rFonts w:ascii="Times New Roman" w:hAnsi="Times New Roman" w:cs="Times New Roman"/>
          <w:sz w:val="24"/>
          <w:szCs w:val="24"/>
          <w:lang w:val="en-US"/>
        </w:rPr>
      </w:pPr>
    </w:p>
    <w:p w:rsidR="00925405" w:rsidRPr="008857EE" w:rsidRDefault="00925405" w:rsidP="00925405">
      <w:pPr>
        <w:spacing w:line="240" w:lineRule="auto"/>
        <w:jc w:val="both"/>
        <w:rPr>
          <w:rFonts w:ascii="Times New Roman" w:hAnsi="Times New Roman" w:cs="Times New Roman"/>
          <w:b/>
          <w:sz w:val="24"/>
          <w:szCs w:val="24"/>
          <w:lang w:val="en-US"/>
        </w:rPr>
      </w:pPr>
      <w:r w:rsidRPr="008857EE">
        <w:rPr>
          <w:rFonts w:ascii="Times New Roman" w:hAnsi="Times New Roman" w:cs="Times New Roman"/>
          <w:b/>
          <w:sz w:val="24"/>
          <w:szCs w:val="24"/>
          <w:lang w:val="en-US"/>
        </w:rPr>
        <w:lastRenderedPageBreak/>
        <w:t>Destinations of Turkish Exports</w:t>
      </w:r>
    </w:p>
    <w:p w:rsidR="00925405" w:rsidRDefault="00925405" w:rsidP="00925405">
      <w:pPr>
        <w:spacing w:line="240" w:lineRule="auto"/>
        <w:jc w:val="both"/>
        <w:rPr>
          <w:rFonts w:ascii="Times New Roman" w:hAnsi="Times New Roman" w:cs="Times New Roman"/>
          <w:sz w:val="24"/>
          <w:szCs w:val="24"/>
          <w:lang w:val="en-US"/>
        </w:rPr>
      </w:pPr>
      <w:r w:rsidRPr="008857EE">
        <w:rPr>
          <w:rFonts w:ascii="Times New Roman" w:hAnsi="Times New Roman" w:cs="Times New Roman"/>
          <w:sz w:val="24"/>
          <w:szCs w:val="24"/>
          <w:lang w:val="en-US"/>
        </w:rPr>
        <w:t>24. Turkey significantly diversified its export markets over the last d</w:t>
      </w:r>
      <w:r>
        <w:rPr>
          <w:rFonts w:ascii="Times New Roman" w:hAnsi="Times New Roman" w:cs="Times New Roman"/>
          <w:sz w:val="24"/>
          <w:szCs w:val="24"/>
          <w:lang w:val="en-US"/>
        </w:rPr>
        <w:t xml:space="preserve">ecade. Although the EU remained </w:t>
      </w:r>
      <w:r w:rsidRPr="008857EE">
        <w:rPr>
          <w:rFonts w:ascii="Times New Roman" w:hAnsi="Times New Roman" w:cs="Times New Roman"/>
          <w:sz w:val="24"/>
          <w:szCs w:val="24"/>
          <w:lang w:val="en-US"/>
        </w:rPr>
        <w:t>Turkey’s most important trading partner, Turkish products entered many n</w:t>
      </w:r>
      <w:r>
        <w:rPr>
          <w:rFonts w:ascii="Times New Roman" w:hAnsi="Times New Roman" w:cs="Times New Roman"/>
          <w:sz w:val="24"/>
          <w:szCs w:val="24"/>
          <w:lang w:val="en-US"/>
        </w:rPr>
        <w:t xml:space="preserve">ew markets. Indeed, relative to </w:t>
      </w:r>
      <w:r w:rsidRPr="008857EE">
        <w:rPr>
          <w:rFonts w:ascii="Times New Roman" w:hAnsi="Times New Roman" w:cs="Times New Roman"/>
          <w:sz w:val="24"/>
          <w:szCs w:val="24"/>
          <w:lang w:val="en-US"/>
        </w:rPr>
        <w:t xml:space="preserve">the BRICS, Turkey had the second highest level of market concentration of </w:t>
      </w:r>
      <w:r>
        <w:rPr>
          <w:rFonts w:ascii="Times New Roman" w:hAnsi="Times New Roman" w:cs="Times New Roman"/>
          <w:sz w:val="24"/>
          <w:szCs w:val="24"/>
          <w:lang w:val="en-US"/>
        </w:rPr>
        <w:t xml:space="preserve">exports in 1999, while a decade </w:t>
      </w:r>
      <w:r w:rsidRPr="008857EE">
        <w:rPr>
          <w:rFonts w:ascii="Times New Roman" w:hAnsi="Times New Roman" w:cs="Times New Roman"/>
          <w:sz w:val="24"/>
          <w:szCs w:val="24"/>
          <w:lang w:val="en-US"/>
        </w:rPr>
        <w:t>later it was one of the most diversified. Over this period, Turkey’s index</w:t>
      </w:r>
      <w:r>
        <w:rPr>
          <w:rFonts w:ascii="Times New Roman" w:hAnsi="Times New Roman" w:cs="Times New Roman"/>
          <w:sz w:val="24"/>
          <w:szCs w:val="24"/>
          <w:lang w:val="en-US"/>
        </w:rPr>
        <w:t xml:space="preserve"> of export market concentration </w:t>
      </w:r>
      <w:r w:rsidRPr="008857EE">
        <w:rPr>
          <w:rFonts w:ascii="Times New Roman" w:hAnsi="Times New Roman" w:cs="Times New Roman"/>
          <w:sz w:val="24"/>
          <w:szCs w:val="24"/>
          <w:lang w:val="en-US"/>
        </w:rPr>
        <w:t>halved (</w:t>
      </w:r>
      <w:r w:rsidRPr="008857EE">
        <w:rPr>
          <w:rFonts w:ascii="Times New Roman" w:hAnsi="Times New Roman" w:cs="Times New Roman"/>
          <w:color w:val="FF0000"/>
          <w:sz w:val="24"/>
          <w:szCs w:val="24"/>
          <w:lang w:val="en-US"/>
        </w:rPr>
        <w:t>Figure 8</w:t>
      </w:r>
      <w:r w:rsidRPr="008857EE">
        <w:rPr>
          <w:rFonts w:ascii="Times New Roman" w:hAnsi="Times New Roman" w:cs="Times New Roman"/>
          <w:sz w:val="24"/>
          <w:szCs w:val="24"/>
          <w:lang w:val="en-US"/>
        </w:rPr>
        <w:t>). Turkey’s exporters also substantially increased their market access, with significant</w:t>
      </w:r>
      <w:r>
        <w:rPr>
          <w:rFonts w:ascii="Times New Roman" w:hAnsi="Times New Roman" w:cs="Times New Roman"/>
          <w:sz w:val="24"/>
          <w:szCs w:val="24"/>
          <w:lang w:val="en-US"/>
        </w:rPr>
        <w:t xml:space="preserve"> levels </w:t>
      </w:r>
      <w:r w:rsidRPr="008857EE">
        <w:rPr>
          <w:rFonts w:ascii="Times New Roman" w:hAnsi="Times New Roman" w:cs="Times New Roman"/>
          <w:sz w:val="24"/>
          <w:szCs w:val="24"/>
          <w:lang w:val="en-US"/>
        </w:rPr>
        <w:t>of exports now going to 137 countries (</w:t>
      </w:r>
      <w:r w:rsidRPr="008857EE">
        <w:rPr>
          <w:rFonts w:ascii="Times New Roman" w:hAnsi="Times New Roman" w:cs="Times New Roman"/>
          <w:color w:val="FF0000"/>
          <w:sz w:val="24"/>
          <w:szCs w:val="24"/>
          <w:lang w:val="en-US"/>
        </w:rPr>
        <w:t>Figure 9</w:t>
      </w:r>
      <w:r w:rsidRPr="008857EE">
        <w:rPr>
          <w:rFonts w:ascii="Times New Roman" w:hAnsi="Times New Roman" w:cs="Times New Roman"/>
          <w:sz w:val="24"/>
          <w:szCs w:val="24"/>
          <w:lang w:val="en-US"/>
        </w:rPr>
        <w:t>). This puts Turkey broadly i</w:t>
      </w:r>
      <w:r>
        <w:rPr>
          <w:rFonts w:ascii="Times New Roman" w:hAnsi="Times New Roman" w:cs="Times New Roman"/>
          <w:sz w:val="24"/>
          <w:szCs w:val="24"/>
          <w:lang w:val="en-US"/>
        </w:rPr>
        <w:t>n line with BRICS peers and far ahead of regional ones.</w:t>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3FAAA5A" wp14:editId="3266111E">
            <wp:extent cx="5397500" cy="2641600"/>
            <wp:effectExtent l="0" t="0" r="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7500" cy="26416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r w:rsidRPr="008857EE">
        <w:rPr>
          <w:rFonts w:ascii="Times New Roman" w:hAnsi="Times New Roman" w:cs="Times New Roman"/>
          <w:sz w:val="24"/>
          <w:szCs w:val="24"/>
          <w:lang w:val="en-US"/>
        </w:rPr>
        <w:t>25. Diversification of Turkey’s export markets has been an outc</w:t>
      </w:r>
      <w:r>
        <w:rPr>
          <w:rFonts w:ascii="Times New Roman" w:hAnsi="Times New Roman" w:cs="Times New Roman"/>
          <w:sz w:val="24"/>
          <w:szCs w:val="24"/>
          <w:lang w:val="en-US"/>
        </w:rPr>
        <w:t xml:space="preserve">ome both of a long term, steady </w:t>
      </w:r>
      <w:r w:rsidRPr="008857EE">
        <w:rPr>
          <w:rFonts w:ascii="Times New Roman" w:hAnsi="Times New Roman" w:cs="Times New Roman"/>
          <w:sz w:val="24"/>
          <w:szCs w:val="24"/>
          <w:lang w:val="en-US"/>
        </w:rPr>
        <w:t xml:space="preserve">expansion of exports to non-traditional locations and the major shock </w:t>
      </w:r>
      <w:r>
        <w:rPr>
          <w:rFonts w:ascii="Times New Roman" w:hAnsi="Times New Roman" w:cs="Times New Roman"/>
          <w:sz w:val="24"/>
          <w:szCs w:val="24"/>
          <w:lang w:val="en-US"/>
        </w:rPr>
        <w:t xml:space="preserve">from the global economic crisis </w:t>
      </w:r>
      <w:r w:rsidRPr="008857EE">
        <w:rPr>
          <w:rFonts w:ascii="Times New Roman" w:hAnsi="Times New Roman" w:cs="Times New Roman"/>
          <w:sz w:val="24"/>
          <w:szCs w:val="24"/>
          <w:lang w:val="en-US"/>
        </w:rPr>
        <w:t xml:space="preserve">and economic problems in Europe. As </w:t>
      </w:r>
      <w:r w:rsidRPr="008857EE">
        <w:rPr>
          <w:rFonts w:ascii="Times New Roman" w:hAnsi="Times New Roman" w:cs="Times New Roman"/>
          <w:color w:val="FF0000"/>
          <w:sz w:val="24"/>
          <w:szCs w:val="24"/>
          <w:lang w:val="en-US"/>
        </w:rPr>
        <w:t xml:space="preserve">Figure 10 </w:t>
      </w:r>
      <w:r w:rsidRPr="008857EE">
        <w:rPr>
          <w:rFonts w:ascii="Times New Roman" w:hAnsi="Times New Roman" w:cs="Times New Roman"/>
          <w:sz w:val="24"/>
          <w:szCs w:val="24"/>
          <w:lang w:val="en-US"/>
        </w:rPr>
        <w:t xml:space="preserve">shows, the EU remains </w:t>
      </w:r>
      <w:r>
        <w:rPr>
          <w:rFonts w:ascii="Times New Roman" w:hAnsi="Times New Roman" w:cs="Times New Roman"/>
          <w:sz w:val="24"/>
          <w:szCs w:val="24"/>
          <w:lang w:val="en-US"/>
        </w:rPr>
        <w:t xml:space="preserve">by far Turkey’s largest trading </w:t>
      </w:r>
      <w:r w:rsidRPr="008857EE">
        <w:rPr>
          <w:rFonts w:ascii="Times New Roman" w:hAnsi="Times New Roman" w:cs="Times New Roman"/>
          <w:sz w:val="24"/>
          <w:szCs w:val="24"/>
          <w:lang w:val="en-US"/>
        </w:rPr>
        <w:t>partner, but its relative importance is clearly in decline, with MENA gainin</w:t>
      </w:r>
      <w:r>
        <w:rPr>
          <w:rFonts w:ascii="Times New Roman" w:hAnsi="Times New Roman" w:cs="Times New Roman"/>
          <w:sz w:val="24"/>
          <w:szCs w:val="24"/>
          <w:lang w:val="en-US"/>
        </w:rPr>
        <w:t xml:space="preserve">g more prominence. While export </w:t>
      </w:r>
      <w:r w:rsidRPr="008857EE">
        <w:rPr>
          <w:rFonts w:ascii="Times New Roman" w:hAnsi="Times New Roman" w:cs="Times New Roman"/>
          <w:sz w:val="24"/>
          <w:szCs w:val="24"/>
          <w:lang w:val="en-US"/>
        </w:rPr>
        <w:t>growth to all regions declined during the crisis, the decline in exports to the EU</w:t>
      </w:r>
      <w:r>
        <w:rPr>
          <w:rFonts w:ascii="Times New Roman" w:hAnsi="Times New Roman" w:cs="Times New Roman"/>
          <w:sz w:val="24"/>
          <w:szCs w:val="24"/>
          <w:lang w:val="en-US"/>
        </w:rPr>
        <w:t xml:space="preserve">-27 and the US started earlier, </w:t>
      </w:r>
      <w:r w:rsidRPr="008857EE">
        <w:rPr>
          <w:rFonts w:ascii="Times New Roman" w:hAnsi="Times New Roman" w:cs="Times New Roman"/>
          <w:sz w:val="24"/>
          <w:szCs w:val="24"/>
          <w:lang w:val="en-US"/>
        </w:rPr>
        <w:t xml:space="preserve">was more pronounced, and lasted longer than the decline in exports to other </w:t>
      </w:r>
      <w:r>
        <w:rPr>
          <w:rFonts w:ascii="Times New Roman" w:hAnsi="Times New Roman" w:cs="Times New Roman"/>
          <w:sz w:val="24"/>
          <w:szCs w:val="24"/>
          <w:lang w:val="en-US"/>
        </w:rPr>
        <w:t xml:space="preserve">regions. Even after the rebound </w:t>
      </w:r>
      <w:r w:rsidRPr="008857EE">
        <w:rPr>
          <w:rFonts w:ascii="Times New Roman" w:hAnsi="Times New Roman" w:cs="Times New Roman"/>
          <w:sz w:val="24"/>
          <w:szCs w:val="24"/>
          <w:lang w:val="en-US"/>
        </w:rPr>
        <w:t>in exports in 2010, the value of exports to the US and EU-27 is about 10 percent l</w:t>
      </w:r>
      <w:r>
        <w:rPr>
          <w:rFonts w:ascii="Times New Roman" w:hAnsi="Times New Roman" w:cs="Times New Roman"/>
          <w:sz w:val="24"/>
          <w:szCs w:val="24"/>
          <w:lang w:val="en-US"/>
        </w:rPr>
        <w:t xml:space="preserve">ower than in 2007 while </w:t>
      </w:r>
      <w:r w:rsidRPr="008857EE">
        <w:rPr>
          <w:rFonts w:ascii="Times New Roman" w:hAnsi="Times New Roman" w:cs="Times New Roman"/>
          <w:sz w:val="24"/>
          <w:szCs w:val="24"/>
          <w:lang w:val="en-US"/>
        </w:rPr>
        <w:t xml:space="preserve">exports to MENA and Asia are more than 50 percent higher than in 2007. As </w:t>
      </w:r>
      <w:r>
        <w:rPr>
          <w:rFonts w:ascii="Times New Roman" w:hAnsi="Times New Roman" w:cs="Times New Roman"/>
          <w:sz w:val="24"/>
          <w:szCs w:val="24"/>
          <w:lang w:val="en-US"/>
        </w:rPr>
        <w:t xml:space="preserve">a result, between 2007 and 2010 </w:t>
      </w:r>
      <w:r w:rsidRPr="008857EE">
        <w:rPr>
          <w:rFonts w:ascii="Times New Roman" w:hAnsi="Times New Roman" w:cs="Times New Roman"/>
          <w:sz w:val="24"/>
          <w:szCs w:val="24"/>
          <w:lang w:val="en-US"/>
        </w:rPr>
        <w:t>alone, the EU-27 share of Turkey’s exports declined by more than 10 percen</w:t>
      </w:r>
      <w:r>
        <w:rPr>
          <w:rFonts w:ascii="Times New Roman" w:hAnsi="Times New Roman" w:cs="Times New Roman"/>
          <w:sz w:val="24"/>
          <w:szCs w:val="24"/>
          <w:lang w:val="en-US"/>
        </w:rPr>
        <w:t xml:space="preserve">tage points, from 59 percent to </w:t>
      </w:r>
      <w:r w:rsidRPr="008857EE">
        <w:rPr>
          <w:rFonts w:ascii="Times New Roman" w:hAnsi="Times New Roman" w:cs="Times New Roman"/>
          <w:sz w:val="24"/>
          <w:szCs w:val="24"/>
          <w:lang w:val="en-US"/>
        </w:rPr>
        <w:t>48 percent. The biggest winners from this shift were MENA (whose share</w:t>
      </w:r>
      <w:r>
        <w:rPr>
          <w:rFonts w:ascii="Times New Roman" w:hAnsi="Times New Roman" w:cs="Times New Roman"/>
          <w:sz w:val="24"/>
          <w:szCs w:val="24"/>
          <w:lang w:val="en-US"/>
        </w:rPr>
        <w:t xml:space="preserve"> grew from 16.7 percent to 25.1 </w:t>
      </w:r>
      <w:r w:rsidRPr="008857EE">
        <w:rPr>
          <w:rFonts w:ascii="Times New Roman" w:hAnsi="Times New Roman" w:cs="Times New Roman"/>
          <w:sz w:val="24"/>
          <w:szCs w:val="24"/>
          <w:lang w:val="en-US"/>
        </w:rPr>
        <w:t xml:space="preserve">percent) and Asia (from 6.5 percent to 9.4 percent). As a result of aggressive </w:t>
      </w:r>
      <w:r>
        <w:rPr>
          <w:rFonts w:ascii="Times New Roman" w:hAnsi="Times New Roman" w:cs="Times New Roman"/>
          <w:sz w:val="24"/>
          <w:szCs w:val="24"/>
          <w:lang w:val="en-US"/>
        </w:rPr>
        <w:t xml:space="preserve">market diversification, Turkish </w:t>
      </w:r>
      <w:r w:rsidRPr="008857EE">
        <w:rPr>
          <w:rFonts w:ascii="Times New Roman" w:hAnsi="Times New Roman" w:cs="Times New Roman"/>
          <w:sz w:val="24"/>
          <w:szCs w:val="24"/>
          <w:lang w:val="en-US"/>
        </w:rPr>
        <w:t xml:space="preserve">exporters’ market share in MENA has almost doubled to over 5 percent </w:t>
      </w:r>
      <w:r>
        <w:rPr>
          <w:rFonts w:ascii="Times New Roman" w:hAnsi="Times New Roman" w:cs="Times New Roman"/>
          <w:sz w:val="24"/>
          <w:szCs w:val="24"/>
          <w:lang w:val="en-US"/>
        </w:rPr>
        <w:t>(</w:t>
      </w:r>
      <w:r w:rsidRPr="008857EE">
        <w:rPr>
          <w:rFonts w:ascii="Times New Roman" w:hAnsi="Times New Roman" w:cs="Times New Roman"/>
          <w:color w:val="FF0000"/>
          <w:sz w:val="24"/>
          <w:szCs w:val="24"/>
          <w:lang w:val="en-US"/>
        </w:rPr>
        <w:t>Figure 11</w:t>
      </w:r>
      <w:r>
        <w:rPr>
          <w:rFonts w:ascii="Times New Roman" w:hAnsi="Times New Roman" w:cs="Times New Roman"/>
          <w:sz w:val="24"/>
          <w:szCs w:val="24"/>
          <w:lang w:val="en-US"/>
        </w:rPr>
        <w:t xml:space="preserve">). The US, meanwhile, </w:t>
      </w:r>
      <w:r w:rsidRPr="008857EE">
        <w:rPr>
          <w:rFonts w:ascii="Times New Roman" w:hAnsi="Times New Roman" w:cs="Times New Roman"/>
          <w:sz w:val="24"/>
          <w:szCs w:val="24"/>
          <w:lang w:val="en-US"/>
        </w:rPr>
        <w:t>continued its long-term decline in importance (linked more to the end of the Mul</w:t>
      </w:r>
      <w:r>
        <w:rPr>
          <w:rFonts w:ascii="Times New Roman" w:hAnsi="Times New Roman" w:cs="Times New Roman"/>
          <w:sz w:val="24"/>
          <w:szCs w:val="24"/>
          <w:lang w:val="en-US"/>
        </w:rPr>
        <w:t xml:space="preserve">tifibre Arrangement in textiles </w:t>
      </w:r>
      <w:r w:rsidRPr="008857EE">
        <w:rPr>
          <w:rFonts w:ascii="Times New Roman" w:hAnsi="Times New Roman" w:cs="Times New Roman"/>
          <w:sz w:val="24"/>
          <w:szCs w:val="24"/>
          <w:lang w:val="en-US"/>
        </w:rPr>
        <w:t>than to the economic crisis), shrinking to only 3.3 percent of Turkey’s exports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934B70">
        <w:rPr>
          <w:rFonts w:ascii="Times New Roman" w:hAnsi="Times New Roman" w:cs="Times New Roman"/>
          <w:sz w:val="24"/>
          <w:szCs w:val="24"/>
          <w:lang w:val="en-US"/>
        </w:rPr>
        <w:t>The group of</w:t>
      </w:r>
      <w:r>
        <w:rPr>
          <w:rFonts w:ascii="Times New Roman" w:hAnsi="Times New Roman" w:cs="Times New Roman"/>
          <w:sz w:val="24"/>
          <w:szCs w:val="24"/>
          <w:lang w:val="en-US"/>
        </w:rPr>
        <w:t xml:space="preserve"> </w:t>
      </w:r>
      <w:r w:rsidRPr="00934B70">
        <w:rPr>
          <w:rFonts w:ascii="Times New Roman" w:hAnsi="Times New Roman" w:cs="Times New Roman"/>
          <w:sz w:val="24"/>
          <w:szCs w:val="24"/>
          <w:lang w:val="en-US"/>
        </w:rPr>
        <w:t>MENA countries includes: Algeria, Djibouti, Egypt, Iran, Iraq, Jordan, Lebanon, Libya, Mor</w:t>
      </w:r>
      <w:r>
        <w:rPr>
          <w:rFonts w:ascii="Times New Roman" w:hAnsi="Times New Roman" w:cs="Times New Roman"/>
          <w:sz w:val="24"/>
          <w:szCs w:val="24"/>
          <w:lang w:val="en-US"/>
        </w:rPr>
        <w:t>occo, Syria, Tunisia, and Yemen)</w:t>
      </w:r>
    </w:p>
    <w:p w:rsidR="00925405" w:rsidRPr="00F753EE"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6776819" wp14:editId="5DE16E68">
            <wp:extent cx="3511550" cy="26479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511550" cy="26479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2C557834" wp14:editId="65F1365C">
            <wp:extent cx="1841500" cy="270510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41500" cy="27051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8857EE">
        <w:rPr>
          <w:rFonts w:ascii="Times New Roman" w:hAnsi="Times New Roman" w:cs="Times New Roman"/>
          <w:sz w:val="24"/>
          <w:szCs w:val="24"/>
          <w:lang w:val="en-US"/>
        </w:rPr>
        <w:t>27. Turkey exp</w:t>
      </w:r>
      <w:r>
        <w:rPr>
          <w:rFonts w:ascii="Times New Roman" w:hAnsi="Times New Roman" w:cs="Times New Roman"/>
          <w:sz w:val="24"/>
          <w:szCs w:val="24"/>
          <w:lang w:val="en-US"/>
        </w:rPr>
        <w:t xml:space="preserve">orts different products to MENA </w:t>
      </w:r>
      <w:r w:rsidRPr="008857EE">
        <w:rPr>
          <w:rFonts w:ascii="Times New Roman" w:hAnsi="Times New Roman" w:cs="Times New Roman"/>
          <w:sz w:val="24"/>
          <w:szCs w:val="24"/>
          <w:lang w:val="en-US"/>
        </w:rPr>
        <w:t>and the EU. Export</w:t>
      </w:r>
      <w:r>
        <w:rPr>
          <w:rFonts w:ascii="Times New Roman" w:hAnsi="Times New Roman" w:cs="Times New Roman"/>
          <w:sz w:val="24"/>
          <w:szCs w:val="24"/>
          <w:lang w:val="en-US"/>
        </w:rPr>
        <w:t xml:space="preserve">s to the EU-27 are dominated by </w:t>
      </w:r>
      <w:r w:rsidRPr="008857EE">
        <w:rPr>
          <w:rFonts w:ascii="Times New Roman" w:hAnsi="Times New Roman" w:cs="Times New Roman"/>
          <w:sz w:val="24"/>
          <w:szCs w:val="24"/>
          <w:lang w:val="en-US"/>
        </w:rPr>
        <w:t>vehicles and textiles (</w:t>
      </w:r>
      <w:r w:rsidRPr="003F210E">
        <w:rPr>
          <w:rFonts w:ascii="Times New Roman" w:hAnsi="Times New Roman" w:cs="Times New Roman"/>
          <w:color w:val="FF0000"/>
          <w:sz w:val="24"/>
          <w:szCs w:val="24"/>
          <w:lang w:val="en-US"/>
        </w:rPr>
        <w:t>Figure 12 and Figure 13</w:t>
      </w:r>
      <w:r>
        <w:rPr>
          <w:rFonts w:ascii="Times New Roman" w:hAnsi="Times New Roman" w:cs="Times New Roman"/>
          <w:sz w:val="24"/>
          <w:szCs w:val="24"/>
          <w:lang w:val="en-US"/>
        </w:rPr>
        <w:t xml:space="preserve">). These </w:t>
      </w:r>
      <w:r w:rsidRPr="008857EE">
        <w:rPr>
          <w:rFonts w:ascii="Times New Roman" w:hAnsi="Times New Roman" w:cs="Times New Roman"/>
          <w:sz w:val="24"/>
          <w:szCs w:val="24"/>
          <w:lang w:val="en-US"/>
        </w:rPr>
        <w:t xml:space="preserve">sectors had divergent </w:t>
      </w:r>
      <w:r>
        <w:rPr>
          <w:rFonts w:ascii="Times New Roman" w:hAnsi="Times New Roman" w:cs="Times New Roman"/>
          <w:sz w:val="24"/>
          <w:szCs w:val="24"/>
          <w:lang w:val="en-US"/>
        </w:rPr>
        <w:t xml:space="preserve">trends during the past decade, </w:t>
      </w:r>
      <w:r w:rsidRPr="008857EE">
        <w:rPr>
          <w:rFonts w:ascii="Times New Roman" w:hAnsi="Times New Roman" w:cs="Times New Roman"/>
          <w:sz w:val="24"/>
          <w:szCs w:val="24"/>
          <w:lang w:val="en-US"/>
        </w:rPr>
        <w:t>with textiles in decline and automotive exports</w:t>
      </w:r>
      <w:r>
        <w:rPr>
          <w:rFonts w:ascii="Times New Roman" w:hAnsi="Times New Roman" w:cs="Times New Roman"/>
          <w:sz w:val="24"/>
          <w:szCs w:val="24"/>
          <w:lang w:val="en-US"/>
        </w:rPr>
        <w:t xml:space="preserve"> </w:t>
      </w:r>
      <w:r w:rsidRPr="003F210E">
        <w:rPr>
          <w:rFonts w:ascii="Times New Roman" w:hAnsi="Times New Roman" w:cs="Times New Roman"/>
          <w:sz w:val="24"/>
          <w:szCs w:val="24"/>
          <w:lang w:val="en-US"/>
        </w:rPr>
        <w:t>in ascendancy, the latter linked with increasing FDI and the integration int</w:t>
      </w:r>
      <w:r>
        <w:rPr>
          <w:rFonts w:ascii="Times New Roman" w:hAnsi="Times New Roman" w:cs="Times New Roman"/>
          <w:sz w:val="24"/>
          <w:szCs w:val="24"/>
          <w:lang w:val="en-US"/>
        </w:rPr>
        <w:t xml:space="preserve">o regional production networks. </w:t>
      </w:r>
      <w:r w:rsidRPr="003F210E">
        <w:rPr>
          <w:rFonts w:ascii="Times New Roman" w:hAnsi="Times New Roman" w:cs="Times New Roman"/>
          <w:sz w:val="24"/>
          <w:szCs w:val="24"/>
          <w:lang w:val="en-US"/>
        </w:rPr>
        <w:t>Exports to MENA are dominated by metals and to a lesser extent by machin</w:t>
      </w:r>
      <w:r>
        <w:rPr>
          <w:rFonts w:ascii="Times New Roman" w:hAnsi="Times New Roman" w:cs="Times New Roman"/>
          <w:sz w:val="24"/>
          <w:szCs w:val="24"/>
          <w:lang w:val="en-US"/>
        </w:rPr>
        <w:t xml:space="preserve">ery and textiles. In MENA, both </w:t>
      </w:r>
      <w:r w:rsidRPr="003F210E">
        <w:rPr>
          <w:rFonts w:ascii="Times New Roman" w:hAnsi="Times New Roman" w:cs="Times New Roman"/>
          <w:sz w:val="24"/>
          <w:szCs w:val="24"/>
          <w:lang w:val="en-US"/>
        </w:rPr>
        <w:t>vehicles and textiles declined in importance over the last decade, while metals</w:t>
      </w:r>
      <w:r>
        <w:rPr>
          <w:rFonts w:ascii="Times New Roman" w:hAnsi="Times New Roman" w:cs="Times New Roman"/>
          <w:sz w:val="24"/>
          <w:szCs w:val="24"/>
          <w:lang w:val="en-US"/>
        </w:rPr>
        <w:t xml:space="preserve"> increased their importance. In </w:t>
      </w:r>
      <w:r w:rsidRPr="003F210E">
        <w:rPr>
          <w:rFonts w:ascii="Times New Roman" w:hAnsi="Times New Roman" w:cs="Times New Roman"/>
          <w:sz w:val="24"/>
          <w:szCs w:val="24"/>
          <w:lang w:val="en-US"/>
        </w:rPr>
        <w:t>fact, metals alone accounted for one quarter of all growth in Turkish export</w:t>
      </w:r>
      <w:r>
        <w:rPr>
          <w:rFonts w:ascii="Times New Roman" w:hAnsi="Times New Roman" w:cs="Times New Roman"/>
          <w:sz w:val="24"/>
          <w:szCs w:val="24"/>
          <w:lang w:val="en-US"/>
        </w:rPr>
        <w:t xml:space="preserve">s to MENA between 2006 and 2010 </w:t>
      </w:r>
      <w:r w:rsidRPr="003F210E">
        <w:rPr>
          <w:rFonts w:ascii="Times New Roman" w:hAnsi="Times New Roman" w:cs="Times New Roman"/>
          <w:sz w:val="24"/>
          <w:szCs w:val="24"/>
          <w:lang w:val="en-US"/>
        </w:rPr>
        <w:t>(in 2008, it accounted for half the growth and in 2009 for more than 60 percen</w:t>
      </w:r>
      <w:r>
        <w:rPr>
          <w:rFonts w:ascii="Times New Roman" w:hAnsi="Times New Roman" w:cs="Times New Roman"/>
          <w:sz w:val="24"/>
          <w:szCs w:val="24"/>
          <w:lang w:val="en-US"/>
        </w:rPr>
        <w:t xml:space="preserve">t of the decline). On the other </w:t>
      </w:r>
      <w:r w:rsidRPr="003F210E">
        <w:rPr>
          <w:rFonts w:ascii="Times New Roman" w:hAnsi="Times New Roman" w:cs="Times New Roman"/>
          <w:sz w:val="24"/>
          <w:szCs w:val="24"/>
          <w:lang w:val="en-US"/>
        </w:rPr>
        <w:t>hand, the shift in relative importance of destination markets is not simply ex</w:t>
      </w:r>
      <w:r>
        <w:rPr>
          <w:rFonts w:ascii="Times New Roman" w:hAnsi="Times New Roman" w:cs="Times New Roman"/>
          <w:sz w:val="24"/>
          <w:szCs w:val="24"/>
          <w:lang w:val="en-US"/>
        </w:rPr>
        <w:t xml:space="preserve">plained by </w:t>
      </w:r>
      <w:r w:rsidR="00E069BB">
        <w:rPr>
          <w:rFonts w:ascii="Times New Roman" w:hAnsi="Times New Roman" w:cs="Times New Roman"/>
          <w:sz w:val="24"/>
          <w:szCs w:val="24"/>
          <w:lang w:val="en-US"/>
        </w:rPr>
        <w:t>sectorial</w:t>
      </w:r>
      <w:r>
        <w:rPr>
          <w:rFonts w:ascii="Times New Roman" w:hAnsi="Times New Roman" w:cs="Times New Roman"/>
          <w:sz w:val="24"/>
          <w:szCs w:val="24"/>
          <w:lang w:val="en-US"/>
        </w:rPr>
        <w:t xml:space="preserve"> composition </w:t>
      </w:r>
      <w:r w:rsidRPr="003F210E">
        <w:rPr>
          <w:rFonts w:ascii="Times New Roman" w:hAnsi="Times New Roman" w:cs="Times New Roman"/>
          <w:sz w:val="24"/>
          <w:szCs w:val="24"/>
          <w:lang w:val="en-US"/>
        </w:rPr>
        <w:t xml:space="preserve">effects. The shift from the EU towards MENA is taking place across all </w:t>
      </w:r>
      <w:r>
        <w:rPr>
          <w:rFonts w:ascii="Times New Roman" w:hAnsi="Times New Roman" w:cs="Times New Roman"/>
          <w:sz w:val="24"/>
          <w:szCs w:val="24"/>
          <w:lang w:val="en-US"/>
        </w:rPr>
        <w:t>sectors…</w:t>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32E9E01" wp14:editId="1E704B15">
            <wp:extent cx="5397500" cy="26162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7500" cy="26162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CC37349" wp14:editId="412A7137">
            <wp:extent cx="5397500" cy="2908300"/>
            <wp:effectExtent l="0" t="0" r="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7500" cy="29083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3F210E">
        <w:rPr>
          <w:rFonts w:ascii="Times New Roman" w:hAnsi="Times New Roman" w:cs="Times New Roman"/>
          <w:sz w:val="24"/>
          <w:szCs w:val="24"/>
          <w:lang w:val="en-US"/>
        </w:rPr>
        <w:t xml:space="preserve">29. There has also been a significant change in the </w:t>
      </w:r>
      <w:r w:rsidR="00E069BB" w:rsidRPr="003F210E">
        <w:rPr>
          <w:rFonts w:ascii="Times New Roman" w:hAnsi="Times New Roman" w:cs="Times New Roman"/>
          <w:sz w:val="24"/>
          <w:szCs w:val="24"/>
          <w:lang w:val="en-US"/>
        </w:rPr>
        <w:t>sectorial</w:t>
      </w:r>
      <w:r w:rsidRPr="003F210E">
        <w:rPr>
          <w:rFonts w:ascii="Times New Roman" w:hAnsi="Times New Roman" w:cs="Times New Roman"/>
          <w:sz w:val="24"/>
          <w:szCs w:val="24"/>
          <w:lang w:val="en-US"/>
        </w:rPr>
        <w:t xml:space="preserve"> compositi</w:t>
      </w:r>
      <w:r>
        <w:rPr>
          <w:rFonts w:ascii="Times New Roman" w:hAnsi="Times New Roman" w:cs="Times New Roman"/>
          <w:sz w:val="24"/>
          <w:szCs w:val="24"/>
          <w:lang w:val="en-US"/>
        </w:rPr>
        <w:t xml:space="preserve">on of Turkey’s exports over the </w:t>
      </w:r>
      <w:r w:rsidRPr="003F210E">
        <w:rPr>
          <w:rFonts w:ascii="Times New Roman" w:hAnsi="Times New Roman" w:cs="Times New Roman"/>
          <w:sz w:val="24"/>
          <w:szCs w:val="24"/>
          <w:lang w:val="en-US"/>
        </w:rPr>
        <w:t>last decade. The share of the textile and apparel sector, which accounted f</w:t>
      </w:r>
      <w:r>
        <w:rPr>
          <w:rFonts w:ascii="Times New Roman" w:hAnsi="Times New Roman" w:cs="Times New Roman"/>
          <w:sz w:val="24"/>
          <w:szCs w:val="24"/>
          <w:lang w:val="en-US"/>
        </w:rPr>
        <w:t xml:space="preserve">or 40 percent of exports at the </w:t>
      </w:r>
      <w:r w:rsidRPr="003F210E">
        <w:rPr>
          <w:rFonts w:ascii="Times New Roman" w:hAnsi="Times New Roman" w:cs="Times New Roman"/>
          <w:sz w:val="24"/>
          <w:szCs w:val="24"/>
          <w:lang w:val="en-US"/>
        </w:rPr>
        <w:t>beginning of the decade, declined dramatically (</w:t>
      </w:r>
      <w:r w:rsidRPr="003F210E">
        <w:rPr>
          <w:rFonts w:ascii="Times New Roman" w:hAnsi="Times New Roman" w:cs="Times New Roman"/>
          <w:color w:val="FF0000"/>
          <w:sz w:val="24"/>
          <w:szCs w:val="24"/>
          <w:lang w:val="en-US"/>
        </w:rPr>
        <w:t>Figure 15</w:t>
      </w:r>
      <w:r w:rsidRPr="003F210E">
        <w:rPr>
          <w:rFonts w:ascii="Times New Roman" w:hAnsi="Times New Roman" w:cs="Times New Roman"/>
          <w:sz w:val="24"/>
          <w:szCs w:val="24"/>
          <w:lang w:val="en-US"/>
        </w:rPr>
        <w:t xml:space="preserve">). It was replaced </w:t>
      </w:r>
      <w:r>
        <w:rPr>
          <w:rFonts w:ascii="Times New Roman" w:hAnsi="Times New Roman" w:cs="Times New Roman"/>
          <w:sz w:val="24"/>
          <w:szCs w:val="24"/>
          <w:lang w:val="en-US"/>
        </w:rPr>
        <w:t xml:space="preserve">in particular by the automotive </w:t>
      </w:r>
      <w:r w:rsidRPr="003F210E">
        <w:rPr>
          <w:rFonts w:ascii="Times New Roman" w:hAnsi="Times New Roman" w:cs="Times New Roman"/>
          <w:sz w:val="24"/>
          <w:szCs w:val="24"/>
          <w:lang w:val="en-US"/>
        </w:rPr>
        <w:t>sector, which grew rapidly during this period, but also by the machinery and m</w:t>
      </w:r>
      <w:r>
        <w:rPr>
          <w:rFonts w:ascii="Times New Roman" w:hAnsi="Times New Roman" w:cs="Times New Roman"/>
          <w:sz w:val="24"/>
          <w:szCs w:val="24"/>
          <w:lang w:val="en-US"/>
        </w:rPr>
        <w:t xml:space="preserve">etals sectors. This decade-long </w:t>
      </w:r>
      <w:r w:rsidRPr="003F210E">
        <w:rPr>
          <w:rFonts w:ascii="Times New Roman" w:hAnsi="Times New Roman" w:cs="Times New Roman"/>
          <w:sz w:val="24"/>
          <w:szCs w:val="24"/>
          <w:lang w:val="en-US"/>
        </w:rPr>
        <w:t>pattern of structural transformation slowed from 2007, however. Indeed, while the crisis triggered signifi</w:t>
      </w:r>
      <w:r>
        <w:rPr>
          <w:rFonts w:ascii="Times New Roman" w:hAnsi="Times New Roman" w:cs="Times New Roman"/>
          <w:sz w:val="24"/>
          <w:szCs w:val="24"/>
          <w:lang w:val="en-US"/>
        </w:rPr>
        <w:t xml:space="preserve">cant </w:t>
      </w:r>
      <w:r w:rsidRPr="003F210E">
        <w:rPr>
          <w:rFonts w:ascii="Times New Roman" w:hAnsi="Times New Roman" w:cs="Times New Roman"/>
          <w:sz w:val="24"/>
          <w:szCs w:val="24"/>
          <w:lang w:val="en-US"/>
        </w:rPr>
        <w:t xml:space="preserve">shifts in Turkey’s export basket from a market perspective, it coincided with </w:t>
      </w:r>
      <w:r>
        <w:rPr>
          <w:rFonts w:ascii="Times New Roman" w:hAnsi="Times New Roman" w:cs="Times New Roman"/>
          <w:sz w:val="24"/>
          <w:szCs w:val="24"/>
          <w:lang w:val="en-US"/>
        </w:rPr>
        <w:t xml:space="preserve">a period of relative stagnation </w:t>
      </w:r>
      <w:r w:rsidRPr="003F210E">
        <w:rPr>
          <w:rFonts w:ascii="Times New Roman" w:hAnsi="Times New Roman" w:cs="Times New Roman"/>
          <w:sz w:val="24"/>
          <w:szCs w:val="24"/>
          <w:lang w:val="en-US"/>
        </w:rPr>
        <w:t>from a sector and product perspective, although there was some rise in metals a</w:t>
      </w:r>
      <w:r>
        <w:rPr>
          <w:rFonts w:ascii="Times New Roman" w:hAnsi="Times New Roman" w:cs="Times New Roman"/>
          <w:sz w:val="24"/>
          <w:szCs w:val="24"/>
          <w:lang w:val="en-US"/>
        </w:rPr>
        <w:t xml:space="preserve">nd decline in automotive at the </w:t>
      </w:r>
      <w:r w:rsidRPr="003F210E">
        <w:rPr>
          <w:rFonts w:ascii="Times New Roman" w:hAnsi="Times New Roman" w:cs="Times New Roman"/>
          <w:sz w:val="24"/>
          <w:szCs w:val="24"/>
          <w:lang w:val="en-US"/>
        </w:rPr>
        <w:t>height of the crisis. Export growth after the crisis has been less dependent on v</w:t>
      </w:r>
      <w:r>
        <w:rPr>
          <w:rFonts w:ascii="Times New Roman" w:hAnsi="Times New Roman" w:cs="Times New Roman"/>
          <w:sz w:val="24"/>
          <w:szCs w:val="24"/>
          <w:lang w:val="en-US"/>
        </w:rPr>
        <w:t xml:space="preserve">ehicles and transport equipment </w:t>
      </w:r>
      <w:r w:rsidRPr="003F210E">
        <w:rPr>
          <w:rFonts w:ascii="Times New Roman" w:hAnsi="Times New Roman" w:cs="Times New Roman"/>
          <w:sz w:val="24"/>
          <w:szCs w:val="24"/>
          <w:lang w:val="en-US"/>
        </w:rPr>
        <w:t>and more dependent on metals, machinery, and textiles, as well as sectors o</w:t>
      </w:r>
      <w:r>
        <w:rPr>
          <w:rFonts w:ascii="Times New Roman" w:hAnsi="Times New Roman" w:cs="Times New Roman"/>
          <w:sz w:val="24"/>
          <w:szCs w:val="24"/>
          <w:lang w:val="en-US"/>
        </w:rPr>
        <w:t xml:space="preserve">utside the traditionally strong </w:t>
      </w:r>
      <w:r w:rsidRPr="003F210E">
        <w:rPr>
          <w:rFonts w:ascii="Times New Roman" w:hAnsi="Times New Roman" w:cs="Times New Roman"/>
          <w:sz w:val="24"/>
          <w:szCs w:val="24"/>
          <w:lang w:val="en-US"/>
        </w:rPr>
        <w:t>ones. The vehicles sector was the most affected by the crisis and the slowe</w:t>
      </w:r>
      <w:r>
        <w:rPr>
          <w:rFonts w:ascii="Times New Roman" w:hAnsi="Times New Roman" w:cs="Times New Roman"/>
          <w:sz w:val="24"/>
          <w:szCs w:val="24"/>
          <w:lang w:val="en-US"/>
        </w:rPr>
        <w:t xml:space="preserve">st to recover from it. The food </w:t>
      </w:r>
      <w:r w:rsidRPr="003F210E">
        <w:rPr>
          <w:rFonts w:ascii="Times New Roman" w:hAnsi="Times New Roman" w:cs="Times New Roman"/>
          <w:sz w:val="24"/>
          <w:szCs w:val="24"/>
          <w:lang w:val="en-US"/>
        </w:rPr>
        <w:t>and beverages sector, by contrast, showed resilience to the crisis, and has contr</w:t>
      </w:r>
      <w:r>
        <w:rPr>
          <w:rFonts w:ascii="Times New Roman" w:hAnsi="Times New Roman" w:cs="Times New Roman"/>
          <w:sz w:val="24"/>
          <w:szCs w:val="24"/>
          <w:lang w:val="en-US"/>
        </w:rPr>
        <w:t xml:space="preserve">ibuted more to growth after the </w:t>
      </w:r>
      <w:r w:rsidRPr="003F210E">
        <w:rPr>
          <w:rFonts w:ascii="Times New Roman" w:hAnsi="Times New Roman" w:cs="Times New Roman"/>
          <w:sz w:val="24"/>
          <w:szCs w:val="24"/>
          <w:lang w:val="en-US"/>
        </w:rPr>
        <w:t>crisis than the automotive sector.</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5838B68" wp14:editId="52881582">
            <wp:extent cx="5353050" cy="245110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53050" cy="24511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3F210E">
        <w:rPr>
          <w:rFonts w:ascii="Times New Roman" w:hAnsi="Times New Roman" w:cs="Times New Roman"/>
          <w:sz w:val="24"/>
          <w:szCs w:val="24"/>
          <w:lang w:val="en-US"/>
        </w:rPr>
        <w:t>30. Accordingly, Turkey developed revealed comparative advantage in new sectors (</w:t>
      </w:r>
      <w:r w:rsidRPr="003F210E">
        <w:rPr>
          <w:rFonts w:ascii="Times New Roman" w:hAnsi="Times New Roman" w:cs="Times New Roman"/>
          <w:color w:val="FF0000"/>
          <w:sz w:val="24"/>
          <w:szCs w:val="24"/>
          <w:lang w:val="en-US"/>
        </w:rPr>
        <w:t>Table 4</w:t>
      </w:r>
      <w:r w:rsidRPr="003F210E">
        <w:rPr>
          <w:rFonts w:ascii="Times New Roman" w:hAnsi="Times New Roman" w:cs="Times New Roman"/>
          <w:sz w:val="24"/>
          <w:szCs w:val="24"/>
          <w:lang w:val="en-US"/>
        </w:rPr>
        <w:t>). Turkey</w:t>
      </w:r>
      <w:r>
        <w:rPr>
          <w:rFonts w:ascii="Times New Roman" w:hAnsi="Times New Roman" w:cs="Times New Roman"/>
          <w:sz w:val="24"/>
          <w:szCs w:val="24"/>
          <w:lang w:val="en-US"/>
        </w:rPr>
        <w:t xml:space="preserve"> </w:t>
      </w:r>
      <w:r w:rsidRPr="003F210E">
        <w:rPr>
          <w:rFonts w:ascii="Times New Roman" w:hAnsi="Times New Roman" w:cs="Times New Roman"/>
          <w:sz w:val="24"/>
          <w:szCs w:val="24"/>
          <w:lang w:val="en-US"/>
        </w:rPr>
        <w:t xml:space="preserve">maintained revealed comparative advantage (RCA) in a number of </w:t>
      </w:r>
      <w:r w:rsidRPr="003F210E">
        <w:rPr>
          <w:rFonts w:ascii="Times New Roman" w:hAnsi="Times New Roman" w:cs="Times New Roman"/>
          <w:sz w:val="24"/>
          <w:szCs w:val="24"/>
          <w:lang w:val="en-US"/>
        </w:rPr>
        <w:lastRenderedPageBreak/>
        <w:t>resource</w:t>
      </w:r>
      <w:r>
        <w:rPr>
          <w:rFonts w:ascii="Times New Roman" w:hAnsi="Times New Roman" w:cs="Times New Roman"/>
          <w:sz w:val="24"/>
          <w:szCs w:val="24"/>
          <w:lang w:val="en-US"/>
        </w:rPr>
        <w:t xml:space="preserve">-based export sectors including </w:t>
      </w:r>
      <w:r w:rsidRPr="003F210E">
        <w:rPr>
          <w:rFonts w:ascii="Times New Roman" w:hAnsi="Times New Roman" w:cs="Times New Roman"/>
          <w:sz w:val="24"/>
          <w:szCs w:val="24"/>
          <w:lang w:val="en-US"/>
        </w:rPr>
        <w:t>those related to metals (e.g. iron and steel), agricultural products (sugar, tobacco,</w:t>
      </w:r>
      <w:r>
        <w:rPr>
          <w:rFonts w:ascii="Times New Roman" w:hAnsi="Times New Roman" w:cs="Times New Roman"/>
          <w:sz w:val="24"/>
          <w:szCs w:val="24"/>
          <w:lang w:val="en-US"/>
        </w:rPr>
        <w:t xml:space="preserve"> fruit and vegetables), as well </w:t>
      </w:r>
      <w:r w:rsidRPr="003F210E">
        <w:rPr>
          <w:rFonts w:ascii="Times New Roman" w:hAnsi="Times New Roman" w:cs="Times New Roman"/>
          <w:sz w:val="24"/>
          <w:szCs w:val="24"/>
          <w:lang w:val="en-US"/>
        </w:rPr>
        <w:t>as in textiles, and some chemicals. The country also developed RCA in roa</w:t>
      </w:r>
      <w:r>
        <w:rPr>
          <w:rFonts w:ascii="Times New Roman" w:hAnsi="Times New Roman" w:cs="Times New Roman"/>
          <w:sz w:val="24"/>
          <w:szCs w:val="24"/>
          <w:lang w:val="en-US"/>
        </w:rPr>
        <w:t xml:space="preserve">d vehicles, dying, tanning, and </w:t>
      </w:r>
      <w:r w:rsidRPr="003F210E">
        <w:rPr>
          <w:rFonts w:ascii="Times New Roman" w:hAnsi="Times New Roman" w:cs="Times New Roman"/>
          <w:sz w:val="24"/>
          <w:szCs w:val="24"/>
          <w:lang w:val="en-US"/>
        </w:rPr>
        <w:t>coloring of materials. However, most of the products that had the highest R</w:t>
      </w:r>
      <w:r>
        <w:rPr>
          <w:rFonts w:ascii="Times New Roman" w:hAnsi="Times New Roman" w:cs="Times New Roman"/>
          <w:sz w:val="24"/>
          <w:szCs w:val="24"/>
          <w:lang w:val="en-US"/>
        </w:rPr>
        <w:t xml:space="preserve">CA in 2000 experienced declines </w:t>
      </w:r>
      <w:r w:rsidR="00E069BB">
        <w:rPr>
          <w:rFonts w:ascii="Times New Roman" w:hAnsi="Times New Roman" w:cs="Times New Roman"/>
          <w:sz w:val="24"/>
          <w:szCs w:val="24"/>
          <w:lang w:val="en-US"/>
        </w:rPr>
        <w:t>in RCA over the decade -</w:t>
      </w:r>
      <w:r w:rsidRPr="003F210E">
        <w:rPr>
          <w:rFonts w:ascii="Times New Roman" w:hAnsi="Times New Roman" w:cs="Times New Roman"/>
          <w:sz w:val="24"/>
          <w:szCs w:val="24"/>
          <w:lang w:val="en-US"/>
        </w:rPr>
        <w:t xml:space="preserve"> all of the top 5 RCA products and 8 of the top 1</w:t>
      </w:r>
      <w:r>
        <w:rPr>
          <w:rFonts w:ascii="Times New Roman" w:hAnsi="Times New Roman" w:cs="Times New Roman"/>
          <w:sz w:val="24"/>
          <w:szCs w:val="24"/>
          <w:lang w:val="en-US"/>
        </w:rPr>
        <w:t xml:space="preserve">0 had lower RCA in 2010 than in </w:t>
      </w:r>
      <w:r w:rsidRPr="003F210E">
        <w:rPr>
          <w:rFonts w:ascii="Times New Roman" w:hAnsi="Times New Roman" w:cs="Times New Roman"/>
          <w:sz w:val="24"/>
          <w:szCs w:val="24"/>
          <w:lang w:val="en-US"/>
        </w:rPr>
        <w:t xml:space="preserve">2000. The products with the highest growth in RCA over the decade included: </w:t>
      </w:r>
      <w:r>
        <w:rPr>
          <w:rFonts w:ascii="Times New Roman" w:hAnsi="Times New Roman" w:cs="Times New Roman"/>
          <w:sz w:val="24"/>
          <w:szCs w:val="24"/>
          <w:lang w:val="en-US"/>
        </w:rPr>
        <w:t xml:space="preserve">fertilizers; sanitary, plumbing </w:t>
      </w:r>
      <w:r w:rsidRPr="003F210E">
        <w:rPr>
          <w:rFonts w:ascii="Times New Roman" w:hAnsi="Times New Roman" w:cs="Times New Roman"/>
          <w:sz w:val="24"/>
          <w:szCs w:val="24"/>
          <w:lang w:val="en-US"/>
        </w:rPr>
        <w:t>and lighting fixtures; non-ferrous metals; furniture; road vehicles; dying, tann</w:t>
      </w:r>
      <w:r>
        <w:rPr>
          <w:rFonts w:ascii="Times New Roman" w:hAnsi="Times New Roman" w:cs="Times New Roman"/>
          <w:sz w:val="24"/>
          <w:szCs w:val="24"/>
          <w:lang w:val="en-US"/>
        </w:rPr>
        <w:t xml:space="preserve">ing, and coloring of materials; </w:t>
      </w:r>
      <w:r w:rsidRPr="003F210E">
        <w:rPr>
          <w:rFonts w:ascii="Times New Roman" w:hAnsi="Times New Roman" w:cs="Times New Roman"/>
          <w:sz w:val="24"/>
          <w:szCs w:val="24"/>
          <w:lang w:val="en-US"/>
        </w:rPr>
        <w:t>and power generating machinery and equipment</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29189B9" wp14:editId="345D586C">
            <wp:extent cx="5391150" cy="54292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91150" cy="54292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524B1B">
        <w:rPr>
          <w:rFonts w:ascii="Times New Roman" w:hAnsi="Times New Roman" w:cs="Times New Roman"/>
          <w:sz w:val="24"/>
          <w:szCs w:val="24"/>
          <w:lang w:val="en-US"/>
        </w:rPr>
        <w:t xml:space="preserve">40. Europe remains the single most important destination for Turkish </w:t>
      </w:r>
      <w:r>
        <w:rPr>
          <w:rFonts w:ascii="Times New Roman" w:hAnsi="Times New Roman" w:cs="Times New Roman"/>
          <w:sz w:val="24"/>
          <w:szCs w:val="24"/>
          <w:lang w:val="en-US"/>
        </w:rPr>
        <w:t xml:space="preserve">exports, despite a recent shift </w:t>
      </w:r>
      <w:r w:rsidRPr="00524B1B">
        <w:rPr>
          <w:rFonts w:ascii="Times New Roman" w:hAnsi="Times New Roman" w:cs="Times New Roman"/>
          <w:sz w:val="24"/>
          <w:szCs w:val="24"/>
          <w:lang w:val="en-US"/>
        </w:rPr>
        <w:t>to MENA. About 30 percent of all agricultural exports in 2010-12 were destined for Europe (</w:t>
      </w:r>
      <w:r w:rsidRPr="00524B1B">
        <w:rPr>
          <w:rFonts w:ascii="Times New Roman" w:hAnsi="Times New Roman" w:cs="Times New Roman"/>
          <w:color w:val="FF0000"/>
          <w:sz w:val="24"/>
          <w:szCs w:val="24"/>
          <w:lang w:val="en-US"/>
        </w:rPr>
        <w:t>Figure 21</w:t>
      </w:r>
      <w:r>
        <w:rPr>
          <w:rFonts w:ascii="Times New Roman" w:hAnsi="Times New Roman" w:cs="Times New Roman"/>
          <w:sz w:val="24"/>
          <w:szCs w:val="24"/>
          <w:lang w:val="en-US"/>
        </w:rPr>
        <w:t xml:space="preserve">). </w:t>
      </w:r>
      <w:r w:rsidRPr="00524B1B">
        <w:rPr>
          <w:rFonts w:ascii="Times New Roman" w:hAnsi="Times New Roman" w:cs="Times New Roman"/>
          <w:sz w:val="24"/>
          <w:szCs w:val="24"/>
          <w:lang w:val="en-US"/>
        </w:rPr>
        <w:t xml:space="preserve">However, in the past five years exports to MENA have surged and the region </w:t>
      </w:r>
      <w:r>
        <w:rPr>
          <w:rFonts w:ascii="Times New Roman" w:hAnsi="Times New Roman" w:cs="Times New Roman"/>
          <w:sz w:val="24"/>
          <w:szCs w:val="24"/>
          <w:lang w:val="en-US"/>
        </w:rPr>
        <w:t xml:space="preserve">accounted for nearly 30 percent </w:t>
      </w:r>
      <w:r w:rsidRPr="00524B1B">
        <w:rPr>
          <w:rFonts w:ascii="Times New Roman" w:hAnsi="Times New Roman" w:cs="Times New Roman"/>
          <w:sz w:val="24"/>
          <w:szCs w:val="24"/>
          <w:lang w:val="en-US"/>
        </w:rPr>
        <w:t>of agricultural exports in 2010.</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B2AE4FF" wp14:editId="379FF928">
            <wp:extent cx="5397500" cy="23876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7500" cy="23876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524B1B">
        <w:rPr>
          <w:rFonts w:ascii="Times New Roman" w:hAnsi="Times New Roman" w:cs="Times New Roman"/>
          <w:sz w:val="24"/>
          <w:szCs w:val="24"/>
          <w:lang w:val="en-US"/>
        </w:rPr>
        <w:t xml:space="preserve">41. A change in product composition also accompanied shifting geographic orientation. </w:t>
      </w:r>
      <w:r>
        <w:rPr>
          <w:rFonts w:ascii="Times New Roman" w:hAnsi="Times New Roman" w:cs="Times New Roman"/>
          <w:color w:val="FF0000"/>
          <w:sz w:val="24"/>
          <w:szCs w:val="24"/>
          <w:lang w:val="en-US"/>
        </w:rPr>
        <w:t xml:space="preserve">Figure 22 </w:t>
      </w:r>
      <w:r w:rsidRPr="00524B1B">
        <w:rPr>
          <w:rFonts w:ascii="Times New Roman" w:hAnsi="Times New Roman" w:cs="Times New Roman"/>
          <w:sz w:val="24"/>
          <w:szCs w:val="24"/>
          <w:lang w:val="en-US"/>
        </w:rPr>
        <w:t>shows the composition of exports, categorized by the type of processing involved. The first category includes</w:t>
      </w:r>
      <w:r>
        <w:rPr>
          <w:rFonts w:ascii="Times New Roman" w:hAnsi="Times New Roman" w:cs="Times New Roman"/>
          <w:color w:val="FF0000"/>
          <w:sz w:val="24"/>
          <w:szCs w:val="24"/>
          <w:lang w:val="en-US"/>
        </w:rPr>
        <w:t xml:space="preserve"> </w:t>
      </w:r>
      <w:r w:rsidRPr="00524B1B">
        <w:rPr>
          <w:rFonts w:ascii="Times New Roman" w:hAnsi="Times New Roman" w:cs="Times New Roman"/>
          <w:sz w:val="24"/>
          <w:szCs w:val="24"/>
          <w:lang w:val="en-US"/>
        </w:rPr>
        <w:t>unprocessed cereals, like wheat and barley, and lightly processed animal products, like wool and fresh meat.</w:t>
      </w:r>
      <w:r>
        <w:rPr>
          <w:rFonts w:ascii="Times New Roman" w:hAnsi="Times New Roman" w:cs="Times New Roman"/>
          <w:color w:val="FF0000"/>
          <w:sz w:val="24"/>
          <w:szCs w:val="24"/>
          <w:lang w:val="en-US"/>
        </w:rPr>
        <w:t xml:space="preserve"> </w:t>
      </w:r>
      <w:r w:rsidRPr="00524B1B">
        <w:rPr>
          <w:rFonts w:ascii="Times New Roman" w:hAnsi="Times New Roman" w:cs="Times New Roman"/>
          <w:sz w:val="24"/>
          <w:szCs w:val="24"/>
          <w:lang w:val="en-US"/>
        </w:rPr>
        <w:t>Processed goods include products like flour, juice, pastry, dried meat and hides. Fresh horticultural goods,</w:t>
      </w:r>
      <w:r>
        <w:rPr>
          <w:rFonts w:ascii="Times New Roman" w:hAnsi="Times New Roman" w:cs="Times New Roman"/>
          <w:color w:val="FF0000"/>
          <w:sz w:val="24"/>
          <w:szCs w:val="24"/>
          <w:lang w:val="en-US"/>
        </w:rPr>
        <w:t xml:space="preserve"> </w:t>
      </w:r>
      <w:r w:rsidRPr="00524B1B">
        <w:rPr>
          <w:rFonts w:ascii="Times New Roman" w:hAnsi="Times New Roman" w:cs="Times New Roman"/>
          <w:sz w:val="24"/>
          <w:szCs w:val="24"/>
          <w:lang w:val="en-US"/>
        </w:rPr>
        <w:t>and nuts and spices are listed separately, since the items included in these two categories often require special</w:t>
      </w:r>
      <w:r>
        <w:rPr>
          <w:rFonts w:ascii="Times New Roman" w:hAnsi="Times New Roman" w:cs="Times New Roman"/>
          <w:color w:val="FF0000"/>
          <w:sz w:val="24"/>
          <w:szCs w:val="24"/>
          <w:lang w:val="en-US"/>
        </w:rPr>
        <w:t xml:space="preserve"> </w:t>
      </w:r>
      <w:r w:rsidRPr="00524B1B">
        <w:rPr>
          <w:rFonts w:ascii="Times New Roman" w:hAnsi="Times New Roman" w:cs="Times New Roman"/>
          <w:sz w:val="24"/>
          <w:szCs w:val="24"/>
          <w:lang w:val="en-US"/>
        </w:rPr>
        <w:t>handling akin to processing</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color w:val="FF0000"/>
          <w:sz w:val="24"/>
          <w:szCs w:val="24"/>
          <w:lang w:val="en-US"/>
        </w:rPr>
      </w:pPr>
      <w:r>
        <w:rPr>
          <w:rFonts w:ascii="Times New Roman" w:hAnsi="Times New Roman" w:cs="Times New Roman"/>
          <w:noProof/>
          <w:color w:val="FF0000"/>
          <w:sz w:val="24"/>
          <w:szCs w:val="24"/>
          <w:lang w:eastAsia="es-ES"/>
        </w:rPr>
        <w:drawing>
          <wp:inline distT="0" distB="0" distL="0" distR="0" wp14:anchorId="5BE6E3D6" wp14:editId="43BF6E58">
            <wp:extent cx="5397500" cy="25590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97500" cy="25590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524B1B">
        <w:rPr>
          <w:rFonts w:ascii="Times New Roman" w:hAnsi="Times New Roman" w:cs="Times New Roman"/>
          <w:sz w:val="24"/>
          <w:szCs w:val="24"/>
          <w:lang w:val="en-US"/>
        </w:rPr>
        <w:t>59. In the wake</w:t>
      </w:r>
      <w:r>
        <w:rPr>
          <w:rFonts w:ascii="Times New Roman" w:hAnsi="Times New Roman" w:cs="Times New Roman"/>
          <w:sz w:val="24"/>
          <w:szCs w:val="24"/>
          <w:lang w:val="en-US"/>
        </w:rPr>
        <w:t xml:space="preserve"> of the prolonged crisis in the </w:t>
      </w:r>
      <w:r w:rsidRPr="00524B1B">
        <w:rPr>
          <w:rFonts w:ascii="Times New Roman" w:hAnsi="Times New Roman" w:cs="Times New Roman"/>
          <w:sz w:val="24"/>
          <w:szCs w:val="24"/>
          <w:lang w:val="en-US"/>
        </w:rPr>
        <w:t>EU, a lot has b</w:t>
      </w:r>
      <w:r>
        <w:rPr>
          <w:rFonts w:ascii="Times New Roman" w:hAnsi="Times New Roman" w:cs="Times New Roman"/>
          <w:sz w:val="24"/>
          <w:szCs w:val="24"/>
          <w:lang w:val="en-US"/>
        </w:rPr>
        <w:t xml:space="preserve">een made of Turkey’s successful </w:t>
      </w:r>
      <w:r w:rsidRPr="00524B1B">
        <w:rPr>
          <w:rFonts w:ascii="Times New Roman" w:hAnsi="Times New Roman" w:cs="Times New Roman"/>
          <w:sz w:val="24"/>
          <w:szCs w:val="24"/>
          <w:lang w:val="en-US"/>
        </w:rPr>
        <w:t>export marke</w:t>
      </w:r>
      <w:r>
        <w:rPr>
          <w:rFonts w:ascii="Times New Roman" w:hAnsi="Times New Roman" w:cs="Times New Roman"/>
          <w:sz w:val="24"/>
          <w:szCs w:val="24"/>
          <w:lang w:val="en-US"/>
        </w:rPr>
        <w:t xml:space="preserve">t diversification as a key risk </w:t>
      </w:r>
      <w:r w:rsidRPr="00524B1B">
        <w:rPr>
          <w:rFonts w:ascii="Times New Roman" w:hAnsi="Times New Roman" w:cs="Times New Roman"/>
          <w:sz w:val="24"/>
          <w:szCs w:val="24"/>
          <w:lang w:val="en-US"/>
        </w:rPr>
        <w:t>mitigation strateg</w:t>
      </w:r>
      <w:r>
        <w:rPr>
          <w:rFonts w:ascii="Times New Roman" w:hAnsi="Times New Roman" w:cs="Times New Roman"/>
          <w:sz w:val="24"/>
          <w:szCs w:val="24"/>
          <w:lang w:val="en-US"/>
        </w:rPr>
        <w:t xml:space="preserve">y. This is true to some extent. </w:t>
      </w:r>
      <w:r w:rsidRPr="00524B1B">
        <w:rPr>
          <w:rFonts w:ascii="Times New Roman" w:hAnsi="Times New Roman" w:cs="Times New Roman"/>
          <w:sz w:val="24"/>
          <w:szCs w:val="24"/>
          <w:lang w:val="en-US"/>
        </w:rPr>
        <w:t>To see how much, w</w:t>
      </w:r>
      <w:r>
        <w:rPr>
          <w:rFonts w:ascii="Times New Roman" w:hAnsi="Times New Roman" w:cs="Times New Roman"/>
          <w:sz w:val="24"/>
          <w:szCs w:val="24"/>
          <w:lang w:val="en-US"/>
        </w:rPr>
        <w:t xml:space="preserve">e estimate the vulnerability of </w:t>
      </w:r>
      <w:r w:rsidRPr="00524B1B">
        <w:rPr>
          <w:rFonts w:ascii="Times New Roman" w:hAnsi="Times New Roman" w:cs="Times New Roman"/>
          <w:sz w:val="24"/>
          <w:szCs w:val="24"/>
          <w:lang w:val="en-US"/>
        </w:rPr>
        <w:t>Turkey’s exports to a GDP contra</w:t>
      </w:r>
      <w:r>
        <w:rPr>
          <w:rFonts w:ascii="Times New Roman" w:hAnsi="Times New Roman" w:cs="Times New Roman"/>
          <w:sz w:val="24"/>
          <w:szCs w:val="24"/>
          <w:lang w:val="en-US"/>
        </w:rPr>
        <w:t>ction in foreign markets.</w:t>
      </w:r>
      <w:r w:rsidRPr="00524B1B">
        <w:rPr>
          <w:rFonts w:ascii="Times New Roman" w:hAnsi="Times New Roman" w:cs="Times New Roman"/>
          <w:sz w:val="24"/>
          <w:szCs w:val="24"/>
          <w:lang w:val="en-US"/>
        </w:rPr>
        <w:t xml:space="preserve"> As </w:t>
      </w:r>
      <w:r w:rsidRPr="00524B1B">
        <w:rPr>
          <w:rFonts w:ascii="Times New Roman" w:hAnsi="Times New Roman" w:cs="Times New Roman"/>
          <w:color w:val="FF0000"/>
          <w:sz w:val="24"/>
          <w:szCs w:val="24"/>
          <w:lang w:val="en-US"/>
        </w:rPr>
        <w:t>Table 6</w:t>
      </w:r>
      <w:r>
        <w:rPr>
          <w:rFonts w:ascii="Times New Roman" w:hAnsi="Times New Roman" w:cs="Times New Roman"/>
          <w:sz w:val="24"/>
          <w:szCs w:val="24"/>
          <w:lang w:val="en-US"/>
        </w:rPr>
        <w:t xml:space="preserve"> shows, Turkey is indeed </w:t>
      </w:r>
      <w:r w:rsidRPr="00524B1B">
        <w:rPr>
          <w:rFonts w:ascii="Times New Roman" w:hAnsi="Times New Roman" w:cs="Times New Roman"/>
          <w:sz w:val="24"/>
          <w:szCs w:val="24"/>
          <w:lang w:val="en-US"/>
        </w:rPr>
        <w:t xml:space="preserve">most vulnerable to </w:t>
      </w:r>
      <w:r>
        <w:rPr>
          <w:rFonts w:ascii="Times New Roman" w:hAnsi="Times New Roman" w:cs="Times New Roman"/>
          <w:sz w:val="24"/>
          <w:szCs w:val="24"/>
          <w:lang w:val="en-US"/>
        </w:rPr>
        <w:t xml:space="preserve">a contraction of GDP in the EU, </w:t>
      </w:r>
      <w:r w:rsidRPr="00524B1B">
        <w:rPr>
          <w:rFonts w:ascii="Times New Roman" w:hAnsi="Times New Roman" w:cs="Times New Roman"/>
          <w:sz w:val="24"/>
          <w:szCs w:val="24"/>
          <w:lang w:val="en-US"/>
        </w:rPr>
        <w:t>because the EU still ac</w:t>
      </w:r>
      <w:r>
        <w:rPr>
          <w:rFonts w:ascii="Times New Roman" w:hAnsi="Times New Roman" w:cs="Times New Roman"/>
          <w:sz w:val="24"/>
          <w:szCs w:val="24"/>
          <w:lang w:val="en-US"/>
        </w:rPr>
        <w:t xml:space="preserve">counts for the largest share of </w:t>
      </w:r>
      <w:r w:rsidRPr="00524B1B">
        <w:rPr>
          <w:rFonts w:ascii="Times New Roman" w:hAnsi="Times New Roman" w:cs="Times New Roman"/>
          <w:sz w:val="24"/>
          <w:szCs w:val="24"/>
          <w:lang w:val="en-US"/>
        </w:rPr>
        <w:t>Turkey’s exports. How</w:t>
      </w:r>
      <w:r>
        <w:rPr>
          <w:rFonts w:ascii="Times New Roman" w:hAnsi="Times New Roman" w:cs="Times New Roman"/>
          <w:sz w:val="24"/>
          <w:szCs w:val="24"/>
          <w:lang w:val="en-US"/>
        </w:rPr>
        <w:t xml:space="preserve">ever, the elasticity of Turkish </w:t>
      </w:r>
      <w:r w:rsidRPr="00524B1B">
        <w:rPr>
          <w:rFonts w:ascii="Times New Roman" w:hAnsi="Times New Roman" w:cs="Times New Roman"/>
          <w:sz w:val="24"/>
          <w:szCs w:val="24"/>
          <w:lang w:val="en-US"/>
        </w:rPr>
        <w:t>exports to a change in GDP in MENA</w:t>
      </w:r>
      <w:r>
        <w:rPr>
          <w:rFonts w:ascii="Times New Roman" w:hAnsi="Times New Roman" w:cs="Times New Roman"/>
          <w:sz w:val="24"/>
          <w:szCs w:val="24"/>
          <w:lang w:val="en-US"/>
        </w:rPr>
        <w:t xml:space="preserve"> is in fact </w:t>
      </w:r>
      <w:r w:rsidRPr="00524B1B">
        <w:rPr>
          <w:rFonts w:ascii="Times New Roman" w:hAnsi="Times New Roman" w:cs="Times New Roman"/>
          <w:sz w:val="24"/>
          <w:szCs w:val="24"/>
          <w:lang w:val="en-US"/>
        </w:rPr>
        <w:t>higher (0.84 as op</w:t>
      </w:r>
      <w:r>
        <w:rPr>
          <w:rFonts w:ascii="Times New Roman" w:hAnsi="Times New Roman" w:cs="Times New Roman"/>
          <w:sz w:val="24"/>
          <w:szCs w:val="24"/>
          <w:lang w:val="en-US"/>
        </w:rPr>
        <w:t xml:space="preserve">posed to 0.79 for the EU). Were </w:t>
      </w:r>
      <w:r w:rsidRPr="00524B1B">
        <w:rPr>
          <w:rFonts w:ascii="Times New Roman" w:hAnsi="Times New Roman" w:cs="Times New Roman"/>
          <w:sz w:val="24"/>
          <w:szCs w:val="24"/>
          <w:lang w:val="en-US"/>
        </w:rPr>
        <w:t>Turkey to increa</w:t>
      </w:r>
      <w:r>
        <w:rPr>
          <w:rFonts w:ascii="Times New Roman" w:hAnsi="Times New Roman" w:cs="Times New Roman"/>
          <w:sz w:val="24"/>
          <w:szCs w:val="24"/>
          <w:lang w:val="en-US"/>
        </w:rPr>
        <w:t xml:space="preserve">se the share of exports to MENA </w:t>
      </w:r>
      <w:r w:rsidRPr="00524B1B">
        <w:rPr>
          <w:rFonts w:ascii="Times New Roman" w:hAnsi="Times New Roman" w:cs="Times New Roman"/>
          <w:sz w:val="24"/>
          <w:szCs w:val="24"/>
          <w:lang w:val="en-US"/>
        </w:rPr>
        <w:t>to the current sha</w:t>
      </w:r>
      <w:r>
        <w:rPr>
          <w:rFonts w:ascii="Times New Roman" w:hAnsi="Times New Roman" w:cs="Times New Roman"/>
          <w:sz w:val="24"/>
          <w:szCs w:val="24"/>
          <w:lang w:val="en-US"/>
        </w:rPr>
        <w:t xml:space="preserve">re accounted for by the EU, its </w:t>
      </w:r>
      <w:r w:rsidRPr="00524B1B">
        <w:rPr>
          <w:rFonts w:ascii="Times New Roman" w:hAnsi="Times New Roman" w:cs="Times New Roman"/>
          <w:sz w:val="24"/>
          <w:szCs w:val="24"/>
          <w:lang w:val="en-US"/>
        </w:rPr>
        <w:t>vulnerability wou</w:t>
      </w:r>
      <w:r>
        <w:rPr>
          <w:rFonts w:ascii="Times New Roman" w:hAnsi="Times New Roman" w:cs="Times New Roman"/>
          <w:sz w:val="24"/>
          <w:szCs w:val="24"/>
          <w:lang w:val="en-US"/>
        </w:rPr>
        <w:t xml:space="preserve">ld actually increase. Moreover, </w:t>
      </w:r>
      <w:r w:rsidRPr="00524B1B">
        <w:rPr>
          <w:rFonts w:ascii="Times New Roman" w:hAnsi="Times New Roman" w:cs="Times New Roman"/>
          <w:sz w:val="24"/>
          <w:szCs w:val="24"/>
          <w:lang w:val="en-US"/>
        </w:rPr>
        <w:t>import dem</w:t>
      </w:r>
      <w:r>
        <w:rPr>
          <w:rFonts w:ascii="Times New Roman" w:hAnsi="Times New Roman" w:cs="Times New Roman"/>
          <w:sz w:val="24"/>
          <w:szCs w:val="24"/>
          <w:lang w:val="en-US"/>
        </w:rPr>
        <w:t xml:space="preserve">and has become much more highly </w:t>
      </w:r>
      <w:r w:rsidRPr="00524B1B">
        <w:rPr>
          <w:rFonts w:ascii="Times New Roman" w:hAnsi="Times New Roman" w:cs="Times New Roman"/>
          <w:sz w:val="24"/>
          <w:szCs w:val="24"/>
          <w:lang w:val="en-US"/>
        </w:rPr>
        <w:t>correlated across glob</w:t>
      </w:r>
      <w:r>
        <w:rPr>
          <w:rFonts w:ascii="Times New Roman" w:hAnsi="Times New Roman" w:cs="Times New Roman"/>
          <w:sz w:val="24"/>
          <w:szCs w:val="24"/>
          <w:lang w:val="en-US"/>
        </w:rPr>
        <w:t xml:space="preserve">al markets, due in a large part </w:t>
      </w:r>
      <w:r w:rsidRPr="00524B1B">
        <w:rPr>
          <w:rFonts w:ascii="Times New Roman" w:hAnsi="Times New Roman" w:cs="Times New Roman"/>
          <w:sz w:val="24"/>
          <w:szCs w:val="24"/>
          <w:lang w:val="en-US"/>
        </w:rPr>
        <w:t>to the expansion o</w:t>
      </w:r>
      <w:r>
        <w:rPr>
          <w:rFonts w:ascii="Times New Roman" w:hAnsi="Times New Roman" w:cs="Times New Roman"/>
          <w:sz w:val="24"/>
          <w:szCs w:val="24"/>
          <w:lang w:val="en-US"/>
        </w:rPr>
        <w:t xml:space="preserve">f integrated value chains. This </w:t>
      </w:r>
      <w:r w:rsidRPr="00524B1B">
        <w:rPr>
          <w:rFonts w:ascii="Times New Roman" w:hAnsi="Times New Roman" w:cs="Times New Roman"/>
          <w:sz w:val="24"/>
          <w:szCs w:val="24"/>
          <w:lang w:val="en-US"/>
        </w:rPr>
        <w:t>suggests that marke</w:t>
      </w:r>
      <w:r>
        <w:rPr>
          <w:rFonts w:ascii="Times New Roman" w:hAnsi="Times New Roman" w:cs="Times New Roman"/>
          <w:sz w:val="24"/>
          <w:szCs w:val="24"/>
          <w:lang w:val="en-US"/>
        </w:rPr>
        <w:t xml:space="preserve">t diversification may be a less </w:t>
      </w:r>
      <w:r w:rsidRPr="00524B1B">
        <w:rPr>
          <w:rFonts w:ascii="Times New Roman" w:hAnsi="Times New Roman" w:cs="Times New Roman"/>
          <w:sz w:val="24"/>
          <w:szCs w:val="24"/>
          <w:lang w:val="en-US"/>
        </w:rPr>
        <w:t>effective strategy to reduce risk than it was in the</w:t>
      </w:r>
      <w:r>
        <w:rPr>
          <w:rFonts w:ascii="Times New Roman" w:hAnsi="Times New Roman" w:cs="Times New Roman"/>
          <w:sz w:val="24"/>
          <w:szCs w:val="24"/>
          <w:lang w:val="en-US"/>
        </w:rPr>
        <w:t xml:space="preserve"> </w:t>
      </w:r>
      <w:r w:rsidRPr="00524B1B">
        <w:rPr>
          <w:rFonts w:ascii="Times New Roman" w:hAnsi="Times New Roman" w:cs="Times New Roman"/>
          <w:sz w:val="24"/>
          <w:szCs w:val="24"/>
          <w:lang w:val="en-US"/>
        </w:rPr>
        <w:t>past</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lastRenderedPageBreak/>
        <w:t>66. The dist</w:t>
      </w:r>
      <w:r>
        <w:rPr>
          <w:rFonts w:ascii="Times New Roman" w:hAnsi="Times New Roman" w:cs="Times New Roman"/>
          <w:sz w:val="24"/>
          <w:szCs w:val="24"/>
          <w:lang w:val="en-US"/>
        </w:rPr>
        <w:t xml:space="preserve">ribution of Turkey’s exports in </w:t>
      </w:r>
      <w:r w:rsidRPr="001B555C">
        <w:rPr>
          <w:rFonts w:ascii="Times New Roman" w:hAnsi="Times New Roman" w:cs="Times New Roman"/>
          <w:sz w:val="24"/>
          <w:szCs w:val="24"/>
          <w:lang w:val="en-US"/>
        </w:rPr>
        <w:t>aggregate are roug</w:t>
      </w:r>
      <w:r>
        <w:rPr>
          <w:rFonts w:ascii="Times New Roman" w:hAnsi="Times New Roman" w:cs="Times New Roman"/>
          <w:sz w:val="24"/>
          <w:szCs w:val="24"/>
          <w:lang w:val="en-US"/>
        </w:rPr>
        <w:t xml:space="preserve">hly in line with what one would </w:t>
      </w:r>
      <w:r w:rsidRPr="001B555C">
        <w:rPr>
          <w:rFonts w:ascii="Times New Roman" w:hAnsi="Times New Roman" w:cs="Times New Roman"/>
          <w:sz w:val="24"/>
          <w:szCs w:val="24"/>
          <w:lang w:val="en-US"/>
        </w:rPr>
        <w:t>expect. A gravit</w:t>
      </w:r>
      <w:r>
        <w:rPr>
          <w:rFonts w:ascii="Times New Roman" w:hAnsi="Times New Roman" w:cs="Times New Roman"/>
          <w:sz w:val="24"/>
          <w:szCs w:val="24"/>
          <w:lang w:val="en-US"/>
        </w:rPr>
        <w:t xml:space="preserve">y analysis, as the one employed </w:t>
      </w:r>
      <w:r w:rsidRPr="001B555C">
        <w:rPr>
          <w:rFonts w:ascii="Times New Roman" w:hAnsi="Times New Roman" w:cs="Times New Roman"/>
          <w:sz w:val="24"/>
          <w:szCs w:val="24"/>
          <w:lang w:val="en-US"/>
        </w:rPr>
        <w:t>above to look a</w:t>
      </w:r>
      <w:r>
        <w:rPr>
          <w:rFonts w:ascii="Times New Roman" w:hAnsi="Times New Roman" w:cs="Times New Roman"/>
          <w:sz w:val="24"/>
          <w:szCs w:val="24"/>
          <w:lang w:val="en-US"/>
        </w:rPr>
        <w:t xml:space="preserve">t the vulnerability of Turkey’s </w:t>
      </w:r>
      <w:r w:rsidRPr="001B555C">
        <w:rPr>
          <w:rFonts w:ascii="Times New Roman" w:hAnsi="Times New Roman" w:cs="Times New Roman"/>
          <w:sz w:val="24"/>
          <w:szCs w:val="24"/>
          <w:lang w:val="en-US"/>
        </w:rPr>
        <w:t>exports to changes in economic c</w:t>
      </w:r>
      <w:r>
        <w:rPr>
          <w:rFonts w:ascii="Times New Roman" w:hAnsi="Times New Roman" w:cs="Times New Roman"/>
          <w:sz w:val="24"/>
          <w:szCs w:val="24"/>
          <w:lang w:val="en-US"/>
        </w:rPr>
        <w:t xml:space="preserve">onditions in partner </w:t>
      </w:r>
      <w:r w:rsidRPr="001B555C">
        <w:rPr>
          <w:rFonts w:ascii="Times New Roman" w:hAnsi="Times New Roman" w:cs="Times New Roman"/>
          <w:sz w:val="24"/>
          <w:szCs w:val="24"/>
          <w:lang w:val="en-US"/>
        </w:rPr>
        <w:t>countries, can also be</w:t>
      </w:r>
      <w:r>
        <w:rPr>
          <w:rFonts w:ascii="Times New Roman" w:hAnsi="Times New Roman" w:cs="Times New Roman"/>
          <w:sz w:val="24"/>
          <w:szCs w:val="24"/>
          <w:lang w:val="en-US"/>
        </w:rPr>
        <w:t xml:space="preserve"> used to estimate whether there </w:t>
      </w:r>
      <w:r w:rsidRPr="001B555C">
        <w:rPr>
          <w:rFonts w:ascii="Times New Roman" w:hAnsi="Times New Roman" w:cs="Times New Roman"/>
          <w:sz w:val="24"/>
          <w:szCs w:val="24"/>
          <w:lang w:val="en-US"/>
        </w:rPr>
        <w:t>are unexploited opp</w:t>
      </w:r>
      <w:r>
        <w:rPr>
          <w:rFonts w:ascii="Times New Roman" w:hAnsi="Times New Roman" w:cs="Times New Roman"/>
          <w:sz w:val="24"/>
          <w:szCs w:val="24"/>
          <w:lang w:val="en-US"/>
        </w:rPr>
        <w:t xml:space="preserve">ortunities to expand exports to </w:t>
      </w:r>
      <w:r w:rsidRPr="001B555C">
        <w:rPr>
          <w:rFonts w:ascii="Times New Roman" w:hAnsi="Times New Roman" w:cs="Times New Roman"/>
          <w:sz w:val="24"/>
          <w:szCs w:val="24"/>
          <w:lang w:val="en-US"/>
        </w:rPr>
        <w:t xml:space="preserve">particular markets. </w:t>
      </w:r>
      <w:r>
        <w:rPr>
          <w:rFonts w:ascii="Times New Roman" w:hAnsi="Times New Roman" w:cs="Times New Roman"/>
          <w:sz w:val="24"/>
          <w:szCs w:val="24"/>
          <w:lang w:val="en-US"/>
        </w:rPr>
        <w:t xml:space="preserve">At the aggregate level, no such </w:t>
      </w:r>
      <w:r w:rsidRPr="001B555C">
        <w:rPr>
          <w:rFonts w:ascii="Times New Roman" w:hAnsi="Times New Roman" w:cs="Times New Roman"/>
          <w:sz w:val="24"/>
          <w:szCs w:val="24"/>
          <w:lang w:val="en-US"/>
        </w:rPr>
        <w:t>unexploited opportun</w:t>
      </w:r>
      <w:r>
        <w:rPr>
          <w:rFonts w:ascii="Times New Roman" w:hAnsi="Times New Roman" w:cs="Times New Roman"/>
          <w:sz w:val="24"/>
          <w:szCs w:val="24"/>
          <w:lang w:val="en-US"/>
        </w:rPr>
        <w:t xml:space="preserve">ities in bilateral trade exist. </w:t>
      </w:r>
      <w:r w:rsidRPr="001B555C">
        <w:rPr>
          <w:rFonts w:ascii="Times New Roman" w:hAnsi="Times New Roman" w:cs="Times New Roman"/>
          <w:sz w:val="24"/>
          <w:szCs w:val="24"/>
          <w:lang w:val="en-US"/>
        </w:rPr>
        <w:t>However, the index of expo</w:t>
      </w:r>
      <w:r>
        <w:rPr>
          <w:rFonts w:ascii="Times New Roman" w:hAnsi="Times New Roman" w:cs="Times New Roman"/>
          <w:sz w:val="24"/>
          <w:szCs w:val="24"/>
          <w:lang w:val="en-US"/>
        </w:rPr>
        <w:t xml:space="preserve">rt market penetration, a </w:t>
      </w:r>
      <w:r w:rsidRPr="001B555C">
        <w:rPr>
          <w:rFonts w:ascii="Times New Roman" w:hAnsi="Times New Roman" w:cs="Times New Roman"/>
          <w:sz w:val="24"/>
          <w:szCs w:val="24"/>
          <w:lang w:val="en-US"/>
        </w:rPr>
        <w:t>measure of the effec</w:t>
      </w:r>
      <w:r>
        <w:rPr>
          <w:rFonts w:ascii="Times New Roman" w:hAnsi="Times New Roman" w:cs="Times New Roman"/>
          <w:sz w:val="24"/>
          <w:szCs w:val="24"/>
          <w:lang w:val="en-US"/>
        </w:rPr>
        <w:t xml:space="preserve">tiveness of export market reach </w:t>
      </w:r>
      <w:r w:rsidRPr="001B555C">
        <w:rPr>
          <w:rFonts w:ascii="Times New Roman" w:hAnsi="Times New Roman" w:cs="Times New Roman"/>
          <w:sz w:val="24"/>
          <w:szCs w:val="24"/>
          <w:lang w:val="en-US"/>
        </w:rPr>
        <w:t>relative to a country’</w:t>
      </w:r>
      <w:r>
        <w:rPr>
          <w:rFonts w:ascii="Times New Roman" w:hAnsi="Times New Roman" w:cs="Times New Roman"/>
          <w:sz w:val="24"/>
          <w:szCs w:val="24"/>
          <w:lang w:val="en-US"/>
        </w:rPr>
        <w:t xml:space="preserve">s export basket, indicates that </w:t>
      </w:r>
      <w:r w:rsidRPr="001B555C">
        <w:rPr>
          <w:rFonts w:ascii="Times New Roman" w:hAnsi="Times New Roman" w:cs="Times New Roman"/>
          <w:sz w:val="24"/>
          <w:szCs w:val="24"/>
          <w:lang w:val="en-US"/>
        </w:rPr>
        <w:t>while Turkey c</w:t>
      </w:r>
      <w:r>
        <w:rPr>
          <w:rFonts w:ascii="Times New Roman" w:hAnsi="Times New Roman" w:cs="Times New Roman"/>
          <w:sz w:val="24"/>
          <w:szCs w:val="24"/>
          <w:lang w:val="en-US"/>
        </w:rPr>
        <w:t xml:space="preserve">ompares well over time and with </w:t>
      </w:r>
      <w:r w:rsidRPr="001B555C">
        <w:rPr>
          <w:rFonts w:ascii="Times New Roman" w:hAnsi="Times New Roman" w:cs="Times New Roman"/>
          <w:sz w:val="24"/>
          <w:szCs w:val="24"/>
          <w:lang w:val="en-US"/>
        </w:rPr>
        <w:t>peers, its exporters</w:t>
      </w:r>
      <w:r>
        <w:rPr>
          <w:rFonts w:ascii="Times New Roman" w:hAnsi="Times New Roman" w:cs="Times New Roman"/>
          <w:sz w:val="24"/>
          <w:szCs w:val="24"/>
          <w:lang w:val="en-US"/>
        </w:rPr>
        <w:t xml:space="preserve"> still reach only 30 percent of </w:t>
      </w:r>
      <w:r w:rsidRPr="001B555C">
        <w:rPr>
          <w:rFonts w:ascii="Times New Roman" w:hAnsi="Times New Roman" w:cs="Times New Roman"/>
          <w:sz w:val="24"/>
          <w:szCs w:val="24"/>
          <w:lang w:val="en-US"/>
        </w:rPr>
        <w:t>potential markets (</w:t>
      </w:r>
      <w:r w:rsidRPr="001B555C">
        <w:rPr>
          <w:rFonts w:ascii="Times New Roman" w:hAnsi="Times New Roman" w:cs="Times New Roman"/>
          <w:color w:val="FF0000"/>
          <w:sz w:val="24"/>
          <w:szCs w:val="24"/>
          <w:lang w:val="en-US"/>
        </w:rPr>
        <w:t>Table 7</w:t>
      </w:r>
      <w:r w:rsidRPr="001B555C">
        <w:rPr>
          <w:rFonts w:ascii="Times New Roman" w:hAnsi="Times New Roman" w:cs="Times New Roman"/>
          <w:sz w:val="24"/>
          <w:szCs w:val="24"/>
          <w:lang w:val="en-US"/>
        </w:rPr>
        <w:t>)</w:t>
      </w:r>
      <w:r>
        <w:rPr>
          <w:rFonts w:ascii="Times New Roman" w:hAnsi="Times New Roman" w:cs="Times New Roman"/>
          <w:sz w:val="24"/>
          <w:szCs w:val="24"/>
          <w:lang w:val="en-US"/>
        </w:rPr>
        <w:t xml:space="preserve">. This is only half the level </w:t>
      </w:r>
      <w:r w:rsidRPr="001B555C">
        <w:rPr>
          <w:rFonts w:ascii="Times New Roman" w:hAnsi="Times New Roman" w:cs="Times New Roman"/>
          <w:sz w:val="24"/>
          <w:szCs w:val="24"/>
          <w:lang w:val="en-US"/>
        </w:rPr>
        <w:t>of market penetr</w:t>
      </w:r>
      <w:r>
        <w:rPr>
          <w:rFonts w:ascii="Times New Roman" w:hAnsi="Times New Roman" w:cs="Times New Roman"/>
          <w:sz w:val="24"/>
          <w:szCs w:val="24"/>
          <w:lang w:val="en-US"/>
        </w:rPr>
        <w:t xml:space="preserve">ation achieved by China (which, </w:t>
      </w:r>
      <w:r w:rsidRPr="001B555C">
        <w:rPr>
          <w:rFonts w:ascii="Times New Roman" w:hAnsi="Times New Roman" w:cs="Times New Roman"/>
          <w:sz w:val="24"/>
          <w:szCs w:val="24"/>
          <w:lang w:val="en-US"/>
        </w:rPr>
        <w:t>along with Germany</w:t>
      </w:r>
      <w:r>
        <w:rPr>
          <w:rFonts w:ascii="Times New Roman" w:hAnsi="Times New Roman" w:cs="Times New Roman"/>
          <w:sz w:val="24"/>
          <w:szCs w:val="24"/>
          <w:lang w:val="en-US"/>
        </w:rPr>
        <w:t xml:space="preserve">, is the highest in the world). </w:t>
      </w:r>
      <w:r w:rsidRPr="001B555C">
        <w:rPr>
          <w:rFonts w:ascii="Times New Roman" w:hAnsi="Times New Roman" w:cs="Times New Roman"/>
          <w:sz w:val="24"/>
          <w:szCs w:val="24"/>
          <w:lang w:val="en-US"/>
        </w:rPr>
        <w:t>So there are likely</w:t>
      </w:r>
      <w:r>
        <w:rPr>
          <w:rFonts w:ascii="Times New Roman" w:hAnsi="Times New Roman" w:cs="Times New Roman"/>
          <w:sz w:val="24"/>
          <w:szCs w:val="24"/>
          <w:lang w:val="en-US"/>
        </w:rPr>
        <w:t xml:space="preserve"> to still be unexploited market </w:t>
      </w:r>
      <w:r w:rsidRPr="001B555C">
        <w:rPr>
          <w:rFonts w:ascii="Times New Roman" w:hAnsi="Times New Roman" w:cs="Times New Roman"/>
          <w:sz w:val="24"/>
          <w:szCs w:val="24"/>
          <w:lang w:val="en-US"/>
        </w:rPr>
        <w:t>opportunities within</w:t>
      </w:r>
      <w:r>
        <w:rPr>
          <w:rFonts w:ascii="Times New Roman" w:hAnsi="Times New Roman" w:cs="Times New Roman"/>
          <w:sz w:val="24"/>
          <w:szCs w:val="24"/>
          <w:lang w:val="en-US"/>
        </w:rPr>
        <w:t xml:space="preserve"> specific sectors and products. </w:t>
      </w:r>
      <w:r w:rsidRPr="001B555C">
        <w:rPr>
          <w:rFonts w:ascii="Times New Roman" w:hAnsi="Times New Roman" w:cs="Times New Roman"/>
          <w:sz w:val="24"/>
          <w:szCs w:val="24"/>
          <w:lang w:val="en-US"/>
        </w:rPr>
        <w:t>Note that Turkey has much</w:t>
      </w:r>
      <w:r>
        <w:rPr>
          <w:rFonts w:ascii="Times New Roman" w:hAnsi="Times New Roman" w:cs="Times New Roman"/>
          <w:sz w:val="24"/>
          <w:szCs w:val="24"/>
          <w:lang w:val="en-US"/>
        </w:rPr>
        <w:t xml:space="preserve"> deeper penetration of </w:t>
      </w:r>
      <w:r w:rsidRPr="001B555C">
        <w:rPr>
          <w:rFonts w:ascii="Times New Roman" w:hAnsi="Times New Roman" w:cs="Times New Roman"/>
          <w:sz w:val="24"/>
          <w:szCs w:val="24"/>
          <w:lang w:val="en-US"/>
        </w:rPr>
        <w:t>MENA markets tha</w:t>
      </w:r>
      <w:r>
        <w:rPr>
          <w:rFonts w:ascii="Times New Roman" w:hAnsi="Times New Roman" w:cs="Times New Roman"/>
          <w:sz w:val="24"/>
          <w:szCs w:val="24"/>
          <w:lang w:val="en-US"/>
        </w:rPr>
        <w:t>n it does in EU markets.</w:t>
      </w:r>
      <w:r w:rsidRPr="001B555C">
        <w:rPr>
          <w:rFonts w:ascii="Times New Roman" w:hAnsi="Times New Roman" w:cs="Times New Roman"/>
          <w:sz w:val="24"/>
          <w:szCs w:val="24"/>
          <w:lang w:val="en-US"/>
        </w:rPr>
        <w:t xml:space="preserve"> Overall, </w:t>
      </w:r>
      <w:r>
        <w:rPr>
          <w:rFonts w:ascii="Times New Roman" w:hAnsi="Times New Roman" w:cs="Times New Roman"/>
          <w:sz w:val="24"/>
          <w:szCs w:val="24"/>
          <w:lang w:val="en-US"/>
        </w:rPr>
        <w:t xml:space="preserve">Turkish exports account for 4.3 </w:t>
      </w:r>
      <w:r w:rsidRPr="001B555C">
        <w:rPr>
          <w:rFonts w:ascii="Times New Roman" w:hAnsi="Times New Roman" w:cs="Times New Roman"/>
          <w:sz w:val="24"/>
          <w:szCs w:val="24"/>
          <w:lang w:val="en-US"/>
        </w:rPr>
        <w:t>percent of all im</w:t>
      </w:r>
      <w:r>
        <w:rPr>
          <w:rFonts w:ascii="Times New Roman" w:hAnsi="Times New Roman" w:cs="Times New Roman"/>
          <w:sz w:val="24"/>
          <w:szCs w:val="24"/>
          <w:lang w:val="en-US"/>
        </w:rPr>
        <w:t xml:space="preserve">ports in the MENA region versus </w:t>
      </w:r>
      <w:r w:rsidRPr="001B555C">
        <w:rPr>
          <w:rFonts w:ascii="Times New Roman" w:hAnsi="Times New Roman" w:cs="Times New Roman"/>
          <w:sz w:val="24"/>
          <w:szCs w:val="24"/>
          <w:lang w:val="en-US"/>
        </w:rPr>
        <w:t xml:space="preserve">only 1.1 percent </w:t>
      </w:r>
      <w:r>
        <w:rPr>
          <w:rFonts w:ascii="Times New Roman" w:hAnsi="Times New Roman" w:cs="Times New Roman"/>
          <w:sz w:val="24"/>
          <w:szCs w:val="24"/>
          <w:lang w:val="en-US"/>
        </w:rPr>
        <w:t xml:space="preserve">of imports to the EU region. In </w:t>
      </w:r>
      <w:r w:rsidRPr="001B555C">
        <w:rPr>
          <w:rFonts w:ascii="Times New Roman" w:hAnsi="Times New Roman" w:cs="Times New Roman"/>
          <w:sz w:val="24"/>
          <w:szCs w:val="24"/>
          <w:lang w:val="en-US"/>
        </w:rPr>
        <w:t>fact, for all of Turkey’s main export s</w:t>
      </w:r>
      <w:r>
        <w:rPr>
          <w:rFonts w:ascii="Times New Roman" w:hAnsi="Times New Roman" w:cs="Times New Roman"/>
          <w:sz w:val="24"/>
          <w:szCs w:val="24"/>
          <w:lang w:val="en-US"/>
        </w:rPr>
        <w:t xml:space="preserve">ectors with </w:t>
      </w:r>
      <w:r w:rsidRPr="001B555C">
        <w:rPr>
          <w:rFonts w:ascii="Times New Roman" w:hAnsi="Times New Roman" w:cs="Times New Roman"/>
          <w:sz w:val="24"/>
          <w:szCs w:val="24"/>
          <w:lang w:val="en-US"/>
        </w:rPr>
        <w:t>the exception of au</w:t>
      </w:r>
      <w:r>
        <w:rPr>
          <w:rFonts w:ascii="Times New Roman" w:hAnsi="Times New Roman" w:cs="Times New Roman"/>
          <w:sz w:val="24"/>
          <w:szCs w:val="24"/>
          <w:lang w:val="en-US"/>
        </w:rPr>
        <w:t xml:space="preserve">tomotive, market penetration is </w:t>
      </w:r>
      <w:r w:rsidRPr="001B555C">
        <w:rPr>
          <w:rFonts w:ascii="Times New Roman" w:hAnsi="Times New Roman" w:cs="Times New Roman"/>
          <w:sz w:val="24"/>
          <w:szCs w:val="24"/>
          <w:lang w:val="en-US"/>
        </w:rPr>
        <w:t>already higher in MENA than in the EU</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1601D247" wp14:editId="5EECAD41">
            <wp:extent cx="2616200" cy="269875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16200" cy="2698750"/>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38BF910C" wp14:editId="282C4B8F">
            <wp:extent cx="2705100" cy="27051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05100" cy="27051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72. Individual exporters are not shifting from declining to growing sectors. Intra-firm shifts betwee</w:t>
      </w:r>
      <w:r>
        <w:rPr>
          <w:rFonts w:ascii="Times New Roman" w:hAnsi="Times New Roman" w:cs="Times New Roman"/>
          <w:sz w:val="24"/>
          <w:szCs w:val="24"/>
          <w:lang w:val="en-US"/>
        </w:rPr>
        <w:t xml:space="preserve">n </w:t>
      </w:r>
      <w:r w:rsidRPr="001B555C">
        <w:rPr>
          <w:rFonts w:ascii="Times New Roman" w:hAnsi="Times New Roman" w:cs="Times New Roman"/>
          <w:sz w:val="24"/>
          <w:szCs w:val="24"/>
          <w:lang w:val="en-US"/>
        </w:rPr>
        <w:t>sectors at the HS2 level of aggregation were minimal during 2002-2011, accou</w:t>
      </w:r>
      <w:r>
        <w:rPr>
          <w:rFonts w:ascii="Times New Roman" w:hAnsi="Times New Roman" w:cs="Times New Roman"/>
          <w:sz w:val="24"/>
          <w:szCs w:val="24"/>
          <w:lang w:val="en-US"/>
        </w:rPr>
        <w:t xml:space="preserve">nting for less than one percent </w:t>
      </w:r>
      <w:r w:rsidRPr="001B555C">
        <w:rPr>
          <w:rFonts w:ascii="Times New Roman" w:hAnsi="Times New Roman" w:cs="Times New Roman"/>
          <w:sz w:val="24"/>
          <w:szCs w:val="24"/>
          <w:lang w:val="en-US"/>
        </w:rPr>
        <w:t xml:space="preserve">of export growth in any year. It seems the shifts in the </w:t>
      </w:r>
      <w:r w:rsidR="00E069BB" w:rsidRPr="001B555C">
        <w:rPr>
          <w:rFonts w:ascii="Times New Roman" w:hAnsi="Times New Roman" w:cs="Times New Roman"/>
          <w:sz w:val="24"/>
          <w:szCs w:val="24"/>
          <w:lang w:val="en-US"/>
        </w:rPr>
        <w:t>sectorial</w:t>
      </w:r>
      <w:r w:rsidRPr="001B555C">
        <w:rPr>
          <w:rFonts w:ascii="Times New Roman" w:hAnsi="Times New Roman" w:cs="Times New Roman"/>
          <w:sz w:val="24"/>
          <w:szCs w:val="24"/>
          <w:lang w:val="en-US"/>
        </w:rPr>
        <w:t xml:space="preserve"> composition of </w:t>
      </w:r>
      <w:r>
        <w:rPr>
          <w:rFonts w:ascii="Times New Roman" w:hAnsi="Times New Roman" w:cs="Times New Roman"/>
          <w:sz w:val="24"/>
          <w:szCs w:val="24"/>
          <w:lang w:val="en-US"/>
        </w:rPr>
        <w:t xml:space="preserve">exports were largely the result </w:t>
      </w:r>
      <w:r w:rsidRPr="001B555C">
        <w:rPr>
          <w:rFonts w:ascii="Times New Roman" w:hAnsi="Times New Roman" w:cs="Times New Roman"/>
          <w:sz w:val="24"/>
          <w:szCs w:val="24"/>
          <w:lang w:val="en-US"/>
        </w:rPr>
        <w:t>of different growth dynamics of firms in these sectors. First, existing (</w:t>
      </w:r>
      <w:r w:rsidR="00E069BB">
        <w:rPr>
          <w:rFonts w:ascii="Times New Roman" w:hAnsi="Times New Roman" w:cs="Times New Roman"/>
          <w:sz w:val="24"/>
          <w:szCs w:val="24"/>
          <w:lang w:val="en-US"/>
        </w:rPr>
        <w:t>mainly large -</w:t>
      </w:r>
      <w:r>
        <w:rPr>
          <w:rFonts w:ascii="Times New Roman" w:hAnsi="Times New Roman" w:cs="Times New Roman"/>
          <w:sz w:val="24"/>
          <w:szCs w:val="24"/>
          <w:lang w:val="en-US"/>
        </w:rPr>
        <w:t xml:space="preserve">with more than 200 </w:t>
      </w:r>
      <w:r w:rsidRPr="001B555C">
        <w:rPr>
          <w:rFonts w:ascii="Times New Roman" w:hAnsi="Times New Roman" w:cs="Times New Roman"/>
          <w:sz w:val="24"/>
          <w:szCs w:val="24"/>
          <w:lang w:val="en-US"/>
        </w:rPr>
        <w:t>employees) exporters in the emerging sectors have grown faster than firms in t</w:t>
      </w:r>
      <w:r>
        <w:rPr>
          <w:rFonts w:ascii="Times New Roman" w:hAnsi="Times New Roman" w:cs="Times New Roman"/>
          <w:sz w:val="24"/>
          <w:szCs w:val="24"/>
          <w:lang w:val="en-US"/>
        </w:rPr>
        <w:t xml:space="preserve">raditional sectors. Second, the </w:t>
      </w:r>
      <w:r w:rsidRPr="001B555C">
        <w:rPr>
          <w:rFonts w:ascii="Times New Roman" w:hAnsi="Times New Roman" w:cs="Times New Roman"/>
          <w:sz w:val="24"/>
          <w:szCs w:val="24"/>
          <w:lang w:val="en-US"/>
        </w:rPr>
        <w:t>entry of new exporters increased in the emerging sectors but slowed in the tradit</w:t>
      </w:r>
      <w:r>
        <w:rPr>
          <w:rFonts w:ascii="Times New Roman" w:hAnsi="Times New Roman" w:cs="Times New Roman"/>
          <w:sz w:val="24"/>
          <w:szCs w:val="24"/>
          <w:lang w:val="en-US"/>
        </w:rPr>
        <w:t xml:space="preserve">ionally strong sectors. This is </w:t>
      </w:r>
      <w:r w:rsidRPr="001B555C">
        <w:rPr>
          <w:rFonts w:ascii="Times New Roman" w:hAnsi="Times New Roman" w:cs="Times New Roman"/>
          <w:sz w:val="24"/>
          <w:szCs w:val="24"/>
          <w:lang w:val="en-US"/>
        </w:rPr>
        <w:t xml:space="preserve">shown clearly in </w:t>
      </w:r>
      <w:r w:rsidRPr="001B555C">
        <w:rPr>
          <w:rFonts w:ascii="Times New Roman" w:hAnsi="Times New Roman" w:cs="Times New Roman"/>
          <w:color w:val="FF0000"/>
          <w:sz w:val="24"/>
          <w:szCs w:val="24"/>
          <w:lang w:val="en-US"/>
        </w:rPr>
        <w:t>Figure 32</w:t>
      </w:r>
      <w:r w:rsidRPr="001B555C">
        <w:rPr>
          <w:rFonts w:ascii="Times New Roman" w:hAnsi="Times New Roman" w:cs="Times New Roman"/>
          <w:sz w:val="24"/>
          <w:szCs w:val="24"/>
          <w:lang w:val="en-US"/>
        </w:rPr>
        <w:t>: for example, export entry declined by almost 20 per</w:t>
      </w:r>
      <w:r>
        <w:rPr>
          <w:rFonts w:ascii="Times New Roman" w:hAnsi="Times New Roman" w:cs="Times New Roman"/>
          <w:sz w:val="24"/>
          <w:szCs w:val="24"/>
          <w:lang w:val="en-US"/>
        </w:rPr>
        <w:t xml:space="preserve">cent in the clothing sector and </w:t>
      </w:r>
      <w:r w:rsidRPr="001B555C">
        <w:rPr>
          <w:rFonts w:ascii="Times New Roman" w:hAnsi="Times New Roman" w:cs="Times New Roman"/>
          <w:sz w:val="24"/>
          <w:szCs w:val="24"/>
          <w:lang w:val="en-US"/>
        </w:rPr>
        <w:t>11 percent in textiles between 2003-2004 and 2009-2010, while it grew by mor</w:t>
      </w:r>
      <w:r>
        <w:rPr>
          <w:rFonts w:ascii="Times New Roman" w:hAnsi="Times New Roman" w:cs="Times New Roman"/>
          <w:sz w:val="24"/>
          <w:szCs w:val="24"/>
          <w:lang w:val="en-US"/>
        </w:rPr>
        <w:t xml:space="preserve">e than 13 percent in mechanical </w:t>
      </w:r>
      <w:r w:rsidRPr="001B555C">
        <w:rPr>
          <w:rFonts w:ascii="Times New Roman" w:hAnsi="Times New Roman" w:cs="Times New Roman"/>
          <w:sz w:val="24"/>
          <w:szCs w:val="24"/>
          <w:lang w:val="en-US"/>
        </w:rPr>
        <w:t>machinery, more than 18 percent in electrical machinery, and almost 38 percent in vehicles and auto parts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noProof/>
          <w:sz w:val="24"/>
          <w:szCs w:val="24"/>
          <w:lang w:eastAsia="es-ES"/>
        </w:rPr>
        <w:drawing>
          <wp:inline distT="0" distB="0" distL="0" distR="0" wp14:anchorId="66ABBEE9" wp14:editId="65C7F0B2">
            <wp:extent cx="5232400" cy="4845050"/>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32400" cy="4845050"/>
                    </a:xfrm>
                    <a:prstGeom prst="rect">
                      <a:avLst/>
                    </a:prstGeom>
                    <a:noFill/>
                    <a:ln>
                      <a:noFill/>
                    </a:ln>
                  </pic:spPr>
                </pic:pic>
              </a:graphicData>
            </a:graphic>
          </wp:inline>
        </w:drawing>
      </w:r>
    </w:p>
    <w:p w:rsidR="00925405" w:rsidRPr="001B555C" w:rsidRDefault="00925405" w:rsidP="00925405">
      <w:pPr>
        <w:spacing w:line="240" w:lineRule="auto"/>
        <w:jc w:val="both"/>
        <w:rPr>
          <w:rFonts w:ascii="Times New Roman" w:hAnsi="Times New Roman" w:cs="Times New Roman"/>
          <w:b/>
          <w:sz w:val="24"/>
          <w:szCs w:val="24"/>
          <w:lang w:val="en-US"/>
        </w:rPr>
      </w:pPr>
      <w:r w:rsidRPr="001B555C">
        <w:rPr>
          <w:rFonts w:ascii="Times New Roman" w:hAnsi="Times New Roman" w:cs="Times New Roman"/>
          <w:b/>
          <w:sz w:val="24"/>
          <w:szCs w:val="24"/>
          <w:lang w:val="en-US"/>
        </w:rPr>
        <w:t>Turkey’s use of temporary trade barriers</w:t>
      </w:r>
    </w:p>
    <w:p w:rsidR="00925405" w:rsidRPr="001B555C"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82. By the 2009 global crisis, Turkey had developed a relatively l</w:t>
      </w:r>
      <w:r>
        <w:rPr>
          <w:rFonts w:ascii="Times New Roman" w:hAnsi="Times New Roman" w:cs="Times New Roman"/>
          <w:sz w:val="24"/>
          <w:szCs w:val="24"/>
          <w:lang w:val="en-US"/>
        </w:rPr>
        <w:t xml:space="preserve">iberal trade regime. The set of </w:t>
      </w:r>
      <w:r w:rsidRPr="001B555C">
        <w:rPr>
          <w:rFonts w:ascii="Times New Roman" w:hAnsi="Times New Roman" w:cs="Times New Roman"/>
          <w:sz w:val="24"/>
          <w:szCs w:val="24"/>
          <w:lang w:val="en-US"/>
        </w:rPr>
        <w:t xml:space="preserve">standard indicators presented in </w:t>
      </w:r>
      <w:r w:rsidRPr="001B555C">
        <w:rPr>
          <w:rFonts w:ascii="Times New Roman" w:hAnsi="Times New Roman" w:cs="Times New Roman"/>
          <w:color w:val="FF0000"/>
          <w:sz w:val="24"/>
          <w:szCs w:val="24"/>
          <w:lang w:val="en-US"/>
        </w:rPr>
        <w:t>Table 8</w:t>
      </w:r>
      <w:r w:rsidRPr="001B555C">
        <w:rPr>
          <w:rFonts w:ascii="Times New Roman" w:hAnsi="Times New Roman" w:cs="Times New Roman"/>
          <w:sz w:val="24"/>
          <w:szCs w:val="24"/>
          <w:lang w:val="en-US"/>
        </w:rPr>
        <w:t xml:space="preserve"> are revealing. In 2007, Turkey’s t</w:t>
      </w:r>
      <w:r>
        <w:rPr>
          <w:rFonts w:ascii="Times New Roman" w:hAnsi="Times New Roman" w:cs="Times New Roman"/>
          <w:sz w:val="24"/>
          <w:szCs w:val="24"/>
          <w:lang w:val="en-US"/>
        </w:rPr>
        <w:t xml:space="preserve">rade-weighted applied tariff on </w:t>
      </w:r>
      <w:r w:rsidRPr="001B555C">
        <w:rPr>
          <w:rFonts w:ascii="Times New Roman" w:hAnsi="Times New Roman" w:cs="Times New Roman"/>
          <w:sz w:val="24"/>
          <w:szCs w:val="24"/>
          <w:lang w:val="en-US"/>
        </w:rPr>
        <w:t>manufacturing products was only 1 percent, and its simple average applied m</w:t>
      </w:r>
      <w:r>
        <w:rPr>
          <w:rFonts w:ascii="Times New Roman" w:hAnsi="Times New Roman" w:cs="Times New Roman"/>
          <w:sz w:val="24"/>
          <w:szCs w:val="24"/>
          <w:lang w:val="en-US"/>
        </w:rPr>
        <w:t xml:space="preserve">ost favored nation (MFN) tariff </w:t>
      </w:r>
      <w:r w:rsidRPr="001B555C">
        <w:rPr>
          <w:rFonts w:ascii="Times New Roman" w:hAnsi="Times New Roman" w:cs="Times New Roman"/>
          <w:sz w:val="24"/>
          <w:szCs w:val="24"/>
          <w:lang w:val="en-US"/>
        </w:rPr>
        <w:t>was only 4.8 percent. More comprehensive and economically meaningful indi</w:t>
      </w:r>
      <w:r>
        <w:rPr>
          <w:rFonts w:ascii="Times New Roman" w:hAnsi="Times New Roman" w:cs="Times New Roman"/>
          <w:sz w:val="24"/>
          <w:szCs w:val="24"/>
          <w:lang w:val="en-US"/>
        </w:rPr>
        <w:t xml:space="preserve">cators such as the trade tariff </w:t>
      </w:r>
      <w:r w:rsidRPr="001B555C">
        <w:rPr>
          <w:rFonts w:ascii="Times New Roman" w:hAnsi="Times New Roman" w:cs="Times New Roman"/>
          <w:sz w:val="24"/>
          <w:szCs w:val="24"/>
          <w:lang w:val="en-US"/>
        </w:rPr>
        <w:t>restrictiveness index (TTRI) or the overall trade restrictiveness index (OTRI)</w:t>
      </w:r>
      <w:r>
        <w:rPr>
          <w:rFonts w:ascii="Times New Roman" w:hAnsi="Times New Roman" w:cs="Times New Roman"/>
          <w:sz w:val="24"/>
          <w:szCs w:val="24"/>
          <w:lang w:val="en-US"/>
        </w:rPr>
        <w:t xml:space="preserve"> were also quite low for Turkey </w:t>
      </w:r>
      <w:r w:rsidRPr="001B555C">
        <w:rPr>
          <w:rFonts w:ascii="Times New Roman" w:hAnsi="Times New Roman" w:cs="Times New Roman"/>
          <w:sz w:val="24"/>
          <w:szCs w:val="24"/>
          <w:lang w:val="en-US"/>
        </w:rPr>
        <w:t>during this period.</w:t>
      </w:r>
    </w:p>
    <w:p w:rsidR="00925405"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 xml:space="preserve">83. Turkey has made substantial trade policy commitments outside </w:t>
      </w:r>
      <w:r>
        <w:rPr>
          <w:rFonts w:ascii="Times New Roman" w:hAnsi="Times New Roman" w:cs="Times New Roman"/>
          <w:sz w:val="24"/>
          <w:szCs w:val="24"/>
          <w:lang w:val="en-US"/>
        </w:rPr>
        <w:t xml:space="preserve">of the World Trade Organization </w:t>
      </w:r>
      <w:r w:rsidRPr="001B555C">
        <w:rPr>
          <w:rFonts w:ascii="Times New Roman" w:hAnsi="Times New Roman" w:cs="Times New Roman"/>
          <w:sz w:val="24"/>
          <w:szCs w:val="24"/>
          <w:lang w:val="en-US"/>
        </w:rPr>
        <w:t>(WTO) system through its Customs Union with the EU. Turkey’s MF</w:t>
      </w:r>
      <w:r>
        <w:rPr>
          <w:rFonts w:ascii="Times New Roman" w:hAnsi="Times New Roman" w:cs="Times New Roman"/>
          <w:sz w:val="24"/>
          <w:szCs w:val="24"/>
          <w:lang w:val="en-US"/>
        </w:rPr>
        <w:t xml:space="preserve">N applied rate and the share of </w:t>
      </w:r>
      <w:r w:rsidRPr="001B555C">
        <w:rPr>
          <w:rFonts w:ascii="Times New Roman" w:hAnsi="Times New Roman" w:cs="Times New Roman"/>
          <w:sz w:val="24"/>
          <w:szCs w:val="24"/>
          <w:lang w:val="en-US"/>
        </w:rPr>
        <w:t>imported products subject to tariff lines are below those allowed unde</w:t>
      </w:r>
      <w:r>
        <w:rPr>
          <w:rFonts w:ascii="Times New Roman" w:hAnsi="Times New Roman" w:cs="Times New Roman"/>
          <w:sz w:val="24"/>
          <w:szCs w:val="24"/>
          <w:lang w:val="en-US"/>
        </w:rPr>
        <w:t xml:space="preserve">r its WTO commitments. However, </w:t>
      </w:r>
      <w:r w:rsidRPr="001B555C">
        <w:rPr>
          <w:rFonts w:ascii="Times New Roman" w:hAnsi="Times New Roman" w:cs="Times New Roman"/>
          <w:sz w:val="24"/>
          <w:szCs w:val="24"/>
          <w:lang w:val="en-US"/>
        </w:rPr>
        <w:t>following the establishment of the Customs Union between Turkey and the EU</w:t>
      </w:r>
      <w:r>
        <w:rPr>
          <w:rFonts w:ascii="Times New Roman" w:hAnsi="Times New Roman" w:cs="Times New Roman"/>
          <w:sz w:val="24"/>
          <w:szCs w:val="24"/>
          <w:lang w:val="en-US"/>
        </w:rPr>
        <w:t xml:space="preserve">, overall tariff rates declined </w:t>
      </w:r>
      <w:r w:rsidRPr="001B555C">
        <w:rPr>
          <w:rFonts w:ascii="Times New Roman" w:hAnsi="Times New Roman" w:cs="Times New Roman"/>
          <w:sz w:val="24"/>
          <w:szCs w:val="24"/>
          <w:lang w:val="en-US"/>
        </w:rPr>
        <w:t>significantly. First, two-way trade between Turkey and the EU is effectively duty free. Second, T</w:t>
      </w:r>
      <w:r>
        <w:rPr>
          <w:rFonts w:ascii="Times New Roman" w:hAnsi="Times New Roman" w:cs="Times New Roman"/>
          <w:sz w:val="24"/>
          <w:szCs w:val="24"/>
          <w:lang w:val="en-US"/>
        </w:rPr>
        <w:t xml:space="preserve">urkey </w:t>
      </w:r>
      <w:r w:rsidRPr="001B555C">
        <w:rPr>
          <w:rFonts w:ascii="Times New Roman" w:hAnsi="Times New Roman" w:cs="Times New Roman"/>
          <w:sz w:val="24"/>
          <w:szCs w:val="24"/>
          <w:lang w:val="en-US"/>
        </w:rPr>
        <w:t xml:space="preserve">has sequentially adopted many of the other FTAs that the EU has negotiated </w:t>
      </w:r>
      <w:r>
        <w:rPr>
          <w:rFonts w:ascii="Times New Roman" w:hAnsi="Times New Roman" w:cs="Times New Roman"/>
          <w:sz w:val="24"/>
          <w:szCs w:val="24"/>
          <w:lang w:val="en-US"/>
        </w:rPr>
        <w:t xml:space="preserve">with third countries, thus also </w:t>
      </w:r>
      <w:r w:rsidRPr="001B555C">
        <w:rPr>
          <w:rFonts w:ascii="Times New Roman" w:hAnsi="Times New Roman" w:cs="Times New Roman"/>
          <w:sz w:val="24"/>
          <w:szCs w:val="24"/>
          <w:lang w:val="en-US"/>
        </w:rPr>
        <w:t>extending preferential tariff access to these trading partners. Combined, nearly h</w:t>
      </w:r>
      <w:r>
        <w:rPr>
          <w:rFonts w:ascii="Times New Roman" w:hAnsi="Times New Roman" w:cs="Times New Roman"/>
          <w:sz w:val="24"/>
          <w:szCs w:val="24"/>
          <w:lang w:val="en-US"/>
        </w:rPr>
        <w:t xml:space="preserve">alf of Turkey’s overall exports </w:t>
      </w:r>
      <w:r w:rsidRPr="001B555C">
        <w:rPr>
          <w:rFonts w:ascii="Times New Roman" w:hAnsi="Times New Roman" w:cs="Times New Roman"/>
          <w:sz w:val="24"/>
          <w:szCs w:val="24"/>
          <w:lang w:val="en-US"/>
        </w:rPr>
        <w:t>are to countries with which Turkey has signed an FTA or is in a customs union,</w:t>
      </w:r>
      <w:r>
        <w:rPr>
          <w:rFonts w:ascii="Times New Roman" w:hAnsi="Times New Roman" w:cs="Times New Roman"/>
          <w:sz w:val="24"/>
          <w:szCs w:val="24"/>
          <w:lang w:val="en-US"/>
        </w:rPr>
        <w:t xml:space="preserve"> referred jointly as PTAs. This </w:t>
      </w:r>
      <w:r w:rsidRPr="001B555C">
        <w:rPr>
          <w:rFonts w:ascii="Times New Roman" w:hAnsi="Times New Roman" w:cs="Times New Roman"/>
          <w:sz w:val="24"/>
          <w:szCs w:val="24"/>
          <w:lang w:val="en-US"/>
        </w:rPr>
        <w:t xml:space="preserve">implies that the trade policy indicators that take into account Turkey’s tariff preferences </w:t>
      </w:r>
      <w:r w:rsidRPr="001B555C">
        <w:rPr>
          <w:rFonts w:ascii="Times New Roman" w:hAnsi="Times New Roman" w:cs="Times New Roman"/>
          <w:sz w:val="24"/>
          <w:szCs w:val="24"/>
          <w:lang w:val="en-US"/>
        </w:rPr>
        <w:lastRenderedPageBreak/>
        <w:t>will reveal Turkey as</w:t>
      </w:r>
      <w:r>
        <w:rPr>
          <w:rFonts w:ascii="Times New Roman" w:hAnsi="Times New Roman" w:cs="Times New Roman"/>
          <w:sz w:val="24"/>
          <w:szCs w:val="24"/>
          <w:lang w:val="en-US"/>
        </w:rPr>
        <w:t xml:space="preserve"> </w:t>
      </w:r>
      <w:r w:rsidRPr="001B555C">
        <w:rPr>
          <w:rFonts w:ascii="Times New Roman" w:hAnsi="Times New Roman" w:cs="Times New Roman"/>
          <w:sz w:val="24"/>
          <w:szCs w:val="24"/>
          <w:lang w:val="en-US"/>
        </w:rPr>
        <w:t>being even more open than the indicators of its MFN policies in isolation, giv</w:t>
      </w:r>
      <w:r>
        <w:rPr>
          <w:rFonts w:ascii="Times New Roman" w:hAnsi="Times New Roman" w:cs="Times New Roman"/>
          <w:sz w:val="24"/>
          <w:szCs w:val="24"/>
          <w:lang w:val="en-US"/>
        </w:rPr>
        <w:t xml:space="preserve">en that so much of its trade is </w:t>
      </w:r>
      <w:r w:rsidRPr="001B555C">
        <w:rPr>
          <w:rFonts w:ascii="Times New Roman" w:hAnsi="Times New Roman" w:cs="Times New Roman"/>
          <w:sz w:val="24"/>
          <w:szCs w:val="24"/>
          <w:lang w:val="en-US"/>
        </w:rPr>
        <w:t>with PTA partners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80C83D4" wp14:editId="032A3110">
            <wp:extent cx="5397500" cy="34163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7500" cy="3416300"/>
                    </a:xfrm>
                    <a:prstGeom prst="rect">
                      <a:avLst/>
                    </a:prstGeom>
                    <a:noFill/>
                    <a:ln>
                      <a:noFill/>
                    </a:ln>
                  </pic:spPr>
                </pic:pic>
              </a:graphicData>
            </a:graphic>
          </wp:inline>
        </w:drawing>
      </w:r>
    </w:p>
    <w:p w:rsidR="00925405" w:rsidRPr="001B555C"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84. In line with the large scale and frequent use of trade policy flexibil</w:t>
      </w:r>
      <w:r>
        <w:rPr>
          <w:rFonts w:ascii="Times New Roman" w:hAnsi="Times New Roman" w:cs="Times New Roman"/>
          <w:sz w:val="24"/>
          <w:szCs w:val="24"/>
          <w:lang w:val="en-US"/>
        </w:rPr>
        <w:t xml:space="preserve">ities by many countries, Turkey </w:t>
      </w:r>
      <w:r w:rsidRPr="001B555C">
        <w:rPr>
          <w:rFonts w:ascii="Times New Roman" w:hAnsi="Times New Roman" w:cs="Times New Roman"/>
          <w:sz w:val="24"/>
          <w:szCs w:val="24"/>
          <w:lang w:val="en-US"/>
        </w:rPr>
        <w:t>is also exercising flexibility through temporary trade barriers. Applicati</w:t>
      </w:r>
      <w:r>
        <w:rPr>
          <w:rFonts w:ascii="Times New Roman" w:hAnsi="Times New Roman" w:cs="Times New Roman"/>
          <w:sz w:val="24"/>
          <w:szCs w:val="24"/>
          <w:lang w:val="en-US"/>
        </w:rPr>
        <w:t xml:space="preserve">ons of these flexibilities have </w:t>
      </w:r>
      <w:r w:rsidRPr="001B555C">
        <w:rPr>
          <w:rFonts w:ascii="Times New Roman" w:hAnsi="Times New Roman" w:cs="Times New Roman"/>
          <w:sz w:val="24"/>
          <w:szCs w:val="24"/>
          <w:lang w:val="en-US"/>
        </w:rPr>
        <w:t>led to deviations from a truly common external tariff (toward PTA non-</w:t>
      </w:r>
      <w:r>
        <w:rPr>
          <w:rFonts w:ascii="Times New Roman" w:hAnsi="Times New Roman" w:cs="Times New Roman"/>
          <w:sz w:val="24"/>
          <w:szCs w:val="24"/>
          <w:lang w:val="en-US"/>
        </w:rPr>
        <w:t xml:space="preserve">members) otherwise specified by </w:t>
      </w:r>
      <w:r w:rsidRPr="001B555C">
        <w:rPr>
          <w:rFonts w:ascii="Times New Roman" w:hAnsi="Times New Roman" w:cs="Times New Roman"/>
          <w:sz w:val="24"/>
          <w:szCs w:val="24"/>
          <w:lang w:val="en-US"/>
        </w:rPr>
        <w:t>the customs union with the EU. In particular, Turkey has even exercised flex</w:t>
      </w:r>
      <w:r>
        <w:rPr>
          <w:rFonts w:ascii="Times New Roman" w:hAnsi="Times New Roman" w:cs="Times New Roman"/>
          <w:sz w:val="24"/>
          <w:szCs w:val="24"/>
          <w:lang w:val="en-US"/>
        </w:rPr>
        <w:t xml:space="preserve">ibility by changing some of its </w:t>
      </w:r>
      <w:r w:rsidRPr="001B555C">
        <w:rPr>
          <w:rFonts w:ascii="Times New Roman" w:hAnsi="Times New Roman" w:cs="Times New Roman"/>
          <w:sz w:val="24"/>
          <w:szCs w:val="24"/>
          <w:lang w:val="en-US"/>
        </w:rPr>
        <w:t>applied trade policies toward PTA partners. More formal flexibilities include Turkey’s increasing use of TTBs.</w:t>
      </w:r>
    </w:p>
    <w:p w:rsidR="00925405" w:rsidRPr="001B555C"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85. A significant share of Turkey’s imports is affected by trade barrie</w:t>
      </w:r>
      <w:r>
        <w:rPr>
          <w:rFonts w:ascii="Times New Roman" w:hAnsi="Times New Roman" w:cs="Times New Roman"/>
          <w:sz w:val="24"/>
          <w:szCs w:val="24"/>
          <w:lang w:val="en-US"/>
        </w:rPr>
        <w:t xml:space="preserve">rs. Turkey has accessed various </w:t>
      </w:r>
      <w:r w:rsidRPr="001B555C">
        <w:rPr>
          <w:rFonts w:ascii="Times New Roman" w:hAnsi="Times New Roman" w:cs="Times New Roman"/>
          <w:sz w:val="24"/>
          <w:szCs w:val="24"/>
          <w:lang w:val="en-US"/>
        </w:rPr>
        <w:t>institutional “exceptions” during 2008-11 to implement new trade barriers. Rece</w:t>
      </w:r>
      <w:r>
        <w:rPr>
          <w:rFonts w:ascii="Times New Roman" w:hAnsi="Times New Roman" w:cs="Times New Roman"/>
          <w:sz w:val="24"/>
          <w:szCs w:val="24"/>
          <w:lang w:val="en-US"/>
        </w:rPr>
        <w:t xml:space="preserve">nt increases to applied tariffs </w:t>
      </w:r>
      <w:r w:rsidRPr="001B555C">
        <w:rPr>
          <w:rFonts w:ascii="Times New Roman" w:hAnsi="Times New Roman" w:cs="Times New Roman"/>
          <w:sz w:val="24"/>
          <w:szCs w:val="24"/>
          <w:lang w:val="en-US"/>
        </w:rPr>
        <w:t>in the textiles and steel industry alone may affect up to 9 percent of Turkey’s m</w:t>
      </w:r>
      <w:r>
        <w:rPr>
          <w:rFonts w:ascii="Times New Roman" w:hAnsi="Times New Roman" w:cs="Times New Roman"/>
          <w:sz w:val="24"/>
          <w:szCs w:val="24"/>
          <w:lang w:val="en-US"/>
        </w:rPr>
        <w:t xml:space="preserve">anufacturing imports. Data from </w:t>
      </w:r>
      <w:r w:rsidRPr="001B555C">
        <w:rPr>
          <w:rFonts w:ascii="Times New Roman" w:hAnsi="Times New Roman" w:cs="Times New Roman"/>
          <w:sz w:val="24"/>
          <w:szCs w:val="24"/>
          <w:lang w:val="en-US"/>
        </w:rPr>
        <w:t>the World Bank’s Temporary Trade Barriers Database indicate Turkey’s antid</w:t>
      </w:r>
      <w:r>
        <w:rPr>
          <w:rFonts w:ascii="Times New Roman" w:hAnsi="Times New Roman" w:cs="Times New Roman"/>
          <w:sz w:val="24"/>
          <w:szCs w:val="24"/>
          <w:lang w:val="en-US"/>
        </w:rPr>
        <w:t xml:space="preserve">umping and safeguards in effect </w:t>
      </w:r>
      <w:r w:rsidRPr="001B555C">
        <w:rPr>
          <w:rFonts w:ascii="Times New Roman" w:hAnsi="Times New Roman" w:cs="Times New Roman"/>
          <w:sz w:val="24"/>
          <w:szCs w:val="24"/>
          <w:lang w:val="en-US"/>
        </w:rPr>
        <w:t>by 2011 impact another 4.4 percent of Turkey’s imports. Overall, Turkey had 127 antidumping measures,</w:t>
      </w:r>
    </w:p>
    <w:p w:rsidR="00925405" w:rsidRPr="001B555C"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10 safeguard measures and 1 countervailing measure in effect at the end of 2011.</w:t>
      </w:r>
      <w:r>
        <w:rPr>
          <w:rFonts w:ascii="Times New Roman" w:hAnsi="Times New Roman" w:cs="Times New Roman"/>
          <w:sz w:val="24"/>
          <w:szCs w:val="24"/>
          <w:lang w:val="en-US"/>
        </w:rPr>
        <w:t xml:space="preserve"> While implementing new </w:t>
      </w:r>
      <w:r w:rsidRPr="001B555C">
        <w:rPr>
          <w:rFonts w:ascii="Times New Roman" w:hAnsi="Times New Roman" w:cs="Times New Roman"/>
          <w:sz w:val="24"/>
          <w:szCs w:val="24"/>
          <w:lang w:val="en-US"/>
        </w:rPr>
        <w:t>import restrictions through the “exceptions” permitted by the WTO and PTAs ma</w:t>
      </w:r>
      <w:r>
        <w:rPr>
          <w:rFonts w:ascii="Times New Roman" w:hAnsi="Times New Roman" w:cs="Times New Roman"/>
          <w:sz w:val="24"/>
          <w:szCs w:val="24"/>
          <w:lang w:val="en-US"/>
        </w:rPr>
        <w:t xml:space="preserve">y be in line with international </w:t>
      </w:r>
      <w:r w:rsidRPr="001B555C">
        <w:rPr>
          <w:rFonts w:ascii="Times New Roman" w:hAnsi="Times New Roman" w:cs="Times New Roman"/>
          <w:sz w:val="24"/>
          <w:szCs w:val="24"/>
          <w:lang w:val="en-US"/>
        </w:rPr>
        <w:t>rules, the economic impact weakens in part the effectiveness of Turkey’s relatively low applied import tariffs.</w:t>
      </w:r>
    </w:p>
    <w:p w:rsidR="00925405" w:rsidRDefault="00925405" w:rsidP="00925405">
      <w:pPr>
        <w:spacing w:line="240" w:lineRule="auto"/>
        <w:jc w:val="both"/>
        <w:rPr>
          <w:rFonts w:ascii="Times New Roman" w:hAnsi="Times New Roman" w:cs="Times New Roman"/>
          <w:sz w:val="24"/>
          <w:szCs w:val="24"/>
          <w:lang w:val="en-US"/>
        </w:rPr>
      </w:pPr>
      <w:r w:rsidRPr="001B555C">
        <w:rPr>
          <w:rFonts w:ascii="Times New Roman" w:hAnsi="Times New Roman" w:cs="Times New Roman"/>
          <w:sz w:val="24"/>
          <w:szCs w:val="24"/>
          <w:lang w:val="en-US"/>
        </w:rPr>
        <w:t xml:space="preserve">86. The list of major import products that Turkey covers with TTBs </w:t>
      </w:r>
      <w:r>
        <w:rPr>
          <w:rFonts w:ascii="Times New Roman" w:hAnsi="Times New Roman" w:cs="Times New Roman"/>
          <w:sz w:val="24"/>
          <w:szCs w:val="24"/>
          <w:lang w:val="en-US"/>
        </w:rPr>
        <w:t xml:space="preserve">presents some cause for concern </w:t>
      </w:r>
      <w:r w:rsidRPr="001B555C">
        <w:rPr>
          <w:rFonts w:ascii="Times New Roman" w:hAnsi="Times New Roman" w:cs="Times New Roman"/>
          <w:sz w:val="24"/>
          <w:szCs w:val="24"/>
          <w:lang w:val="en-US"/>
        </w:rPr>
        <w:t>regarding Turkey’s industrial competitiveness. Turkey applies TTBs to</w:t>
      </w:r>
      <w:r>
        <w:rPr>
          <w:rFonts w:ascii="Times New Roman" w:hAnsi="Times New Roman" w:cs="Times New Roman"/>
          <w:sz w:val="24"/>
          <w:szCs w:val="24"/>
          <w:lang w:val="en-US"/>
        </w:rPr>
        <w:t xml:space="preserve"> import products in a number of </w:t>
      </w:r>
      <w:r w:rsidRPr="001B555C">
        <w:rPr>
          <w:rFonts w:ascii="Times New Roman" w:hAnsi="Times New Roman" w:cs="Times New Roman"/>
          <w:sz w:val="24"/>
          <w:szCs w:val="24"/>
          <w:lang w:val="en-US"/>
        </w:rPr>
        <w:t xml:space="preserve">different industrial sectors, including sizeable shares of imports in textiles </w:t>
      </w:r>
      <w:r>
        <w:rPr>
          <w:rFonts w:ascii="Times New Roman" w:hAnsi="Times New Roman" w:cs="Times New Roman"/>
          <w:sz w:val="24"/>
          <w:szCs w:val="24"/>
          <w:lang w:val="en-US"/>
        </w:rPr>
        <w:t xml:space="preserve">and apparel, metals, electrical </w:t>
      </w:r>
      <w:r w:rsidRPr="001B555C">
        <w:rPr>
          <w:rFonts w:ascii="Times New Roman" w:hAnsi="Times New Roman" w:cs="Times New Roman"/>
          <w:sz w:val="24"/>
          <w:szCs w:val="24"/>
          <w:lang w:val="en-US"/>
        </w:rPr>
        <w:t xml:space="preserve">machinery, plastics and rubber, and stone and glass (Karacaovali, 2011). </w:t>
      </w:r>
      <w:r w:rsidRPr="004D5072">
        <w:rPr>
          <w:rFonts w:ascii="Times New Roman" w:hAnsi="Times New Roman" w:cs="Times New Roman"/>
          <w:color w:val="FF0000"/>
          <w:sz w:val="24"/>
          <w:szCs w:val="24"/>
          <w:lang w:val="en-US"/>
        </w:rPr>
        <w:t xml:space="preserve">Table 9 </w:t>
      </w:r>
      <w:r w:rsidRPr="001B555C">
        <w:rPr>
          <w:rFonts w:ascii="Times New Roman" w:hAnsi="Times New Roman" w:cs="Times New Roman"/>
          <w:sz w:val="24"/>
          <w:szCs w:val="24"/>
          <w:lang w:val="en-US"/>
        </w:rPr>
        <w:t>presents a ranking of Turkey’s</w:t>
      </w:r>
      <w:r>
        <w:rPr>
          <w:rFonts w:ascii="Times New Roman" w:hAnsi="Times New Roman" w:cs="Times New Roman"/>
          <w:sz w:val="24"/>
          <w:szCs w:val="24"/>
          <w:lang w:val="en-US"/>
        </w:rPr>
        <w:t xml:space="preserve"> </w:t>
      </w:r>
      <w:r w:rsidRPr="001B555C">
        <w:rPr>
          <w:rFonts w:ascii="Times New Roman" w:hAnsi="Times New Roman" w:cs="Times New Roman"/>
          <w:sz w:val="24"/>
          <w:szCs w:val="24"/>
          <w:lang w:val="en-US"/>
        </w:rPr>
        <w:t>“top 10” TTBs in effect in 2011 by the estim</w:t>
      </w:r>
      <w:r>
        <w:rPr>
          <w:rFonts w:ascii="Times New Roman" w:hAnsi="Times New Roman" w:cs="Times New Roman"/>
          <w:sz w:val="24"/>
          <w:szCs w:val="24"/>
          <w:lang w:val="en-US"/>
        </w:rPr>
        <w:t>ated size of impacted imports.</w:t>
      </w:r>
      <w:r w:rsidRPr="001B555C">
        <w:rPr>
          <w:rFonts w:ascii="Times New Roman" w:hAnsi="Times New Roman" w:cs="Times New Roman"/>
          <w:sz w:val="24"/>
          <w:szCs w:val="24"/>
          <w:lang w:val="en-US"/>
        </w:rPr>
        <w:t xml:space="preserve"> While the list does contain examples</w:t>
      </w:r>
      <w:r>
        <w:rPr>
          <w:rFonts w:ascii="Times New Roman" w:hAnsi="Times New Roman" w:cs="Times New Roman"/>
          <w:sz w:val="24"/>
          <w:szCs w:val="24"/>
          <w:lang w:val="en-US"/>
        </w:rPr>
        <w:t xml:space="preserve"> </w:t>
      </w:r>
      <w:r w:rsidRPr="001B555C">
        <w:rPr>
          <w:rFonts w:ascii="Times New Roman" w:hAnsi="Times New Roman" w:cs="Times New Roman"/>
          <w:sz w:val="24"/>
          <w:szCs w:val="24"/>
          <w:lang w:val="en-US"/>
        </w:rPr>
        <w:t xml:space="preserve">of TTBs applied to end-consumer products (e.g., footwear; travel </w:t>
      </w:r>
      <w:r w:rsidRPr="001B555C">
        <w:rPr>
          <w:rFonts w:ascii="Times New Roman" w:hAnsi="Times New Roman" w:cs="Times New Roman"/>
          <w:sz w:val="24"/>
          <w:szCs w:val="24"/>
          <w:lang w:val="en-US"/>
        </w:rPr>
        <w:lastRenderedPageBreak/>
        <w:t>goods, h</w:t>
      </w:r>
      <w:r>
        <w:rPr>
          <w:rFonts w:ascii="Times New Roman" w:hAnsi="Times New Roman" w:cs="Times New Roman"/>
          <w:sz w:val="24"/>
          <w:szCs w:val="24"/>
          <w:lang w:val="en-US"/>
        </w:rPr>
        <w:t xml:space="preserve">andbags and similar containers; </w:t>
      </w:r>
      <w:r w:rsidRPr="001B555C">
        <w:rPr>
          <w:rFonts w:ascii="Times New Roman" w:hAnsi="Times New Roman" w:cs="Times New Roman"/>
          <w:sz w:val="24"/>
          <w:szCs w:val="24"/>
          <w:lang w:val="en-US"/>
        </w:rPr>
        <w:t>made-up textiles) most of these major TTBs are applied to key industrial inp</w:t>
      </w:r>
      <w:r>
        <w:rPr>
          <w:rFonts w:ascii="Times New Roman" w:hAnsi="Times New Roman" w:cs="Times New Roman"/>
          <w:sz w:val="24"/>
          <w:szCs w:val="24"/>
          <w:lang w:val="en-US"/>
        </w:rPr>
        <w:t xml:space="preserve">uts. Important examples include </w:t>
      </w:r>
      <w:r w:rsidRPr="001B555C">
        <w:rPr>
          <w:rFonts w:ascii="Times New Roman" w:hAnsi="Times New Roman" w:cs="Times New Roman"/>
          <w:sz w:val="24"/>
          <w:szCs w:val="24"/>
          <w:lang w:val="en-US"/>
        </w:rPr>
        <w:t>multiple TTBs involving cotton or synthetic yarn or fibers, and industrial ch</w:t>
      </w:r>
      <w:r>
        <w:rPr>
          <w:rFonts w:ascii="Times New Roman" w:hAnsi="Times New Roman" w:cs="Times New Roman"/>
          <w:sz w:val="24"/>
          <w:szCs w:val="24"/>
          <w:lang w:val="en-US"/>
        </w:rPr>
        <w:t xml:space="preserve">emicals and plastics (MEG, PVC, </w:t>
      </w:r>
      <w:r w:rsidRPr="001B555C">
        <w:rPr>
          <w:rFonts w:ascii="Times New Roman" w:hAnsi="Times New Roman" w:cs="Times New Roman"/>
          <w:sz w:val="24"/>
          <w:szCs w:val="24"/>
          <w:lang w:val="en-US"/>
        </w:rPr>
        <w:t xml:space="preserve">and PET). New import restrictions on inputs impose higher costs on domestic </w:t>
      </w:r>
      <w:r>
        <w:rPr>
          <w:rFonts w:ascii="Times New Roman" w:hAnsi="Times New Roman" w:cs="Times New Roman"/>
          <w:sz w:val="24"/>
          <w:szCs w:val="24"/>
          <w:lang w:val="en-US"/>
        </w:rPr>
        <w:t xml:space="preserve">downstream industries in Turkey </w:t>
      </w:r>
      <w:r w:rsidRPr="001B555C">
        <w:rPr>
          <w:rFonts w:ascii="Times New Roman" w:hAnsi="Times New Roman" w:cs="Times New Roman"/>
          <w:sz w:val="24"/>
          <w:szCs w:val="24"/>
          <w:lang w:val="en-US"/>
        </w:rPr>
        <w:t>and work to decrease their competitiveness. It negatively affects the ability of T</w:t>
      </w:r>
      <w:r>
        <w:rPr>
          <w:rFonts w:ascii="Times New Roman" w:hAnsi="Times New Roman" w:cs="Times New Roman"/>
          <w:sz w:val="24"/>
          <w:szCs w:val="24"/>
          <w:lang w:val="en-US"/>
        </w:rPr>
        <w:t xml:space="preserve">urkish firms to compete in both </w:t>
      </w:r>
      <w:r w:rsidRPr="001B555C">
        <w:rPr>
          <w:rFonts w:ascii="Times New Roman" w:hAnsi="Times New Roman" w:cs="Times New Roman"/>
          <w:sz w:val="24"/>
          <w:szCs w:val="24"/>
          <w:lang w:val="en-US"/>
        </w:rPr>
        <w:t>the domestic market against imports from other foreign competitors and in third markets as exporters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06B7F95" wp14:editId="370A1B52">
            <wp:extent cx="5397500" cy="394970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7500" cy="39497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p>
    <w:p w:rsidR="00925405" w:rsidRPr="004D5072" w:rsidRDefault="00925405" w:rsidP="00925405">
      <w:pPr>
        <w:spacing w:line="240" w:lineRule="auto"/>
        <w:jc w:val="both"/>
        <w:rPr>
          <w:rFonts w:ascii="Times New Roman" w:hAnsi="Times New Roman" w:cs="Times New Roman"/>
          <w:b/>
          <w:sz w:val="24"/>
          <w:szCs w:val="24"/>
          <w:lang w:val="en-US"/>
        </w:rPr>
      </w:pPr>
      <w:r w:rsidRPr="004D5072">
        <w:rPr>
          <w:rFonts w:ascii="Times New Roman" w:hAnsi="Times New Roman" w:cs="Times New Roman"/>
          <w:b/>
          <w:sz w:val="24"/>
          <w:szCs w:val="24"/>
          <w:lang w:val="en-US"/>
        </w:rPr>
        <w:t>Barriers faced by Turkish exporters</w:t>
      </w:r>
    </w:p>
    <w:p w:rsidR="00925405" w:rsidRPr="004D5072" w:rsidRDefault="00925405" w:rsidP="00925405">
      <w:pPr>
        <w:spacing w:line="240" w:lineRule="auto"/>
        <w:jc w:val="both"/>
        <w:rPr>
          <w:rFonts w:ascii="Times New Roman" w:hAnsi="Times New Roman" w:cs="Times New Roman"/>
          <w:sz w:val="24"/>
          <w:szCs w:val="24"/>
          <w:lang w:val="en-US"/>
        </w:rPr>
      </w:pPr>
      <w:r w:rsidRPr="004D5072">
        <w:rPr>
          <w:rFonts w:ascii="Times New Roman" w:hAnsi="Times New Roman" w:cs="Times New Roman"/>
          <w:sz w:val="24"/>
          <w:szCs w:val="24"/>
          <w:lang w:val="en-US"/>
        </w:rPr>
        <w:t>91. Overall, Turkey’s exports do not seem to face significant TTB b</w:t>
      </w:r>
      <w:r>
        <w:rPr>
          <w:rFonts w:ascii="Times New Roman" w:hAnsi="Times New Roman" w:cs="Times New Roman"/>
          <w:sz w:val="24"/>
          <w:szCs w:val="24"/>
          <w:lang w:val="en-US"/>
        </w:rPr>
        <w:t xml:space="preserve">arriers abroad. Antidumping and </w:t>
      </w:r>
      <w:r w:rsidRPr="004D5072">
        <w:rPr>
          <w:rFonts w:ascii="Times New Roman" w:hAnsi="Times New Roman" w:cs="Times New Roman"/>
          <w:sz w:val="24"/>
          <w:szCs w:val="24"/>
          <w:lang w:val="en-US"/>
        </w:rPr>
        <w:t>other TTBs are currently not major causes of concern for Turkey’s exporte</w:t>
      </w:r>
      <w:r>
        <w:rPr>
          <w:rFonts w:ascii="Times New Roman" w:hAnsi="Times New Roman" w:cs="Times New Roman"/>
          <w:sz w:val="24"/>
          <w:szCs w:val="24"/>
          <w:lang w:val="en-US"/>
        </w:rPr>
        <w:t xml:space="preserve">rs. Only roughly 0.1 percent of </w:t>
      </w:r>
      <w:r w:rsidRPr="004D5072">
        <w:rPr>
          <w:rFonts w:ascii="Times New Roman" w:hAnsi="Times New Roman" w:cs="Times New Roman"/>
          <w:sz w:val="24"/>
          <w:szCs w:val="24"/>
          <w:lang w:val="en-US"/>
        </w:rPr>
        <w:t>Turkey’s exports have been the subject to these forms of barriers since the 1</w:t>
      </w:r>
      <w:r>
        <w:rPr>
          <w:rFonts w:ascii="Times New Roman" w:hAnsi="Times New Roman" w:cs="Times New Roman"/>
          <w:sz w:val="24"/>
          <w:szCs w:val="24"/>
          <w:lang w:val="en-US"/>
        </w:rPr>
        <w:t xml:space="preserve">990s, albeit most recently at a </w:t>
      </w:r>
      <w:r w:rsidRPr="004D5072">
        <w:rPr>
          <w:rFonts w:ascii="Times New Roman" w:hAnsi="Times New Roman" w:cs="Times New Roman"/>
          <w:sz w:val="24"/>
          <w:szCs w:val="24"/>
          <w:lang w:val="en-US"/>
        </w:rPr>
        <w:t>higher level of 1 percent of exports in 2012.</w:t>
      </w:r>
    </w:p>
    <w:p w:rsidR="00925405" w:rsidRDefault="00925405" w:rsidP="00925405">
      <w:pPr>
        <w:spacing w:line="240" w:lineRule="auto"/>
        <w:jc w:val="both"/>
        <w:rPr>
          <w:rFonts w:ascii="Times New Roman" w:hAnsi="Times New Roman" w:cs="Times New Roman"/>
          <w:sz w:val="24"/>
          <w:szCs w:val="24"/>
          <w:lang w:val="en-US"/>
        </w:rPr>
      </w:pPr>
      <w:r w:rsidRPr="004D5072">
        <w:rPr>
          <w:rFonts w:ascii="Times New Roman" w:hAnsi="Times New Roman" w:cs="Times New Roman"/>
          <w:sz w:val="24"/>
          <w:szCs w:val="24"/>
          <w:lang w:val="en-US"/>
        </w:rPr>
        <w:t xml:space="preserve">92. However, exports of certain products to certain destinations may </w:t>
      </w:r>
      <w:r>
        <w:rPr>
          <w:rFonts w:ascii="Times New Roman" w:hAnsi="Times New Roman" w:cs="Times New Roman"/>
          <w:sz w:val="24"/>
          <w:szCs w:val="24"/>
          <w:lang w:val="en-US"/>
        </w:rPr>
        <w:t xml:space="preserve">face significant barriers. This </w:t>
      </w:r>
      <w:r w:rsidRPr="004D5072">
        <w:rPr>
          <w:rFonts w:ascii="Times New Roman" w:hAnsi="Times New Roman" w:cs="Times New Roman"/>
          <w:sz w:val="24"/>
          <w:szCs w:val="24"/>
          <w:lang w:val="en-US"/>
        </w:rPr>
        <w:t>was noted in particular with respect to apparel and food exports to some co</w:t>
      </w:r>
      <w:r>
        <w:rPr>
          <w:rFonts w:ascii="Times New Roman" w:hAnsi="Times New Roman" w:cs="Times New Roman"/>
          <w:sz w:val="24"/>
          <w:szCs w:val="24"/>
          <w:lang w:val="en-US"/>
        </w:rPr>
        <w:t xml:space="preserve">untries in MENA, and automotive </w:t>
      </w:r>
      <w:r w:rsidRPr="004D5072">
        <w:rPr>
          <w:rFonts w:ascii="Times New Roman" w:hAnsi="Times New Roman" w:cs="Times New Roman"/>
          <w:sz w:val="24"/>
          <w:szCs w:val="24"/>
          <w:lang w:val="en-US"/>
        </w:rPr>
        <w:t xml:space="preserve">exports to Latin America. </w:t>
      </w:r>
      <w:r w:rsidRPr="004D5072">
        <w:rPr>
          <w:rFonts w:ascii="Times New Roman" w:hAnsi="Times New Roman" w:cs="Times New Roman"/>
          <w:color w:val="FF0000"/>
          <w:sz w:val="24"/>
          <w:szCs w:val="24"/>
          <w:lang w:val="en-US"/>
        </w:rPr>
        <w:t xml:space="preserve">Table 10 </w:t>
      </w:r>
      <w:r w:rsidRPr="004D5072">
        <w:rPr>
          <w:rFonts w:ascii="Times New Roman" w:hAnsi="Times New Roman" w:cs="Times New Roman"/>
          <w:sz w:val="24"/>
          <w:szCs w:val="24"/>
          <w:lang w:val="en-US"/>
        </w:rPr>
        <w:t>presents the average tariffs faced by Turkish</w:t>
      </w:r>
      <w:r>
        <w:rPr>
          <w:rFonts w:ascii="Times New Roman" w:hAnsi="Times New Roman" w:cs="Times New Roman"/>
          <w:sz w:val="24"/>
          <w:szCs w:val="24"/>
          <w:lang w:val="en-US"/>
        </w:rPr>
        <w:t xml:space="preserve"> exporters in the country’s top </w:t>
      </w:r>
      <w:r w:rsidRPr="004D5072">
        <w:rPr>
          <w:rFonts w:ascii="Times New Roman" w:hAnsi="Times New Roman" w:cs="Times New Roman"/>
          <w:sz w:val="24"/>
          <w:szCs w:val="24"/>
          <w:lang w:val="en-US"/>
        </w:rPr>
        <w:t>destination markets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4D42338" wp14:editId="195801B3">
            <wp:extent cx="5397500" cy="4603750"/>
            <wp:effectExtent l="0" t="0" r="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7500" cy="46037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b/>
          <w:sz w:val="24"/>
          <w:szCs w:val="24"/>
          <w:lang w:val="en-US"/>
        </w:rPr>
      </w:pPr>
      <w:r w:rsidRPr="004D5072">
        <w:rPr>
          <w:rFonts w:ascii="Times New Roman" w:hAnsi="Times New Roman" w:cs="Times New Roman"/>
          <w:b/>
          <w:sz w:val="24"/>
          <w:szCs w:val="24"/>
          <w:lang w:val="en-US"/>
        </w:rPr>
        <w:t>Turkey’s Participation in Global Value Chains - An Overview</w:t>
      </w:r>
    </w:p>
    <w:p w:rsidR="00925405" w:rsidRPr="004D5072" w:rsidRDefault="00925405" w:rsidP="00925405">
      <w:pPr>
        <w:spacing w:line="240" w:lineRule="auto"/>
        <w:jc w:val="both"/>
        <w:rPr>
          <w:rFonts w:ascii="Times New Roman" w:hAnsi="Times New Roman" w:cs="Times New Roman"/>
          <w:sz w:val="24"/>
          <w:szCs w:val="24"/>
          <w:lang w:val="en-US"/>
        </w:rPr>
      </w:pPr>
      <w:r w:rsidRPr="004D5072">
        <w:rPr>
          <w:rFonts w:ascii="Times New Roman" w:hAnsi="Times New Roman" w:cs="Times New Roman"/>
          <w:sz w:val="24"/>
          <w:szCs w:val="24"/>
          <w:lang w:val="en-US"/>
        </w:rPr>
        <w:t>108. Turkey’s participation in GVCs is comparable with oth</w:t>
      </w:r>
      <w:r>
        <w:rPr>
          <w:rFonts w:ascii="Times New Roman" w:hAnsi="Times New Roman" w:cs="Times New Roman"/>
          <w:sz w:val="24"/>
          <w:szCs w:val="24"/>
          <w:lang w:val="en-US"/>
        </w:rPr>
        <w:t>er middle income countries. The participation index</w:t>
      </w:r>
      <w:r w:rsidRPr="004D5072">
        <w:rPr>
          <w:rFonts w:ascii="Times New Roman" w:hAnsi="Times New Roman" w:cs="Times New Roman"/>
          <w:sz w:val="24"/>
          <w:szCs w:val="24"/>
          <w:lang w:val="en-US"/>
        </w:rPr>
        <w:t xml:space="preserve"> measures the foreign value added embodied in domestic</w:t>
      </w:r>
      <w:r>
        <w:rPr>
          <w:rFonts w:ascii="Times New Roman" w:hAnsi="Times New Roman" w:cs="Times New Roman"/>
          <w:sz w:val="24"/>
          <w:szCs w:val="24"/>
          <w:lang w:val="en-US"/>
        </w:rPr>
        <w:t xml:space="preserve"> gross exports and the domestic </w:t>
      </w:r>
      <w:r w:rsidRPr="004D5072">
        <w:rPr>
          <w:rFonts w:ascii="Times New Roman" w:hAnsi="Times New Roman" w:cs="Times New Roman"/>
          <w:sz w:val="24"/>
          <w:szCs w:val="24"/>
          <w:lang w:val="en-US"/>
        </w:rPr>
        <w:t>value added embodied in third countries gross exports. The higher the foreig</w:t>
      </w:r>
      <w:r>
        <w:rPr>
          <w:rFonts w:ascii="Times New Roman" w:hAnsi="Times New Roman" w:cs="Times New Roman"/>
          <w:sz w:val="24"/>
          <w:szCs w:val="24"/>
          <w:lang w:val="en-US"/>
        </w:rPr>
        <w:t xml:space="preserve">n value added embodied in gross </w:t>
      </w:r>
      <w:r w:rsidRPr="004D5072">
        <w:rPr>
          <w:rFonts w:ascii="Times New Roman" w:hAnsi="Times New Roman" w:cs="Times New Roman"/>
          <w:sz w:val="24"/>
          <w:szCs w:val="24"/>
          <w:lang w:val="en-US"/>
        </w:rPr>
        <w:t xml:space="preserve">exports and the higher the value of inputs exported to third countries and used in their exports, </w:t>
      </w:r>
      <w:r>
        <w:rPr>
          <w:rFonts w:ascii="Times New Roman" w:hAnsi="Times New Roman" w:cs="Times New Roman"/>
          <w:sz w:val="24"/>
          <w:szCs w:val="24"/>
          <w:lang w:val="en-US"/>
        </w:rPr>
        <w:t xml:space="preserve">the higher the </w:t>
      </w:r>
      <w:r w:rsidRPr="004D5072">
        <w:rPr>
          <w:rFonts w:ascii="Times New Roman" w:hAnsi="Times New Roman" w:cs="Times New Roman"/>
          <w:sz w:val="24"/>
          <w:szCs w:val="24"/>
          <w:lang w:val="en-US"/>
        </w:rPr>
        <w:t>participation of a given country in the value chain. The OECD (2012) has c</w:t>
      </w:r>
      <w:r>
        <w:rPr>
          <w:rFonts w:ascii="Times New Roman" w:hAnsi="Times New Roman" w:cs="Times New Roman"/>
          <w:sz w:val="24"/>
          <w:szCs w:val="24"/>
          <w:lang w:val="en-US"/>
        </w:rPr>
        <w:t xml:space="preserve">omputed this indicator for OECD </w:t>
      </w:r>
      <w:r w:rsidRPr="004D5072">
        <w:rPr>
          <w:rFonts w:ascii="Times New Roman" w:hAnsi="Times New Roman" w:cs="Times New Roman"/>
          <w:sz w:val="24"/>
          <w:szCs w:val="24"/>
          <w:lang w:val="en-US"/>
        </w:rPr>
        <w:t>countries and selected non-OECD countries (</w:t>
      </w:r>
      <w:r w:rsidRPr="004D5072">
        <w:rPr>
          <w:rFonts w:ascii="Times New Roman" w:hAnsi="Times New Roman" w:cs="Times New Roman"/>
          <w:color w:val="FF0000"/>
          <w:sz w:val="24"/>
          <w:szCs w:val="24"/>
          <w:lang w:val="en-US"/>
        </w:rPr>
        <w:t>Figure 37</w:t>
      </w:r>
      <w:r w:rsidRPr="004D5072">
        <w:rPr>
          <w:rFonts w:ascii="Times New Roman" w:hAnsi="Times New Roman" w:cs="Times New Roman"/>
          <w:sz w:val="24"/>
          <w:szCs w:val="24"/>
          <w:lang w:val="en-US"/>
        </w:rPr>
        <w:t>). It finds that Turkey’s participation rate is just below</w:t>
      </w:r>
    </w:p>
    <w:p w:rsidR="00925405" w:rsidRDefault="00E069BB" w:rsidP="00925405">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50 percent. Country size -</w:t>
      </w:r>
      <w:r w:rsidR="00925405" w:rsidRPr="004D5072">
        <w:rPr>
          <w:rFonts w:ascii="Times New Roman" w:hAnsi="Times New Roman" w:cs="Times New Roman"/>
          <w:sz w:val="24"/>
          <w:szCs w:val="24"/>
          <w:lang w:val="en-US"/>
        </w:rPr>
        <w:t xml:space="preserve"> in particular relative to regional peers – appears </w:t>
      </w:r>
      <w:r w:rsidR="00925405">
        <w:rPr>
          <w:rFonts w:ascii="Times New Roman" w:hAnsi="Times New Roman" w:cs="Times New Roman"/>
          <w:sz w:val="24"/>
          <w:szCs w:val="24"/>
          <w:lang w:val="en-US"/>
        </w:rPr>
        <w:t xml:space="preserve">to matter. Both in advanced and </w:t>
      </w:r>
      <w:r w:rsidR="00925405" w:rsidRPr="004D5072">
        <w:rPr>
          <w:rFonts w:ascii="Times New Roman" w:hAnsi="Times New Roman" w:cs="Times New Roman"/>
          <w:sz w:val="24"/>
          <w:szCs w:val="24"/>
          <w:lang w:val="en-US"/>
        </w:rPr>
        <w:t>emerging economies, smaller countries such as the Czech Republic, Singapor</w:t>
      </w:r>
      <w:r w:rsidR="00925405">
        <w:rPr>
          <w:rFonts w:ascii="Times New Roman" w:hAnsi="Times New Roman" w:cs="Times New Roman"/>
          <w:sz w:val="24"/>
          <w:szCs w:val="24"/>
          <w:lang w:val="en-US"/>
        </w:rPr>
        <w:t xml:space="preserve">e, Estonia, the Slovak Republic </w:t>
      </w:r>
      <w:r w:rsidR="00925405" w:rsidRPr="004D5072">
        <w:rPr>
          <w:rFonts w:ascii="Times New Roman" w:hAnsi="Times New Roman" w:cs="Times New Roman"/>
          <w:sz w:val="24"/>
          <w:szCs w:val="24"/>
          <w:lang w:val="en-US"/>
        </w:rPr>
        <w:t>and Chinese Taipei post participation rates between 60 percent and 80 percen</w:t>
      </w:r>
      <w:r w:rsidR="00925405">
        <w:rPr>
          <w:rFonts w:ascii="Times New Roman" w:hAnsi="Times New Roman" w:cs="Times New Roman"/>
          <w:sz w:val="24"/>
          <w:szCs w:val="24"/>
          <w:lang w:val="en-US"/>
        </w:rPr>
        <w:t xml:space="preserve">t. By contrast larger countries </w:t>
      </w:r>
      <w:r w:rsidR="00925405" w:rsidRPr="004D5072">
        <w:rPr>
          <w:rFonts w:ascii="Times New Roman" w:hAnsi="Times New Roman" w:cs="Times New Roman"/>
          <w:sz w:val="24"/>
          <w:szCs w:val="24"/>
          <w:lang w:val="en-US"/>
        </w:rPr>
        <w:t>have a lower participation index. The participation rate of Turkey is about the s</w:t>
      </w:r>
      <w:r w:rsidR="00925405">
        <w:rPr>
          <w:rFonts w:ascii="Times New Roman" w:hAnsi="Times New Roman" w:cs="Times New Roman"/>
          <w:sz w:val="24"/>
          <w:szCs w:val="24"/>
          <w:lang w:val="en-US"/>
        </w:rPr>
        <w:t xml:space="preserve">ame as the one of India, Italy, </w:t>
      </w:r>
      <w:r w:rsidR="00925405" w:rsidRPr="004D5072">
        <w:rPr>
          <w:rFonts w:ascii="Times New Roman" w:hAnsi="Times New Roman" w:cs="Times New Roman"/>
          <w:sz w:val="24"/>
          <w:szCs w:val="24"/>
          <w:lang w:val="en-US"/>
        </w:rPr>
        <w:t>the UK and Japan. It is higher than the participation of comparable middle-sized emerging countries</w:t>
      </w:r>
      <w:r w:rsidR="00925405">
        <w:rPr>
          <w:rFonts w:ascii="Times New Roman" w:hAnsi="Times New Roman" w:cs="Times New Roman"/>
          <w:sz w:val="24"/>
          <w:szCs w:val="24"/>
          <w:lang w:val="en-US"/>
        </w:rPr>
        <w:t xml:space="preserve"> such as </w:t>
      </w:r>
      <w:r w:rsidR="00925405" w:rsidRPr="004D5072">
        <w:rPr>
          <w:rFonts w:ascii="Times New Roman" w:hAnsi="Times New Roman" w:cs="Times New Roman"/>
          <w:sz w:val="24"/>
          <w:szCs w:val="24"/>
          <w:lang w:val="en-US"/>
        </w:rPr>
        <w:t>Mexico, Brazil and Argentina, and also slightly higher than that of China. The</w:t>
      </w:r>
      <w:r w:rsidR="00925405">
        <w:rPr>
          <w:rFonts w:ascii="Times New Roman" w:hAnsi="Times New Roman" w:cs="Times New Roman"/>
          <w:sz w:val="24"/>
          <w:szCs w:val="24"/>
          <w:lang w:val="en-US"/>
        </w:rPr>
        <w:t xml:space="preserve"> relatively low index for China </w:t>
      </w:r>
      <w:r>
        <w:rPr>
          <w:rFonts w:ascii="Times New Roman" w:hAnsi="Times New Roman" w:cs="Times New Roman"/>
          <w:sz w:val="24"/>
          <w:szCs w:val="24"/>
          <w:lang w:val="en-US"/>
        </w:rPr>
        <w:t>-</w:t>
      </w:r>
      <w:r w:rsidR="00925405" w:rsidRPr="004D5072">
        <w:rPr>
          <w:rFonts w:ascii="Times New Roman" w:hAnsi="Times New Roman" w:cs="Times New Roman"/>
          <w:sz w:val="24"/>
          <w:szCs w:val="24"/>
          <w:lang w:val="en-US"/>
        </w:rPr>
        <w:t>below the value for Japan and Germany an</w:t>
      </w:r>
      <w:r>
        <w:rPr>
          <w:rFonts w:ascii="Times New Roman" w:hAnsi="Times New Roman" w:cs="Times New Roman"/>
          <w:sz w:val="24"/>
          <w:szCs w:val="24"/>
          <w:lang w:val="en-US"/>
        </w:rPr>
        <w:t>d at the same level as the USA-</w:t>
      </w:r>
      <w:r w:rsidR="00925405" w:rsidRPr="004D5072">
        <w:rPr>
          <w:rFonts w:ascii="Times New Roman" w:hAnsi="Times New Roman" w:cs="Times New Roman"/>
          <w:sz w:val="24"/>
          <w:szCs w:val="24"/>
          <w:lang w:val="en-US"/>
        </w:rPr>
        <w:t xml:space="preserve"> </w:t>
      </w:r>
      <w:r w:rsidR="00925405">
        <w:rPr>
          <w:rFonts w:ascii="Times New Roman" w:hAnsi="Times New Roman" w:cs="Times New Roman"/>
          <w:sz w:val="24"/>
          <w:szCs w:val="24"/>
          <w:lang w:val="en-US"/>
        </w:rPr>
        <w:t xml:space="preserve">might seem somewhat surprising. </w:t>
      </w:r>
      <w:r w:rsidR="00925405" w:rsidRPr="004D5072">
        <w:rPr>
          <w:rFonts w:ascii="Times New Roman" w:hAnsi="Times New Roman" w:cs="Times New Roman"/>
          <w:sz w:val="24"/>
          <w:szCs w:val="24"/>
          <w:lang w:val="en-US"/>
        </w:rPr>
        <w:t>This reflects both a lower Chinese value added in third countries’ exports and</w:t>
      </w:r>
      <w:r w:rsidR="00925405">
        <w:rPr>
          <w:rFonts w:ascii="Times New Roman" w:hAnsi="Times New Roman" w:cs="Times New Roman"/>
          <w:sz w:val="24"/>
          <w:szCs w:val="24"/>
          <w:lang w:val="en-US"/>
        </w:rPr>
        <w:t xml:space="preserve"> a lower foreign value added in </w:t>
      </w:r>
      <w:r w:rsidR="00925405" w:rsidRPr="004D5072">
        <w:rPr>
          <w:rFonts w:ascii="Times New Roman" w:hAnsi="Times New Roman" w:cs="Times New Roman"/>
          <w:sz w:val="24"/>
          <w:szCs w:val="24"/>
          <w:lang w:val="en-US"/>
        </w:rPr>
        <w:t>China’s gross exports as commonly perceived.</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B82FAD7" wp14:editId="2ADDCD65">
            <wp:extent cx="5391150" cy="25019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1150" cy="2501900"/>
                    </a:xfrm>
                    <a:prstGeom prst="rect">
                      <a:avLst/>
                    </a:prstGeom>
                    <a:noFill/>
                    <a:ln>
                      <a:noFill/>
                    </a:ln>
                  </pic:spPr>
                </pic:pic>
              </a:graphicData>
            </a:graphic>
          </wp:inline>
        </w:drawing>
      </w:r>
    </w:p>
    <w:p w:rsidR="00925405" w:rsidRPr="00BE6291" w:rsidRDefault="00925405" w:rsidP="00925405">
      <w:pPr>
        <w:spacing w:line="240" w:lineRule="auto"/>
        <w:jc w:val="both"/>
        <w:rPr>
          <w:rFonts w:ascii="Times New Roman" w:hAnsi="Times New Roman" w:cs="Times New Roman"/>
          <w:sz w:val="24"/>
          <w:szCs w:val="24"/>
          <w:lang w:val="en-US"/>
        </w:rPr>
      </w:pPr>
      <w:r w:rsidRPr="00BE6291">
        <w:rPr>
          <w:rFonts w:ascii="Times New Roman" w:hAnsi="Times New Roman" w:cs="Times New Roman"/>
          <w:sz w:val="24"/>
          <w:szCs w:val="24"/>
          <w:lang w:val="en-US"/>
        </w:rPr>
        <w:t>110. Turkey is a preferred destination for final assembly platforms. Other co</w:t>
      </w:r>
      <w:r>
        <w:rPr>
          <w:rFonts w:ascii="Times New Roman" w:hAnsi="Times New Roman" w:cs="Times New Roman"/>
          <w:sz w:val="24"/>
          <w:szCs w:val="24"/>
          <w:lang w:val="en-US"/>
        </w:rPr>
        <w:t xml:space="preserve">untries in this same category </w:t>
      </w:r>
      <w:r w:rsidRPr="00BE6291">
        <w:rPr>
          <w:rFonts w:ascii="Times New Roman" w:hAnsi="Times New Roman" w:cs="Times New Roman"/>
          <w:sz w:val="24"/>
          <w:szCs w:val="24"/>
          <w:lang w:val="en-US"/>
        </w:rPr>
        <w:t>are the Dominican Republic, Honduras and Mexico in the Americas; Germa</w:t>
      </w:r>
      <w:r>
        <w:rPr>
          <w:rFonts w:ascii="Times New Roman" w:hAnsi="Times New Roman" w:cs="Times New Roman"/>
          <w:sz w:val="24"/>
          <w:szCs w:val="24"/>
          <w:lang w:val="en-US"/>
        </w:rPr>
        <w:t xml:space="preserve">ny, Hungary, Slovakia, Slovenia </w:t>
      </w:r>
      <w:r w:rsidRPr="00BE6291">
        <w:rPr>
          <w:rFonts w:ascii="Times New Roman" w:hAnsi="Times New Roman" w:cs="Times New Roman"/>
          <w:sz w:val="24"/>
          <w:szCs w:val="24"/>
          <w:lang w:val="en-US"/>
        </w:rPr>
        <w:t>and Tunisia in the European and Mediterranean region; China, Cambodia, Th</w:t>
      </w:r>
      <w:r>
        <w:rPr>
          <w:rFonts w:ascii="Times New Roman" w:hAnsi="Times New Roman" w:cs="Times New Roman"/>
          <w:sz w:val="24"/>
          <w:szCs w:val="24"/>
          <w:lang w:val="en-US"/>
        </w:rPr>
        <w:t xml:space="preserve">ailand and Vietnam in Asia (Van </w:t>
      </w:r>
      <w:r w:rsidRPr="00BE6291">
        <w:rPr>
          <w:rFonts w:ascii="Times New Roman" w:hAnsi="Times New Roman" w:cs="Times New Roman"/>
          <w:sz w:val="24"/>
          <w:szCs w:val="24"/>
          <w:lang w:val="en-US"/>
        </w:rPr>
        <w:t>Aasche, 2012). This is consistent with the findings from similar studies u</w:t>
      </w:r>
      <w:r>
        <w:rPr>
          <w:rFonts w:ascii="Times New Roman" w:hAnsi="Times New Roman" w:cs="Times New Roman"/>
          <w:sz w:val="24"/>
          <w:szCs w:val="24"/>
          <w:lang w:val="en-US"/>
        </w:rPr>
        <w:t xml:space="preserve">sing alternative methodologies. </w:t>
      </w:r>
      <w:r w:rsidRPr="00BE6291">
        <w:rPr>
          <w:rFonts w:ascii="Times New Roman" w:hAnsi="Times New Roman" w:cs="Times New Roman"/>
          <w:sz w:val="24"/>
          <w:szCs w:val="24"/>
          <w:lang w:val="en-US"/>
        </w:rPr>
        <w:t>Taymaz et al. (2011), dividing the production process of traded goods into five</w:t>
      </w:r>
      <w:r>
        <w:rPr>
          <w:rFonts w:ascii="Times New Roman" w:hAnsi="Times New Roman" w:cs="Times New Roman"/>
          <w:sz w:val="24"/>
          <w:szCs w:val="24"/>
          <w:lang w:val="en-US"/>
        </w:rPr>
        <w:t xml:space="preserve"> different categories according </w:t>
      </w:r>
      <w:r w:rsidRPr="00BE6291">
        <w:rPr>
          <w:rFonts w:ascii="Times New Roman" w:hAnsi="Times New Roman" w:cs="Times New Roman"/>
          <w:sz w:val="24"/>
          <w:szCs w:val="24"/>
          <w:lang w:val="en-US"/>
        </w:rPr>
        <w:t>to UN Broad Economic Category (primary goods; intermediate inputs, semi-</w:t>
      </w:r>
      <w:r>
        <w:rPr>
          <w:rFonts w:ascii="Times New Roman" w:hAnsi="Times New Roman" w:cs="Times New Roman"/>
          <w:sz w:val="24"/>
          <w:szCs w:val="24"/>
          <w:lang w:val="en-US"/>
        </w:rPr>
        <w:t xml:space="preserve">finished products, intermediate </w:t>
      </w:r>
      <w:r w:rsidRPr="00BE6291">
        <w:rPr>
          <w:rFonts w:ascii="Times New Roman" w:hAnsi="Times New Roman" w:cs="Times New Roman"/>
          <w:sz w:val="24"/>
          <w:szCs w:val="24"/>
          <w:lang w:val="en-US"/>
        </w:rPr>
        <w:t xml:space="preserve">inputs, parts and accessories; and consumption goods), find that Turkey </w:t>
      </w:r>
      <w:r>
        <w:rPr>
          <w:rFonts w:ascii="Times New Roman" w:hAnsi="Times New Roman" w:cs="Times New Roman"/>
          <w:sz w:val="24"/>
          <w:szCs w:val="24"/>
          <w:lang w:val="en-US"/>
        </w:rPr>
        <w:t xml:space="preserve">specializes in downstream labor </w:t>
      </w:r>
      <w:r w:rsidRPr="00BE6291">
        <w:rPr>
          <w:rFonts w:ascii="Times New Roman" w:hAnsi="Times New Roman" w:cs="Times New Roman"/>
          <w:sz w:val="24"/>
          <w:szCs w:val="24"/>
          <w:lang w:val="en-US"/>
        </w:rPr>
        <w:t>intensive segments of the value chain. Turkey exports mostly consumption g</w:t>
      </w:r>
      <w:r>
        <w:rPr>
          <w:rFonts w:ascii="Times New Roman" w:hAnsi="Times New Roman" w:cs="Times New Roman"/>
          <w:sz w:val="24"/>
          <w:szCs w:val="24"/>
          <w:lang w:val="en-US"/>
        </w:rPr>
        <w:t xml:space="preserve">oods and semi-finished products </w:t>
      </w:r>
      <w:r w:rsidRPr="00BE6291">
        <w:rPr>
          <w:rFonts w:ascii="Times New Roman" w:hAnsi="Times New Roman" w:cs="Times New Roman"/>
          <w:sz w:val="24"/>
          <w:szCs w:val="24"/>
          <w:lang w:val="en-US"/>
        </w:rPr>
        <w:t>as intermediate inputs and imports semi-finished products, capital goods and p</w:t>
      </w:r>
      <w:r>
        <w:rPr>
          <w:rFonts w:ascii="Times New Roman" w:hAnsi="Times New Roman" w:cs="Times New Roman"/>
          <w:sz w:val="24"/>
          <w:szCs w:val="24"/>
          <w:lang w:val="en-US"/>
        </w:rPr>
        <w:t xml:space="preserve">rimary goods. It specializes in </w:t>
      </w:r>
      <w:r w:rsidRPr="00BE6291">
        <w:rPr>
          <w:rFonts w:ascii="Times New Roman" w:hAnsi="Times New Roman" w:cs="Times New Roman"/>
          <w:sz w:val="24"/>
          <w:szCs w:val="24"/>
          <w:lang w:val="en-US"/>
        </w:rPr>
        <w:t>sectors and production processes that are labor intensive. These patterns are fully cons</w:t>
      </w:r>
      <w:r>
        <w:rPr>
          <w:rFonts w:ascii="Times New Roman" w:hAnsi="Times New Roman" w:cs="Times New Roman"/>
          <w:sz w:val="24"/>
          <w:szCs w:val="24"/>
          <w:lang w:val="en-US"/>
        </w:rPr>
        <w:t xml:space="preserve">istent with a country </w:t>
      </w:r>
      <w:r w:rsidRPr="00BE6291">
        <w:rPr>
          <w:rFonts w:ascii="Times New Roman" w:hAnsi="Times New Roman" w:cs="Times New Roman"/>
          <w:sz w:val="24"/>
          <w:szCs w:val="24"/>
          <w:lang w:val="en-US"/>
        </w:rPr>
        <w:t>specializing in assembly intensive activities. Since the participation of Turki</w:t>
      </w:r>
      <w:r>
        <w:rPr>
          <w:rFonts w:ascii="Times New Roman" w:hAnsi="Times New Roman" w:cs="Times New Roman"/>
          <w:sz w:val="24"/>
          <w:szCs w:val="24"/>
          <w:lang w:val="en-US"/>
        </w:rPr>
        <w:t xml:space="preserve">sh companies in GVCs is focused </w:t>
      </w:r>
      <w:r w:rsidRPr="00BE6291">
        <w:rPr>
          <w:rFonts w:ascii="Times New Roman" w:hAnsi="Times New Roman" w:cs="Times New Roman"/>
          <w:sz w:val="24"/>
          <w:szCs w:val="24"/>
          <w:lang w:val="en-US"/>
        </w:rPr>
        <w:t>mainly on assembly act</w:t>
      </w:r>
      <w:r w:rsidR="00E069BB">
        <w:rPr>
          <w:rFonts w:ascii="Times New Roman" w:hAnsi="Times New Roman" w:cs="Times New Roman"/>
          <w:sz w:val="24"/>
          <w:szCs w:val="24"/>
          <w:lang w:val="en-US"/>
        </w:rPr>
        <w:t>ivities, “functional upgrading”,</w:t>
      </w:r>
      <w:r w:rsidRPr="00BE6291">
        <w:rPr>
          <w:rFonts w:ascii="Times New Roman" w:hAnsi="Times New Roman" w:cs="Times New Roman"/>
          <w:sz w:val="24"/>
          <w:szCs w:val="24"/>
          <w:lang w:val="en-US"/>
        </w:rPr>
        <w:t xml:space="preserve"> as described above is</w:t>
      </w:r>
      <w:r>
        <w:rPr>
          <w:rFonts w:ascii="Times New Roman" w:hAnsi="Times New Roman" w:cs="Times New Roman"/>
          <w:sz w:val="24"/>
          <w:szCs w:val="24"/>
          <w:lang w:val="en-US"/>
        </w:rPr>
        <w:t xml:space="preserve"> important for moving to higher </w:t>
      </w:r>
      <w:r w:rsidRPr="00BE6291">
        <w:rPr>
          <w:rFonts w:ascii="Times New Roman" w:hAnsi="Times New Roman" w:cs="Times New Roman"/>
          <w:sz w:val="24"/>
          <w:szCs w:val="24"/>
          <w:lang w:val="en-US"/>
        </w:rPr>
        <w:t xml:space="preserve">value added activities. Turkey has managed successful functional upgrading </w:t>
      </w:r>
      <w:r>
        <w:rPr>
          <w:rFonts w:ascii="Times New Roman" w:hAnsi="Times New Roman" w:cs="Times New Roman"/>
          <w:sz w:val="24"/>
          <w:szCs w:val="24"/>
          <w:lang w:val="en-US"/>
        </w:rPr>
        <w:t xml:space="preserve">in the textiles sector and this </w:t>
      </w:r>
      <w:r w:rsidRPr="00BE6291">
        <w:rPr>
          <w:rFonts w:ascii="Times New Roman" w:hAnsi="Times New Roman" w:cs="Times New Roman"/>
          <w:sz w:val="24"/>
          <w:szCs w:val="24"/>
          <w:lang w:val="en-US"/>
        </w:rPr>
        <w:t>experience could be replicated to other sectors.</w:t>
      </w:r>
    </w:p>
    <w:p w:rsidR="00925405" w:rsidRPr="00BE6291" w:rsidRDefault="00925405" w:rsidP="00925405">
      <w:pPr>
        <w:spacing w:line="240" w:lineRule="auto"/>
        <w:jc w:val="both"/>
        <w:rPr>
          <w:rFonts w:ascii="Times New Roman" w:hAnsi="Times New Roman" w:cs="Times New Roman"/>
          <w:sz w:val="24"/>
          <w:szCs w:val="24"/>
          <w:lang w:val="en-US"/>
        </w:rPr>
      </w:pPr>
      <w:r w:rsidRPr="00BE6291">
        <w:rPr>
          <w:rFonts w:ascii="Times New Roman" w:hAnsi="Times New Roman" w:cs="Times New Roman"/>
          <w:sz w:val="24"/>
          <w:szCs w:val="24"/>
          <w:lang w:val="en-US"/>
        </w:rPr>
        <w:t>111. One of Turkey’s advantages as a source country for production facil</w:t>
      </w:r>
      <w:r>
        <w:rPr>
          <w:rFonts w:ascii="Times New Roman" w:hAnsi="Times New Roman" w:cs="Times New Roman"/>
          <w:sz w:val="24"/>
          <w:szCs w:val="24"/>
          <w:lang w:val="en-US"/>
        </w:rPr>
        <w:t xml:space="preserve">ities is its good connectivity, </w:t>
      </w:r>
      <w:r w:rsidRPr="00BE6291">
        <w:rPr>
          <w:rFonts w:ascii="Times New Roman" w:hAnsi="Times New Roman" w:cs="Times New Roman"/>
          <w:sz w:val="24"/>
          <w:szCs w:val="24"/>
          <w:lang w:val="en-US"/>
        </w:rPr>
        <w:t>particularly with European markets, while trade costs for distant mar</w:t>
      </w:r>
      <w:r>
        <w:rPr>
          <w:rFonts w:ascii="Times New Roman" w:hAnsi="Times New Roman" w:cs="Times New Roman"/>
          <w:sz w:val="24"/>
          <w:szCs w:val="24"/>
          <w:lang w:val="en-US"/>
        </w:rPr>
        <w:t xml:space="preserve">kets remain higher. Differences </w:t>
      </w:r>
      <w:r w:rsidRPr="00BE6291">
        <w:rPr>
          <w:rFonts w:ascii="Times New Roman" w:hAnsi="Times New Roman" w:cs="Times New Roman"/>
          <w:sz w:val="24"/>
          <w:szCs w:val="24"/>
          <w:lang w:val="en-US"/>
        </w:rPr>
        <w:t>in size and endowments of national economies are not the only explanation f</w:t>
      </w:r>
      <w:r>
        <w:rPr>
          <w:rFonts w:ascii="Times New Roman" w:hAnsi="Times New Roman" w:cs="Times New Roman"/>
          <w:sz w:val="24"/>
          <w:szCs w:val="24"/>
          <w:lang w:val="en-US"/>
        </w:rPr>
        <w:t xml:space="preserve">or differences in the volume of </w:t>
      </w:r>
      <w:r w:rsidRPr="00BE6291">
        <w:rPr>
          <w:rFonts w:ascii="Times New Roman" w:hAnsi="Times New Roman" w:cs="Times New Roman"/>
          <w:sz w:val="24"/>
          <w:szCs w:val="24"/>
          <w:lang w:val="en-US"/>
        </w:rPr>
        <w:t xml:space="preserve">trade and in its complexity, in terms of export participation and diversification </w:t>
      </w:r>
      <w:r>
        <w:rPr>
          <w:rFonts w:ascii="Times New Roman" w:hAnsi="Times New Roman" w:cs="Times New Roman"/>
          <w:sz w:val="24"/>
          <w:szCs w:val="24"/>
          <w:lang w:val="en-US"/>
        </w:rPr>
        <w:t xml:space="preserve">of trade patterns. Distance and </w:t>
      </w:r>
      <w:r w:rsidRPr="00BE6291">
        <w:rPr>
          <w:rFonts w:ascii="Times New Roman" w:hAnsi="Times New Roman" w:cs="Times New Roman"/>
          <w:sz w:val="24"/>
          <w:szCs w:val="24"/>
          <w:lang w:val="en-US"/>
        </w:rPr>
        <w:t>supply-side constraints and inefficiencies play a large role. Bilateral trade cost</w:t>
      </w:r>
      <w:r>
        <w:rPr>
          <w:rFonts w:ascii="Times New Roman" w:hAnsi="Times New Roman" w:cs="Times New Roman"/>
          <w:sz w:val="24"/>
          <w:szCs w:val="24"/>
          <w:lang w:val="en-US"/>
        </w:rPr>
        <w:t xml:space="preserve">s between countries capture the </w:t>
      </w:r>
      <w:r w:rsidRPr="00BE6291">
        <w:rPr>
          <w:rFonts w:ascii="Times New Roman" w:hAnsi="Times New Roman" w:cs="Times New Roman"/>
          <w:sz w:val="24"/>
          <w:szCs w:val="24"/>
          <w:lang w:val="en-US"/>
        </w:rPr>
        <w:t>price equivalent of the reduction of international trade as compared with the potential</w:t>
      </w:r>
      <w:r>
        <w:rPr>
          <w:rFonts w:ascii="Times New Roman" w:hAnsi="Times New Roman" w:cs="Times New Roman"/>
          <w:sz w:val="24"/>
          <w:szCs w:val="24"/>
          <w:lang w:val="en-US"/>
        </w:rPr>
        <w:t xml:space="preserve"> implied by domestic </w:t>
      </w:r>
      <w:r w:rsidRPr="00BE6291">
        <w:rPr>
          <w:rFonts w:ascii="Times New Roman" w:hAnsi="Times New Roman" w:cs="Times New Roman"/>
          <w:sz w:val="24"/>
          <w:szCs w:val="24"/>
          <w:lang w:val="en-US"/>
        </w:rPr>
        <w:t>production in the origin country and consumption in the destination marke</w:t>
      </w:r>
      <w:r>
        <w:rPr>
          <w:rFonts w:ascii="Times New Roman" w:hAnsi="Times New Roman" w:cs="Times New Roman"/>
          <w:sz w:val="24"/>
          <w:szCs w:val="24"/>
          <w:lang w:val="en-US"/>
        </w:rPr>
        <w:t xml:space="preserve">ts (Anderson 2002, Novy 2009). </w:t>
      </w:r>
      <w:r w:rsidRPr="00BE6291">
        <w:rPr>
          <w:rFonts w:ascii="Times New Roman" w:hAnsi="Times New Roman" w:cs="Times New Roman"/>
          <w:sz w:val="24"/>
          <w:szCs w:val="24"/>
          <w:lang w:val="en-US"/>
        </w:rPr>
        <w:t>Higher bilateral trade costs result in smaller bilateral trade flows.</w:t>
      </w:r>
    </w:p>
    <w:p w:rsidR="00925405" w:rsidRPr="00BE6291" w:rsidRDefault="00925405" w:rsidP="00925405">
      <w:pPr>
        <w:spacing w:line="240" w:lineRule="auto"/>
        <w:jc w:val="both"/>
        <w:rPr>
          <w:rFonts w:ascii="Times New Roman" w:hAnsi="Times New Roman" w:cs="Times New Roman"/>
          <w:sz w:val="24"/>
          <w:szCs w:val="24"/>
          <w:lang w:val="en-US"/>
        </w:rPr>
      </w:pPr>
      <w:r w:rsidRPr="00BE6291">
        <w:rPr>
          <w:rFonts w:ascii="Times New Roman" w:hAnsi="Times New Roman" w:cs="Times New Roman"/>
          <w:sz w:val="24"/>
          <w:szCs w:val="24"/>
          <w:lang w:val="en-US"/>
        </w:rPr>
        <w:t>112. Turkey has relatively favorable (low) trade costs when compar</w:t>
      </w:r>
      <w:r>
        <w:rPr>
          <w:rFonts w:ascii="Times New Roman" w:hAnsi="Times New Roman" w:cs="Times New Roman"/>
          <w:sz w:val="24"/>
          <w:szCs w:val="24"/>
          <w:lang w:val="en-US"/>
        </w:rPr>
        <w:t xml:space="preserve">ed to competitors in the region </w:t>
      </w:r>
      <w:r w:rsidRPr="00BE6291">
        <w:rPr>
          <w:rFonts w:ascii="Times New Roman" w:hAnsi="Times New Roman" w:cs="Times New Roman"/>
          <w:sz w:val="24"/>
          <w:szCs w:val="24"/>
          <w:lang w:val="en-US"/>
        </w:rPr>
        <w:t>(</w:t>
      </w:r>
      <w:r w:rsidRPr="00BE6291">
        <w:rPr>
          <w:rFonts w:ascii="Times New Roman" w:hAnsi="Times New Roman" w:cs="Times New Roman"/>
          <w:color w:val="FF0000"/>
          <w:sz w:val="24"/>
          <w:szCs w:val="24"/>
          <w:lang w:val="en-US"/>
        </w:rPr>
        <w:t>Figure 38, left-hand side panel</w:t>
      </w:r>
      <w:r w:rsidRPr="00BE6291">
        <w:rPr>
          <w:rFonts w:ascii="Times New Roman" w:hAnsi="Times New Roman" w:cs="Times New Roman"/>
          <w:sz w:val="24"/>
          <w:szCs w:val="24"/>
          <w:lang w:val="en-US"/>
        </w:rPr>
        <w:t xml:space="preserve">). Trade costs vis-à-vis EU markets are lower </w:t>
      </w:r>
      <w:r w:rsidR="00E069BB">
        <w:rPr>
          <w:rFonts w:ascii="Times New Roman" w:hAnsi="Times New Roman" w:cs="Times New Roman"/>
          <w:sz w:val="24"/>
          <w:szCs w:val="24"/>
          <w:lang w:val="en-US"/>
        </w:rPr>
        <w:t>for Turkey -</w:t>
      </w:r>
      <w:r>
        <w:rPr>
          <w:rFonts w:ascii="Times New Roman" w:hAnsi="Times New Roman" w:cs="Times New Roman"/>
          <w:sz w:val="24"/>
          <w:szCs w:val="24"/>
          <w:lang w:val="en-US"/>
        </w:rPr>
        <w:t xml:space="preserve">in particular with </w:t>
      </w:r>
      <w:r w:rsidRPr="00BE6291">
        <w:rPr>
          <w:rFonts w:ascii="Times New Roman" w:hAnsi="Times New Roman" w:cs="Times New Roman"/>
          <w:sz w:val="24"/>
          <w:szCs w:val="24"/>
          <w:lang w:val="en-US"/>
        </w:rPr>
        <w:t>Fr</w:t>
      </w:r>
      <w:r w:rsidR="00E069BB">
        <w:rPr>
          <w:rFonts w:ascii="Times New Roman" w:hAnsi="Times New Roman" w:cs="Times New Roman"/>
          <w:sz w:val="24"/>
          <w:szCs w:val="24"/>
          <w:lang w:val="en-US"/>
        </w:rPr>
        <w:t>ance and Germany</w:t>
      </w:r>
      <w:r w:rsidRPr="00BE6291">
        <w:rPr>
          <w:rFonts w:ascii="Times New Roman" w:hAnsi="Times New Roman" w:cs="Times New Roman"/>
          <w:sz w:val="24"/>
          <w:szCs w:val="24"/>
          <w:lang w:val="en-US"/>
        </w:rPr>
        <w:t>- although Turkey has a larger geographical distance to these countries than Romania,</w:t>
      </w:r>
      <w:r>
        <w:rPr>
          <w:rFonts w:ascii="Times New Roman" w:hAnsi="Times New Roman" w:cs="Times New Roman"/>
          <w:sz w:val="24"/>
          <w:szCs w:val="24"/>
          <w:lang w:val="en-US"/>
        </w:rPr>
        <w:t xml:space="preserve"> </w:t>
      </w:r>
      <w:r w:rsidRPr="00BE6291">
        <w:rPr>
          <w:rFonts w:ascii="Times New Roman" w:hAnsi="Times New Roman" w:cs="Times New Roman"/>
          <w:sz w:val="24"/>
          <w:szCs w:val="24"/>
          <w:lang w:val="en-US"/>
        </w:rPr>
        <w:t>Bulgaria or Greece and is economically less integrated with them. With respect to Italy on the other hand,</w:t>
      </w:r>
      <w:r>
        <w:rPr>
          <w:rFonts w:ascii="Times New Roman" w:hAnsi="Times New Roman" w:cs="Times New Roman"/>
          <w:sz w:val="24"/>
          <w:szCs w:val="24"/>
          <w:lang w:val="en-US"/>
        </w:rPr>
        <w:t xml:space="preserve"> </w:t>
      </w:r>
      <w:r w:rsidRPr="00BE6291">
        <w:rPr>
          <w:rFonts w:ascii="Times New Roman" w:hAnsi="Times New Roman" w:cs="Times New Roman"/>
          <w:sz w:val="24"/>
          <w:szCs w:val="24"/>
          <w:lang w:val="en-US"/>
        </w:rPr>
        <w:t>Greece, Bulgaria and Turkey have about the same level of bilateral trade costs</w:t>
      </w:r>
      <w:r>
        <w:rPr>
          <w:rFonts w:ascii="Times New Roman" w:hAnsi="Times New Roman" w:cs="Times New Roman"/>
          <w:sz w:val="24"/>
          <w:szCs w:val="24"/>
          <w:lang w:val="en-US"/>
        </w:rPr>
        <w:t xml:space="preserve">. With distant </w:t>
      </w:r>
      <w:r>
        <w:rPr>
          <w:rFonts w:ascii="Times New Roman" w:hAnsi="Times New Roman" w:cs="Times New Roman"/>
          <w:sz w:val="24"/>
          <w:szCs w:val="24"/>
          <w:lang w:val="en-US"/>
        </w:rPr>
        <w:lastRenderedPageBreak/>
        <w:t xml:space="preserve">markets, such as </w:t>
      </w:r>
      <w:r w:rsidRPr="00BE6291">
        <w:rPr>
          <w:rFonts w:ascii="Times New Roman" w:hAnsi="Times New Roman" w:cs="Times New Roman"/>
          <w:sz w:val="24"/>
          <w:szCs w:val="24"/>
          <w:lang w:val="en-US"/>
        </w:rPr>
        <w:t>the US, China, Brazil or Japan, Turkey does unequivocally better than Gree</w:t>
      </w:r>
      <w:r>
        <w:rPr>
          <w:rFonts w:ascii="Times New Roman" w:hAnsi="Times New Roman" w:cs="Times New Roman"/>
          <w:sz w:val="24"/>
          <w:szCs w:val="24"/>
          <w:lang w:val="en-US"/>
        </w:rPr>
        <w:t xml:space="preserve">ce or other Black Sea countries </w:t>
      </w:r>
      <w:r w:rsidRPr="00BE6291">
        <w:rPr>
          <w:rFonts w:ascii="Times New Roman" w:hAnsi="Times New Roman" w:cs="Times New Roman"/>
          <w:sz w:val="24"/>
          <w:szCs w:val="24"/>
          <w:lang w:val="en-US"/>
        </w:rPr>
        <w:t>(</w:t>
      </w:r>
      <w:r w:rsidRPr="00BE6291">
        <w:rPr>
          <w:rFonts w:ascii="Times New Roman" w:hAnsi="Times New Roman" w:cs="Times New Roman"/>
          <w:color w:val="FF0000"/>
          <w:sz w:val="24"/>
          <w:szCs w:val="24"/>
          <w:lang w:val="en-US"/>
        </w:rPr>
        <w:t>Figure 38, right-hand side panel</w:t>
      </w:r>
      <w:r w:rsidRPr="00BE6291">
        <w:rPr>
          <w:rFonts w:ascii="Times New Roman" w:hAnsi="Times New Roman" w:cs="Times New Roman"/>
          <w:sz w:val="24"/>
          <w:szCs w:val="24"/>
          <w:lang w:val="en-US"/>
        </w:rPr>
        <w:t xml:space="preserve">). Compared to the larger members of the </w:t>
      </w:r>
      <w:r>
        <w:rPr>
          <w:rFonts w:ascii="Times New Roman" w:hAnsi="Times New Roman" w:cs="Times New Roman"/>
          <w:sz w:val="24"/>
          <w:szCs w:val="24"/>
          <w:lang w:val="en-US"/>
        </w:rPr>
        <w:t xml:space="preserve">EU (Germany, Italy and France), </w:t>
      </w:r>
      <w:r w:rsidRPr="00BE6291">
        <w:rPr>
          <w:rFonts w:ascii="Times New Roman" w:hAnsi="Times New Roman" w:cs="Times New Roman"/>
          <w:sz w:val="24"/>
          <w:szCs w:val="24"/>
          <w:lang w:val="en-US"/>
        </w:rPr>
        <w:t>however, Turkey’s trade costs are almost twice as high. These differences are importa</w:t>
      </w:r>
      <w:r>
        <w:rPr>
          <w:rFonts w:ascii="Times New Roman" w:hAnsi="Times New Roman" w:cs="Times New Roman"/>
          <w:sz w:val="24"/>
          <w:szCs w:val="24"/>
          <w:lang w:val="en-US"/>
        </w:rPr>
        <w:t xml:space="preserve">nt if Turkey wants to </w:t>
      </w:r>
      <w:r w:rsidRPr="00BE6291">
        <w:rPr>
          <w:rFonts w:ascii="Times New Roman" w:hAnsi="Times New Roman" w:cs="Times New Roman"/>
          <w:sz w:val="24"/>
          <w:szCs w:val="24"/>
          <w:lang w:val="en-US"/>
        </w:rPr>
        <w:t>upgrade its position in value chains, as doing so means increasingly competing with them.</w:t>
      </w:r>
    </w:p>
    <w:p w:rsidR="00925405" w:rsidRDefault="00925405" w:rsidP="00925405">
      <w:pPr>
        <w:spacing w:line="240" w:lineRule="auto"/>
        <w:jc w:val="both"/>
        <w:rPr>
          <w:rFonts w:ascii="Times New Roman" w:hAnsi="Times New Roman" w:cs="Times New Roman"/>
          <w:sz w:val="24"/>
          <w:szCs w:val="24"/>
          <w:lang w:val="en-US"/>
        </w:rPr>
      </w:pPr>
      <w:r w:rsidRPr="00BE6291">
        <w:rPr>
          <w:rFonts w:ascii="Times New Roman" w:hAnsi="Times New Roman" w:cs="Times New Roman"/>
          <w:sz w:val="24"/>
          <w:szCs w:val="24"/>
          <w:lang w:val="en-US"/>
        </w:rPr>
        <w:t>113. Low trade costs are reflected in Turkey’s relatively good logisti</w:t>
      </w:r>
      <w:r>
        <w:rPr>
          <w:rFonts w:ascii="Times New Roman" w:hAnsi="Times New Roman" w:cs="Times New Roman"/>
          <w:sz w:val="24"/>
          <w:szCs w:val="24"/>
          <w:lang w:val="en-US"/>
        </w:rPr>
        <w:t xml:space="preserve">cs performance. The performance </w:t>
      </w:r>
      <w:r w:rsidRPr="00BE6291">
        <w:rPr>
          <w:rFonts w:ascii="Times New Roman" w:hAnsi="Times New Roman" w:cs="Times New Roman"/>
          <w:sz w:val="24"/>
          <w:szCs w:val="24"/>
          <w:lang w:val="en-US"/>
        </w:rPr>
        <w:t xml:space="preserve">of international supply chains is measured using the Logistics Performance </w:t>
      </w:r>
      <w:r>
        <w:rPr>
          <w:rFonts w:ascii="Times New Roman" w:hAnsi="Times New Roman" w:cs="Times New Roman"/>
          <w:sz w:val="24"/>
          <w:szCs w:val="24"/>
          <w:lang w:val="en-US"/>
        </w:rPr>
        <w:t xml:space="preserve">Index (LPI). It is based on the </w:t>
      </w:r>
      <w:r w:rsidRPr="00BE6291">
        <w:rPr>
          <w:rFonts w:ascii="Times New Roman" w:hAnsi="Times New Roman" w:cs="Times New Roman"/>
          <w:sz w:val="24"/>
          <w:szCs w:val="24"/>
          <w:lang w:val="en-US"/>
        </w:rPr>
        <w:t>assessment of logistics professionals located in the country’s major trading part</w:t>
      </w:r>
      <w:r>
        <w:rPr>
          <w:rFonts w:ascii="Times New Roman" w:hAnsi="Times New Roman" w:cs="Times New Roman"/>
          <w:sz w:val="24"/>
          <w:szCs w:val="24"/>
          <w:lang w:val="en-US"/>
        </w:rPr>
        <w:t xml:space="preserve">ners, and is a weighted average </w:t>
      </w:r>
      <w:r w:rsidRPr="00BE6291">
        <w:rPr>
          <w:rFonts w:ascii="Times New Roman" w:hAnsi="Times New Roman" w:cs="Times New Roman"/>
          <w:sz w:val="24"/>
          <w:szCs w:val="24"/>
          <w:lang w:val="en-US"/>
        </w:rPr>
        <w:t>of six components that are criti</w:t>
      </w:r>
      <w:r>
        <w:rPr>
          <w:rFonts w:ascii="Times New Roman" w:hAnsi="Times New Roman" w:cs="Times New Roman"/>
          <w:sz w:val="24"/>
          <w:szCs w:val="24"/>
          <w:lang w:val="en-US"/>
        </w:rPr>
        <w:t xml:space="preserve">cal for logistics performance. </w:t>
      </w:r>
      <w:r w:rsidRPr="00BE6291">
        <w:rPr>
          <w:rFonts w:ascii="Times New Roman" w:hAnsi="Times New Roman" w:cs="Times New Roman"/>
          <w:sz w:val="24"/>
          <w:szCs w:val="24"/>
          <w:lang w:val="en-US"/>
        </w:rPr>
        <w:t>Turkey compa</w:t>
      </w:r>
      <w:r>
        <w:rPr>
          <w:rFonts w:ascii="Times New Roman" w:hAnsi="Times New Roman" w:cs="Times New Roman"/>
          <w:sz w:val="24"/>
          <w:szCs w:val="24"/>
          <w:lang w:val="en-US"/>
        </w:rPr>
        <w:t xml:space="preserve">res well with its neighbors and </w:t>
      </w:r>
      <w:r w:rsidRPr="00BE6291">
        <w:rPr>
          <w:rFonts w:ascii="Times New Roman" w:hAnsi="Times New Roman" w:cs="Times New Roman"/>
          <w:sz w:val="24"/>
          <w:szCs w:val="24"/>
          <w:lang w:val="en-US"/>
        </w:rPr>
        <w:t>current competitors in logistics performance (</w:t>
      </w:r>
      <w:r w:rsidRPr="00BE6291">
        <w:rPr>
          <w:rFonts w:ascii="Times New Roman" w:hAnsi="Times New Roman" w:cs="Times New Roman"/>
          <w:color w:val="FF0000"/>
          <w:sz w:val="24"/>
          <w:szCs w:val="24"/>
          <w:lang w:val="en-US"/>
        </w:rPr>
        <w:t>Figure 39</w:t>
      </w:r>
      <w:r w:rsidRPr="00BE6291">
        <w:rPr>
          <w:rFonts w:ascii="Times New Roman" w:hAnsi="Times New Roman" w:cs="Times New Roman"/>
          <w:sz w:val="24"/>
          <w:szCs w:val="24"/>
          <w:lang w:val="en-US"/>
        </w:rPr>
        <w:t>). It is 27th in gl</w:t>
      </w:r>
      <w:r>
        <w:rPr>
          <w:rFonts w:ascii="Times New Roman" w:hAnsi="Times New Roman" w:cs="Times New Roman"/>
          <w:sz w:val="24"/>
          <w:szCs w:val="24"/>
          <w:lang w:val="en-US"/>
        </w:rPr>
        <w:t xml:space="preserve">obal rankings, just below China </w:t>
      </w:r>
      <w:r w:rsidRPr="00BE6291">
        <w:rPr>
          <w:rFonts w:ascii="Times New Roman" w:hAnsi="Times New Roman" w:cs="Times New Roman"/>
          <w:sz w:val="24"/>
          <w:szCs w:val="24"/>
          <w:lang w:val="en-US"/>
        </w:rPr>
        <w:t>and above Portugal, which occupy the 26th and 28th position respective</w:t>
      </w:r>
      <w:r>
        <w:rPr>
          <w:rFonts w:ascii="Times New Roman" w:hAnsi="Times New Roman" w:cs="Times New Roman"/>
          <w:sz w:val="24"/>
          <w:szCs w:val="24"/>
          <w:lang w:val="en-US"/>
        </w:rPr>
        <w:t xml:space="preserve">ly. The comparison is even more </w:t>
      </w:r>
      <w:r w:rsidRPr="00BE6291">
        <w:rPr>
          <w:rFonts w:ascii="Times New Roman" w:hAnsi="Times New Roman" w:cs="Times New Roman"/>
          <w:sz w:val="24"/>
          <w:szCs w:val="24"/>
          <w:lang w:val="en-US"/>
        </w:rPr>
        <w:t>favorable when the LPI is adjusted for the level of development as measured b</w:t>
      </w:r>
      <w:r>
        <w:rPr>
          <w:rFonts w:ascii="Times New Roman" w:hAnsi="Times New Roman" w:cs="Times New Roman"/>
          <w:sz w:val="24"/>
          <w:szCs w:val="24"/>
          <w:lang w:val="en-US"/>
        </w:rPr>
        <w:t xml:space="preserve">y the gross national income per </w:t>
      </w:r>
      <w:r w:rsidRPr="00BE6291">
        <w:rPr>
          <w:rFonts w:ascii="Times New Roman" w:hAnsi="Times New Roman" w:cs="Times New Roman"/>
          <w:sz w:val="24"/>
          <w:szCs w:val="24"/>
          <w:lang w:val="en-US"/>
        </w:rPr>
        <w:t>capita; Turkey performs better than countries with similar per capita income (</w:t>
      </w:r>
      <w:r w:rsidRPr="00BE6291">
        <w:rPr>
          <w:rFonts w:ascii="Times New Roman" w:hAnsi="Times New Roman" w:cs="Times New Roman"/>
          <w:color w:val="FF0000"/>
          <w:sz w:val="24"/>
          <w:szCs w:val="24"/>
          <w:lang w:val="en-US"/>
        </w:rPr>
        <w:t>Figure 40</w:t>
      </w:r>
      <w:r>
        <w:rPr>
          <w:rFonts w:ascii="Times New Roman" w:hAnsi="Times New Roman" w:cs="Times New Roman"/>
          <w:sz w:val="24"/>
          <w:szCs w:val="24"/>
          <w:lang w:val="en-US"/>
        </w:rPr>
        <w:t xml:space="preserve">). The good logistics </w:t>
      </w:r>
      <w:r w:rsidRPr="00BE6291">
        <w:rPr>
          <w:rFonts w:ascii="Times New Roman" w:hAnsi="Times New Roman" w:cs="Times New Roman"/>
          <w:sz w:val="24"/>
          <w:szCs w:val="24"/>
          <w:lang w:val="en-US"/>
        </w:rPr>
        <w:t>performance of Turkey is an indication that connectivity and supply chain r</w:t>
      </w:r>
      <w:r>
        <w:rPr>
          <w:rFonts w:ascii="Times New Roman" w:hAnsi="Times New Roman" w:cs="Times New Roman"/>
          <w:sz w:val="24"/>
          <w:szCs w:val="24"/>
          <w:lang w:val="en-US"/>
        </w:rPr>
        <w:t xml:space="preserve">elated reforms and improvements </w:t>
      </w:r>
      <w:r w:rsidRPr="00BE6291">
        <w:rPr>
          <w:rFonts w:ascii="Times New Roman" w:hAnsi="Times New Roman" w:cs="Times New Roman"/>
          <w:sz w:val="24"/>
          <w:szCs w:val="24"/>
          <w:lang w:val="en-US"/>
        </w:rPr>
        <w:t xml:space="preserve">have been successful. These two parameters are those in which the country </w:t>
      </w:r>
      <w:r>
        <w:rPr>
          <w:rFonts w:ascii="Times New Roman" w:hAnsi="Times New Roman" w:cs="Times New Roman"/>
          <w:sz w:val="24"/>
          <w:szCs w:val="24"/>
          <w:lang w:val="en-US"/>
        </w:rPr>
        <w:t xml:space="preserve">has advanced most over the last </w:t>
      </w:r>
      <w:r w:rsidRPr="00BE6291">
        <w:rPr>
          <w:rFonts w:ascii="Times New Roman" w:hAnsi="Times New Roman" w:cs="Times New Roman"/>
          <w:sz w:val="24"/>
          <w:szCs w:val="24"/>
          <w:lang w:val="en-US"/>
        </w:rPr>
        <w:t>four-five years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04D6648" wp14:editId="54598C9B">
            <wp:extent cx="5391150" cy="25209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1150" cy="25209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DAB29A6" wp14:editId="4A699866">
            <wp:extent cx="5397500" cy="27622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7500" cy="27622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E1A97C3" wp14:editId="0D3D0D14">
            <wp:extent cx="5391150" cy="273685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1150" cy="2736850"/>
                    </a:xfrm>
                    <a:prstGeom prst="rect">
                      <a:avLst/>
                    </a:prstGeom>
                    <a:noFill/>
                    <a:ln>
                      <a:noFill/>
                    </a:ln>
                  </pic:spPr>
                </pic:pic>
              </a:graphicData>
            </a:graphic>
          </wp:inline>
        </w:drawing>
      </w:r>
    </w:p>
    <w:p w:rsidR="00925405" w:rsidRPr="00711898" w:rsidRDefault="00925405" w:rsidP="00925405">
      <w:pPr>
        <w:spacing w:line="240" w:lineRule="auto"/>
        <w:jc w:val="both"/>
        <w:rPr>
          <w:rFonts w:ascii="Times New Roman" w:hAnsi="Times New Roman" w:cs="Times New Roman"/>
          <w:b/>
          <w:sz w:val="24"/>
          <w:szCs w:val="24"/>
          <w:lang w:val="en-US"/>
        </w:rPr>
      </w:pPr>
      <w:r w:rsidRPr="00711898">
        <w:rPr>
          <w:rFonts w:ascii="Times New Roman" w:hAnsi="Times New Roman" w:cs="Times New Roman"/>
          <w:b/>
          <w:sz w:val="24"/>
          <w:szCs w:val="24"/>
          <w:lang w:val="en-US"/>
        </w:rPr>
        <w:t>A Snapshot of Services Exports</w:t>
      </w:r>
    </w:p>
    <w:p w:rsidR="00925405" w:rsidRPr="00BE6291" w:rsidRDefault="00925405" w:rsidP="00925405">
      <w:pPr>
        <w:spacing w:line="240" w:lineRule="auto"/>
        <w:jc w:val="both"/>
        <w:rPr>
          <w:rFonts w:ascii="Times New Roman" w:hAnsi="Times New Roman" w:cs="Times New Roman"/>
          <w:sz w:val="24"/>
          <w:szCs w:val="24"/>
          <w:lang w:val="en-US"/>
        </w:rPr>
      </w:pPr>
      <w:r w:rsidRPr="00711898">
        <w:rPr>
          <w:rFonts w:ascii="Times New Roman" w:hAnsi="Times New Roman" w:cs="Times New Roman"/>
          <w:sz w:val="24"/>
          <w:szCs w:val="24"/>
          <w:lang w:val="en-US"/>
        </w:rPr>
        <w:t>143. Turkey’s services exports are reasonably well developed.53 At US$</w:t>
      </w:r>
      <w:r w:rsidR="00E069BB">
        <w:rPr>
          <w:rFonts w:ascii="Times New Roman" w:hAnsi="Times New Roman" w:cs="Times New Roman"/>
          <w:sz w:val="24"/>
          <w:szCs w:val="24"/>
          <w:lang w:val="en-US"/>
        </w:rPr>
        <w:t xml:space="preserve"> </w:t>
      </w:r>
      <w:r w:rsidRPr="00711898">
        <w:rPr>
          <w:rFonts w:ascii="Times New Roman" w:hAnsi="Times New Roman" w:cs="Times New Roman"/>
          <w:sz w:val="24"/>
          <w:szCs w:val="24"/>
          <w:lang w:val="en-US"/>
        </w:rPr>
        <w:t>34 bi</w:t>
      </w:r>
      <w:r>
        <w:rPr>
          <w:rFonts w:ascii="Times New Roman" w:hAnsi="Times New Roman" w:cs="Times New Roman"/>
          <w:sz w:val="24"/>
          <w:szCs w:val="24"/>
          <w:lang w:val="en-US"/>
        </w:rPr>
        <w:t xml:space="preserve">llion in 2010, services exports </w:t>
      </w:r>
      <w:r w:rsidRPr="00711898">
        <w:rPr>
          <w:rFonts w:ascii="Times New Roman" w:hAnsi="Times New Roman" w:cs="Times New Roman"/>
          <w:sz w:val="24"/>
          <w:szCs w:val="24"/>
          <w:lang w:val="en-US"/>
        </w:rPr>
        <w:t>were equivalent to 28 percent of the value of goods exports in the country (or 22 p</w:t>
      </w:r>
      <w:r>
        <w:rPr>
          <w:rFonts w:ascii="Times New Roman" w:hAnsi="Times New Roman" w:cs="Times New Roman"/>
          <w:sz w:val="24"/>
          <w:szCs w:val="24"/>
          <w:lang w:val="en-US"/>
        </w:rPr>
        <w:t xml:space="preserve">ercent of all goods and </w:t>
      </w:r>
      <w:r w:rsidRPr="00711898">
        <w:rPr>
          <w:rFonts w:ascii="Times New Roman" w:hAnsi="Times New Roman" w:cs="Times New Roman"/>
          <w:sz w:val="24"/>
          <w:szCs w:val="24"/>
          <w:lang w:val="en-US"/>
        </w:rPr>
        <w:t>services exports). The size of Turkey’s services export compares favorably to</w:t>
      </w:r>
      <w:r>
        <w:rPr>
          <w:rFonts w:ascii="Times New Roman" w:hAnsi="Times New Roman" w:cs="Times New Roman"/>
          <w:sz w:val="24"/>
          <w:szCs w:val="24"/>
          <w:lang w:val="en-US"/>
        </w:rPr>
        <w:t xml:space="preserve"> that of the BRICS and regional </w:t>
      </w:r>
      <w:r w:rsidRPr="00711898">
        <w:rPr>
          <w:rFonts w:ascii="Times New Roman" w:hAnsi="Times New Roman" w:cs="Times New Roman"/>
          <w:sz w:val="24"/>
          <w:szCs w:val="24"/>
          <w:lang w:val="en-US"/>
        </w:rPr>
        <w:t>peers (</w:t>
      </w:r>
      <w:r w:rsidRPr="00711898">
        <w:rPr>
          <w:rFonts w:ascii="Times New Roman" w:hAnsi="Times New Roman" w:cs="Times New Roman"/>
          <w:color w:val="FF0000"/>
          <w:sz w:val="24"/>
          <w:szCs w:val="24"/>
          <w:lang w:val="en-US"/>
        </w:rPr>
        <w:t>Figure 46, second graph</w:t>
      </w:r>
      <w:r w:rsidRPr="00711898">
        <w:rPr>
          <w:rFonts w:ascii="Times New Roman" w:hAnsi="Times New Roman" w:cs="Times New Roman"/>
          <w:sz w:val="24"/>
          <w:szCs w:val="24"/>
          <w:lang w:val="en-US"/>
        </w:rPr>
        <w:t>). The share of services in the total goods and s</w:t>
      </w:r>
      <w:r>
        <w:rPr>
          <w:rFonts w:ascii="Times New Roman" w:hAnsi="Times New Roman" w:cs="Times New Roman"/>
          <w:sz w:val="24"/>
          <w:szCs w:val="24"/>
          <w:lang w:val="en-US"/>
        </w:rPr>
        <w:t xml:space="preserve">ervices export basket is higher </w:t>
      </w:r>
      <w:r w:rsidRPr="00711898">
        <w:rPr>
          <w:rFonts w:ascii="Times New Roman" w:hAnsi="Times New Roman" w:cs="Times New Roman"/>
          <w:sz w:val="24"/>
          <w:szCs w:val="24"/>
          <w:lang w:val="en-US"/>
        </w:rPr>
        <w:t>in Turkey than in all other comparators, with the significant exception of In</w:t>
      </w:r>
      <w:r>
        <w:rPr>
          <w:rFonts w:ascii="Times New Roman" w:hAnsi="Times New Roman" w:cs="Times New Roman"/>
          <w:sz w:val="24"/>
          <w:szCs w:val="24"/>
          <w:lang w:val="en-US"/>
        </w:rPr>
        <w:t xml:space="preserve">dia. And only Poland has higher </w:t>
      </w:r>
      <w:r w:rsidRPr="00711898">
        <w:rPr>
          <w:rFonts w:ascii="Times New Roman" w:hAnsi="Times New Roman" w:cs="Times New Roman"/>
          <w:sz w:val="24"/>
          <w:szCs w:val="24"/>
          <w:lang w:val="en-US"/>
        </w:rPr>
        <w:t>services exports per capita than Turkey.</w:t>
      </w:r>
    </w:p>
    <w:p w:rsidR="00925405" w:rsidRPr="00711898" w:rsidRDefault="00925405" w:rsidP="00925405">
      <w:pPr>
        <w:spacing w:line="240" w:lineRule="auto"/>
        <w:jc w:val="both"/>
        <w:rPr>
          <w:rFonts w:ascii="Times New Roman" w:hAnsi="Times New Roman" w:cs="Times New Roman"/>
          <w:sz w:val="24"/>
          <w:szCs w:val="24"/>
          <w:lang w:val="en-US"/>
        </w:rPr>
      </w:pPr>
      <w:r w:rsidRPr="00711898">
        <w:rPr>
          <w:rFonts w:ascii="Times New Roman" w:hAnsi="Times New Roman" w:cs="Times New Roman"/>
          <w:sz w:val="24"/>
          <w:szCs w:val="24"/>
          <w:lang w:val="en-US"/>
        </w:rPr>
        <w:t>144. This good performance mirrors the dominance of services in</w:t>
      </w:r>
      <w:r>
        <w:rPr>
          <w:rFonts w:ascii="Times New Roman" w:hAnsi="Times New Roman" w:cs="Times New Roman"/>
          <w:sz w:val="24"/>
          <w:szCs w:val="24"/>
          <w:lang w:val="en-US"/>
        </w:rPr>
        <w:t xml:space="preserve"> the domestic economy. Services </w:t>
      </w:r>
      <w:r w:rsidRPr="00711898">
        <w:rPr>
          <w:rFonts w:ascii="Times New Roman" w:hAnsi="Times New Roman" w:cs="Times New Roman"/>
          <w:sz w:val="24"/>
          <w:szCs w:val="24"/>
          <w:lang w:val="en-US"/>
        </w:rPr>
        <w:t>account for more than 60 percent of Turkey’s GDP with tourism taking a p</w:t>
      </w:r>
      <w:r>
        <w:rPr>
          <w:rFonts w:ascii="Times New Roman" w:hAnsi="Times New Roman" w:cs="Times New Roman"/>
          <w:sz w:val="24"/>
          <w:szCs w:val="24"/>
          <w:lang w:val="en-US"/>
        </w:rPr>
        <w:t xml:space="preserve">articularly important role both </w:t>
      </w:r>
      <w:r w:rsidRPr="00711898">
        <w:rPr>
          <w:rFonts w:ascii="Times New Roman" w:hAnsi="Times New Roman" w:cs="Times New Roman"/>
          <w:sz w:val="24"/>
          <w:szCs w:val="24"/>
          <w:lang w:val="en-US"/>
        </w:rPr>
        <w:t>in GDP and in services exports. The share of services in total GDP is in li</w:t>
      </w:r>
      <w:r>
        <w:rPr>
          <w:rFonts w:ascii="Times New Roman" w:hAnsi="Times New Roman" w:cs="Times New Roman"/>
          <w:sz w:val="24"/>
          <w:szCs w:val="24"/>
          <w:lang w:val="en-US"/>
        </w:rPr>
        <w:t xml:space="preserve">ne with Turkey’s GDP per capita </w:t>
      </w:r>
      <w:r w:rsidRPr="00711898">
        <w:rPr>
          <w:rFonts w:ascii="Times New Roman" w:hAnsi="Times New Roman" w:cs="Times New Roman"/>
          <w:sz w:val="24"/>
          <w:szCs w:val="24"/>
          <w:lang w:val="en-US"/>
        </w:rPr>
        <w:t>compared to other countries (</w:t>
      </w:r>
      <w:r w:rsidRPr="00711898">
        <w:rPr>
          <w:rFonts w:ascii="Times New Roman" w:hAnsi="Times New Roman" w:cs="Times New Roman"/>
          <w:color w:val="FF0000"/>
          <w:sz w:val="24"/>
          <w:szCs w:val="24"/>
          <w:lang w:val="en-US"/>
        </w:rPr>
        <w:t>Figure 46, first graph</w:t>
      </w:r>
      <w:r w:rsidRPr="00711898">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sidRPr="00711898">
        <w:rPr>
          <w:rFonts w:ascii="Times New Roman" w:hAnsi="Times New Roman" w:cs="Times New Roman"/>
          <w:sz w:val="24"/>
          <w:szCs w:val="24"/>
          <w:lang w:val="en-US"/>
        </w:rPr>
        <w:t>145. However, despite their importance, the growth in the export of servi</w:t>
      </w:r>
      <w:r>
        <w:rPr>
          <w:rFonts w:ascii="Times New Roman" w:hAnsi="Times New Roman" w:cs="Times New Roman"/>
          <w:sz w:val="24"/>
          <w:szCs w:val="24"/>
          <w:lang w:val="en-US"/>
        </w:rPr>
        <w:t xml:space="preserve">ces has been slow over the past </w:t>
      </w:r>
      <w:r w:rsidRPr="00711898">
        <w:rPr>
          <w:rFonts w:ascii="Times New Roman" w:hAnsi="Times New Roman" w:cs="Times New Roman"/>
          <w:sz w:val="24"/>
          <w:szCs w:val="24"/>
          <w:lang w:val="en-US"/>
        </w:rPr>
        <w:t>decade. Exports of services from Turkey expanded at an annualized rate of</w:t>
      </w:r>
      <w:r>
        <w:rPr>
          <w:rFonts w:ascii="Times New Roman" w:hAnsi="Times New Roman" w:cs="Times New Roman"/>
          <w:sz w:val="24"/>
          <w:szCs w:val="24"/>
          <w:lang w:val="en-US"/>
        </w:rPr>
        <w:t xml:space="preserve"> 6.8 percent during the decade. </w:t>
      </w:r>
      <w:r w:rsidRPr="00711898">
        <w:rPr>
          <w:rFonts w:ascii="Times New Roman" w:hAnsi="Times New Roman" w:cs="Times New Roman"/>
          <w:sz w:val="24"/>
          <w:szCs w:val="24"/>
          <w:lang w:val="en-US"/>
        </w:rPr>
        <w:t>This is below the global average and the pace of expansion in relevant peer cou</w:t>
      </w:r>
      <w:r>
        <w:rPr>
          <w:rFonts w:ascii="Times New Roman" w:hAnsi="Times New Roman" w:cs="Times New Roman"/>
          <w:sz w:val="24"/>
          <w:szCs w:val="24"/>
          <w:lang w:val="en-US"/>
        </w:rPr>
        <w:t xml:space="preserve">ntries and is also below the 15 </w:t>
      </w:r>
      <w:r w:rsidRPr="00711898">
        <w:rPr>
          <w:rFonts w:ascii="Times New Roman" w:hAnsi="Times New Roman" w:cs="Times New Roman"/>
          <w:sz w:val="24"/>
          <w:szCs w:val="24"/>
          <w:lang w:val="en-US"/>
        </w:rPr>
        <w:t xml:space="preserve">percent pace of expansion of Turkey’s merchandize exports. Taken together, </w:t>
      </w:r>
      <w:r>
        <w:rPr>
          <w:rFonts w:ascii="Times New Roman" w:hAnsi="Times New Roman" w:cs="Times New Roman"/>
          <w:sz w:val="24"/>
          <w:szCs w:val="24"/>
          <w:lang w:val="en-US"/>
        </w:rPr>
        <w:t xml:space="preserve">these facts suggest there might </w:t>
      </w:r>
      <w:r w:rsidRPr="00711898">
        <w:rPr>
          <w:rFonts w:ascii="Times New Roman" w:hAnsi="Times New Roman" w:cs="Times New Roman"/>
          <w:sz w:val="24"/>
          <w:szCs w:val="24"/>
          <w:lang w:val="en-US"/>
        </w:rPr>
        <w:t>be untapped opportunities for services trade.</w:t>
      </w:r>
    </w:p>
    <w:p w:rsidR="00925405" w:rsidRDefault="00925405" w:rsidP="00925405">
      <w:pPr>
        <w:spacing w:line="240" w:lineRule="auto"/>
        <w:jc w:val="both"/>
        <w:rPr>
          <w:rFonts w:ascii="Times New Roman" w:hAnsi="Times New Roman" w:cs="Times New Roman"/>
          <w:sz w:val="24"/>
          <w:szCs w:val="24"/>
          <w:lang w:val="en-US"/>
        </w:rPr>
      </w:pPr>
      <w:r w:rsidRPr="00711898">
        <w:rPr>
          <w:rFonts w:ascii="Times New Roman" w:hAnsi="Times New Roman" w:cs="Times New Roman"/>
          <w:sz w:val="24"/>
          <w:szCs w:val="24"/>
          <w:lang w:val="en-US"/>
        </w:rPr>
        <w:t>146. The sophistication of Turkey’s services exports has fallen over time.</w:t>
      </w:r>
      <w:r>
        <w:rPr>
          <w:rFonts w:ascii="Times New Roman" w:hAnsi="Times New Roman" w:cs="Times New Roman"/>
          <w:sz w:val="24"/>
          <w:szCs w:val="24"/>
          <w:lang w:val="en-US"/>
        </w:rPr>
        <w:t xml:space="preserve"> An index of the sophistication </w:t>
      </w:r>
      <w:r w:rsidRPr="00711898">
        <w:rPr>
          <w:rFonts w:ascii="Times New Roman" w:hAnsi="Times New Roman" w:cs="Times New Roman"/>
          <w:sz w:val="24"/>
          <w:szCs w:val="24"/>
          <w:lang w:val="en-US"/>
        </w:rPr>
        <w:t>of services exports can be calculated in a way analogous to merchandize expor</w:t>
      </w:r>
      <w:r>
        <w:rPr>
          <w:rFonts w:ascii="Times New Roman" w:hAnsi="Times New Roman" w:cs="Times New Roman"/>
          <w:sz w:val="24"/>
          <w:szCs w:val="24"/>
          <w:lang w:val="en-US"/>
        </w:rPr>
        <w:t xml:space="preserve">ts. More sophisticated services </w:t>
      </w:r>
      <w:r w:rsidRPr="00711898">
        <w:rPr>
          <w:rFonts w:ascii="Times New Roman" w:hAnsi="Times New Roman" w:cs="Times New Roman"/>
          <w:sz w:val="24"/>
          <w:szCs w:val="24"/>
          <w:lang w:val="en-US"/>
        </w:rPr>
        <w:t>are those mostly traded by high income countries such as financial and insurance services or co</w:t>
      </w:r>
      <w:r>
        <w:rPr>
          <w:rFonts w:ascii="Times New Roman" w:hAnsi="Times New Roman" w:cs="Times New Roman"/>
          <w:sz w:val="24"/>
          <w:szCs w:val="24"/>
          <w:lang w:val="en-US"/>
        </w:rPr>
        <w:t xml:space="preserve">mputer and </w:t>
      </w:r>
      <w:r w:rsidRPr="00711898">
        <w:rPr>
          <w:rFonts w:ascii="Times New Roman" w:hAnsi="Times New Roman" w:cs="Times New Roman"/>
          <w:sz w:val="24"/>
          <w:szCs w:val="24"/>
          <w:lang w:val="en-US"/>
        </w:rPr>
        <w:t xml:space="preserve">information services. </w:t>
      </w:r>
      <w:r w:rsidRPr="00711898">
        <w:rPr>
          <w:rFonts w:ascii="Times New Roman" w:hAnsi="Times New Roman" w:cs="Times New Roman"/>
          <w:color w:val="FF0000"/>
          <w:sz w:val="24"/>
          <w:szCs w:val="24"/>
          <w:lang w:val="en-US"/>
        </w:rPr>
        <w:t xml:space="preserve">Figure 47 </w:t>
      </w:r>
      <w:r w:rsidRPr="00711898">
        <w:rPr>
          <w:rFonts w:ascii="Times New Roman" w:hAnsi="Times New Roman" w:cs="Times New Roman"/>
          <w:sz w:val="24"/>
          <w:szCs w:val="24"/>
          <w:lang w:val="en-US"/>
        </w:rPr>
        <w:t>shows that between 1996 and 2008, the soph</w:t>
      </w:r>
      <w:r>
        <w:rPr>
          <w:rFonts w:ascii="Times New Roman" w:hAnsi="Times New Roman" w:cs="Times New Roman"/>
          <w:sz w:val="24"/>
          <w:szCs w:val="24"/>
          <w:lang w:val="en-US"/>
        </w:rPr>
        <w:t xml:space="preserve">istication of Turkey’s services </w:t>
      </w:r>
      <w:r w:rsidRPr="00711898">
        <w:rPr>
          <w:rFonts w:ascii="Times New Roman" w:hAnsi="Times New Roman" w:cs="Times New Roman"/>
          <w:sz w:val="24"/>
          <w:szCs w:val="24"/>
          <w:lang w:val="en-US"/>
        </w:rPr>
        <w:t>exports worsened. Turkey has specialized increasingly in service exports typic</w:t>
      </w:r>
      <w:r>
        <w:rPr>
          <w:rFonts w:ascii="Times New Roman" w:hAnsi="Times New Roman" w:cs="Times New Roman"/>
          <w:sz w:val="24"/>
          <w:szCs w:val="24"/>
          <w:lang w:val="en-US"/>
        </w:rPr>
        <w:t xml:space="preserve">al for middle-income countries, </w:t>
      </w:r>
      <w:r w:rsidRPr="00711898">
        <w:rPr>
          <w:rFonts w:ascii="Times New Roman" w:hAnsi="Times New Roman" w:cs="Times New Roman"/>
          <w:sz w:val="24"/>
          <w:szCs w:val="24"/>
          <w:lang w:val="en-US"/>
        </w:rPr>
        <w:t>such as transport and tourism, but failed to develop exports of financial, IT or</w:t>
      </w:r>
      <w:r>
        <w:rPr>
          <w:rFonts w:ascii="Times New Roman" w:hAnsi="Times New Roman" w:cs="Times New Roman"/>
          <w:sz w:val="24"/>
          <w:szCs w:val="24"/>
          <w:lang w:val="en-US"/>
        </w:rPr>
        <w:t xml:space="preserve"> professional services. Indeed, </w:t>
      </w:r>
      <w:r w:rsidRPr="00711898">
        <w:rPr>
          <w:rFonts w:ascii="Times New Roman" w:hAnsi="Times New Roman" w:cs="Times New Roman"/>
          <w:sz w:val="24"/>
          <w:szCs w:val="24"/>
          <w:lang w:val="en-US"/>
        </w:rPr>
        <w:t>transport and tourism account for as much as 85 percent of total services exports</w:t>
      </w:r>
      <w:r>
        <w:rPr>
          <w:rFonts w:ascii="Times New Roman" w:hAnsi="Times New Roman" w:cs="Times New Roman"/>
          <w:sz w:val="24"/>
          <w:szCs w:val="24"/>
          <w:lang w:val="en-US"/>
        </w:rPr>
        <w:t>.</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71A5D02" wp14:editId="296EEB1C">
            <wp:extent cx="5391150" cy="399415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91150" cy="39941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59CA64B" wp14:editId="55A4586C">
            <wp:extent cx="5391150" cy="45021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1150" cy="450215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r w:rsidRPr="00711898">
        <w:rPr>
          <w:rFonts w:ascii="Times New Roman" w:hAnsi="Times New Roman" w:cs="Times New Roman"/>
          <w:sz w:val="24"/>
          <w:szCs w:val="24"/>
          <w:lang w:val="en-US"/>
        </w:rPr>
        <w:lastRenderedPageBreak/>
        <w:t>147. The tourism sector dominates services exports to an unusual extent.</w:t>
      </w:r>
      <w:r>
        <w:rPr>
          <w:rFonts w:ascii="Times New Roman" w:hAnsi="Times New Roman" w:cs="Times New Roman"/>
          <w:sz w:val="24"/>
          <w:szCs w:val="24"/>
          <w:lang w:val="en-US"/>
        </w:rPr>
        <w:t xml:space="preserve"> </w:t>
      </w:r>
      <w:r w:rsidRPr="00934B70">
        <w:rPr>
          <w:rFonts w:ascii="Times New Roman" w:hAnsi="Times New Roman" w:cs="Times New Roman"/>
          <w:color w:val="FF0000"/>
          <w:sz w:val="24"/>
          <w:szCs w:val="24"/>
          <w:lang w:val="en-US"/>
        </w:rPr>
        <w:t xml:space="preserve">Figure 48 </w:t>
      </w:r>
      <w:r>
        <w:rPr>
          <w:rFonts w:ascii="Times New Roman" w:hAnsi="Times New Roman" w:cs="Times New Roman"/>
          <w:sz w:val="24"/>
          <w:szCs w:val="24"/>
          <w:lang w:val="en-US"/>
        </w:rPr>
        <w:t xml:space="preserve">shows changes in the </w:t>
      </w:r>
      <w:r w:rsidRPr="00711898">
        <w:rPr>
          <w:rFonts w:ascii="Times New Roman" w:hAnsi="Times New Roman" w:cs="Times New Roman"/>
          <w:sz w:val="24"/>
          <w:szCs w:val="24"/>
          <w:lang w:val="en-US"/>
        </w:rPr>
        <w:t>composition of services over time, focusing on 2001, 2004, 2007, and 2009. Tr</w:t>
      </w:r>
      <w:r>
        <w:rPr>
          <w:rFonts w:ascii="Times New Roman" w:hAnsi="Times New Roman" w:cs="Times New Roman"/>
          <w:sz w:val="24"/>
          <w:szCs w:val="24"/>
          <w:lang w:val="en-US"/>
        </w:rPr>
        <w:t xml:space="preserve">avel accounts for two-thirds of </w:t>
      </w:r>
      <w:r w:rsidRPr="00711898">
        <w:rPr>
          <w:rFonts w:ascii="Times New Roman" w:hAnsi="Times New Roman" w:cs="Times New Roman"/>
          <w:sz w:val="24"/>
          <w:szCs w:val="24"/>
          <w:lang w:val="en-US"/>
        </w:rPr>
        <w:t>Turkish services exports by 2009. This is around three times higher than the glo</w:t>
      </w:r>
      <w:r>
        <w:rPr>
          <w:rFonts w:ascii="Times New Roman" w:hAnsi="Times New Roman" w:cs="Times New Roman"/>
          <w:sz w:val="24"/>
          <w:szCs w:val="24"/>
          <w:lang w:val="en-US"/>
        </w:rPr>
        <w:t xml:space="preserve">bal average. Business services, </w:t>
      </w:r>
      <w:r w:rsidRPr="00711898">
        <w:rPr>
          <w:rFonts w:ascii="Times New Roman" w:hAnsi="Times New Roman" w:cs="Times New Roman"/>
          <w:sz w:val="24"/>
          <w:szCs w:val="24"/>
          <w:lang w:val="en-US"/>
        </w:rPr>
        <w:t>in contrast, account for about 8 percent, half the average of the other upper-middle income countries in ECA.</w:t>
      </w:r>
    </w:p>
    <w:p w:rsidR="00925405" w:rsidRDefault="00925405" w:rsidP="00925405">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D1D72C4" wp14:editId="0DC88260">
            <wp:extent cx="5391150" cy="349250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1150" cy="3492500"/>
                    </a:xfrm>
                    <a:prstGeom prst="rect">
                      <a:avLst/>
                    </a:prstGeom>
                    <a:noFill/>
                    <a:ln>
                      <a:noFill/>
                    </a:ln>
                  </pic:spPr>
                </pic:pic>
              </a:graphicData>
            </a:graphic>
          </wp:inline>
        </w:drawing>
      </w: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sz w:val="24"/>
          <w:szCs w:val="24"/>
          <w:lang w:val="en-US"/>
        </w:rPr>
      </w:pPr>
    </w:p>
    <w:p w:rsidR="00925405" w:rsidRDefault="00925405" w:rsidP="00925405">
      <w:pPr>
        <w:spacing w:line="240" w:lineRule="auto"/>
        <w:jc w:val="both"/>
        <w:rPr>
          <w:rFonts w:ascii="Times New Roman" w:hAnsi="Times New Roman" w:cs="Times New Roman"/>
          <w:b/>
          <w:sz w:val="24"/>
          <w:szCs w:val="24"/>
          <w:lang w:val="en-US"/>
        </w:rPr>
      </w:pPr>
      <w:r w:rsidRPr="00357AD6">
        <w:rPr>
          <w:rFonts w:ascii="Times New Roman" w:hAnsi="Times New Roman" w:cs="Times New Roman"/>
          <w:b/>
          <w:sz w:val="24"/>
          <w:szCs w:val="24"/>
          <w:lang w:val="en-US"/>
        </w:rPr>
        <w:lastRenderedPageBreak/>
        <w:t>Country partnership strategy for Republic of Turkey for the period 2012-2015</w:t>
      </w:r>
    </w:p>
    <w:p w:rsidR="00925405" w:rsidRPr="00357AD6" w:rsidRDefault="00925405" w:rsidP="00925405">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The World Bank Group </w:t>
      </w:r>
    </w:p>
    <w:p w:rsidR="00925405" w:rsidRPr="00357AD6" w:rsidRDefault="00925405" w:rsidP="00925405">
      <w:pPr>
        <w:spacing w:line="240" w:lineRule="auto"/>
        <w:jc w:val="both"/>
        <w:rPr>
          <w:rFonts w:ascii="Times New Roman" w:hAnsi="Times New Roman" w:cs="Times New Roman"/>
          <w:b/>
          <w:sz w:val="24"/>
          <w:szCs w:val="24"/>
          <w:lang w:val="en-US"/>
        </w:rPr>
      </w:pPr>
      <w:r w:rsidRPr="00357AD6">
        <w:rPr>
          <w:rFonts w:ascii="Times New Roman" w:hAnsi="Times New Roman" w:cs="Times New Roman"/>
          <w:b/>
          <w:sz w:val="24"/>
          <w:szCs w:val="24"/>
          <w:lang w:val="en-US"/>
        </w:rPr>
        <w:t>Executive Summary</w:t>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357AD6">
        <w:rPr>
          <w:rFonts w:ascii="Times New Roman" w:hAnsi="Times New Roman" w:cs="Times New Roman"/>
          <w:sz w:val="24"/>
          <w:szCs w:val="24"/>
          <w:lang w:val="en-US"/>
        </w:rPr>
        <w:t xml:space="preserve">i. </w:t>
      </w:r>
      <w:r w:rsidRPr="00357AD6">
        <w:rPr>
          <w:rFonts w:ascii="Times New Roman" w:hAnsi="Times New Roman" w:cs="Times New Roman"/>
          <w:b/>
          <w:bCs/>
          <w:sz w:val="24"/>
          <w:szCs w:val="24"/>
          <w:lang w:val="en-US"/>
        </w:rPr>
        <w:t>Turkey’s rapid growth and development over the last decade i</w:t>
      </w:r>
      <w:r>
        <w:rPr>
          <w:rFonts w:ascii="Times New Roman" w:hAnsi="Times New Roman" w:cs="Times New Roman"/>
          <w:b/>
          <w:bCs/>
          <w:sz w:val="24"/>
          <w:szCs w:val="24"/>
          <w:lang w:val="en-US"/>
        </w:rPr>
        <w:t xml:space="preserve">s one of the success stories of </w:t>
      </w:r>
      <w:r w:rsidRPr="00357AD6">
        <w:rPr>
          <w:rFonts w:ascii="Times New Roman" w:hAnsi="Times New Roman" w:cs="Times New Roman"/>
          <w:b/>
          <w:bCs/>
          <w:sz w:val="24"/>
          <w:szCs w:val="24"/>
          <w:lang w:val="en-US"/>
        </w:rPr>
        <w:t xml:space="preserve">the global economy. </w:t>
      </w:r>
      <w:r w:rsidRPr="00357AD6">
        <w:rPr>
          <w:rFonts w:ascii="Times New Roman" w:eastAsia="BookAntiqua" w:hAnsi="Times New Roman" w:cs="Times New Roman"/>
          <w:sz w:val="24"/>
          <w:szCs w:val="24"/>
          <w:lang w:val="en-US"/>
        </w:rPr>
        <w:t>Today, Turkey is an upper middle income country with a population of 75 million</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and a gross domestic product of US$</w:t>
      </w:r>
      <w:r w:rsidR="00C853E5">
        <w:rPr>
          <w:rFonts w:ascii="Times New Roman" w:eastAsia="BookAntiqua" w:hAnsi="Times New Roman" w:cs="Times New Roman"/>
          <w:sz w:val="24"/>
          <w:szCs w:val="24"/>
          <w:lang w:val="en-US"/>
        </w:rPr>
        <w:t xml:space="preserve"> </w:t>
      </w:r>
      <w:r w:rsidRPr="00357AD6">
        <w:rPr>
          <w:rFonts w:ascii="Times New Roman" w:eastAsia="BookAntiqua" w:hAnsi="Times New Roman" w:cs="Times New Roman"/>
          <w:sz w:val="24"/>
          <w:szCs w:val="24"/>
          <w:lang w:val="en-US"/>
        </w:rPr>
        <w:t>735 billion, making it the 16th largest economy in the world. It is the</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Government’s stated intention that Turkey becomes one of the world’s 10 largest economies by 2023, the 100</w:t>
      </w:r>
      <w:r w:rsidRPr="00357AD6">
        <w:rPr>
          <w:rFonts w:ascii="Times New Roman" w:eastAsia="BookAntiqua" w:hAnsi="Times New Roman" w:cs="Times New Roman"/>
          <w:sz w:val="24"/>
          <w:szCs w:val="24"/>
          <w:vertAlign w:val="superscript"/>
          <w:lang w:val="en-US"/>
        </w:rPr>
        <w:t>th</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anniversary of the founding of the Turkish Republic. Turkey is an EU accession candidate country, a member</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of the Organization for Economic Cooperation and Development (OECD) and the G20, and an increasingly</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import</w:t>
      </w:r>
      <w:r>
        <w:rPr>
          <w:rFonts w:ascii="Times New Roman" w:eastAsia="BookAntiqua" w:hAnsi="Times New Roman" w:cs="Times New Roman"/>
          <w:sz w:val="24"/>
          <w:szCs w:val="24"/>
          <w:lang w:val="en-US"/>
        </w:rPr>
        <w:t>ant donor of bilateral Offi</w:t>
      </w:r>
      <w:r w:rsidRPr="00357AD6">
        <w:rPr>
          <w:rFonts w:ascii="Times New Roman" w:eastAsia="BookAntiqua" w:hAnsi="Times New Roman" w:cs="Times New Roman"/>
          <w:sz w:val="24"/>
          <w:szCs w:val="24"/>
          <w:lang w:val="en-US"/>
        </w:rPr>
        <w:t>cial Development Assistance (ODA). Turkey is one of the largest middle</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income partners of the World Bank Group (WBG).</w:t>
      </w:r>
    </w:p>
    <w:p w:rsidR="00925405" w:rsidRPr="00357AD6"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p>
    <w:p w:rsidR="00925405" w:rsidRPr="00357AD6"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357AD6">
        <w:rPr>
          <w:rFonts w:ascii="Times New Roman" w:hAnsi="Times New Roman" w:cs="Times New Roman"/>
          <w:sz w:val="24"/>
          <w:szCs w:val="24"/>
          <w:lang w:val="en-US"/>
        </w:rPr>
        <w:t xml:space="preserve">ii. </w:t>
      </w:r>
      <w:r>
        <w:rPr>
          <w:rFonts w:ascii="Times New Roman" w:hAnsi="Times New Roman" w:cs="Times New Roman"/>
          <w:b/>
          <w:bCs/>
          <w:sz w:val="24"/>
          <w:szCs w:val="24"/>
          <w:lang w:val="en-US"/>
        </w:rPr>
        <w:t>Turkey faces signifi</w:t>
      </w:r>
      <w:r w:rsidRPr="00357AD6">
        <w:rPr>
          <w:rFonts w:ascii="Times New Roman" w:hAnsi="Times New Roman" w:cs="Times New Roman"/>
          <w:b/>
          <w:bCs/>
          <w:sz w:val="24"/>
          <w:szCs w:val="24"/>
          <w:lang w:val="en-US"/>
        </w:rPr>
        <w:t>cant economic risks going forward, including s</w:t>
      </w:r>
      <w:r>
        <w:rPr>
          <w:rFonts w:ascii="Times New Roman" w:hAnsi="Times New Roman" w:cs="Times New Roman"/>
          <w:b/>
          <w:bCs/>
          <w:sz w:val="24"/>
          <w:szCs w:val="24"/>
          <w:lang w:val="en-US"/>
        </w:rPr>
        <w:t xml:space="preserve">pillover from the European debt </w:t>
      </w:r>
      <w:r w:rsidRPr="00357AD6">
        <w:rPr>
          <w:rFonts w:ascii="Times New Roman" w:hAnsi="Times New Roman" w:cs="Times New Roman"/>
          <w:b/>
          <w:bCs/>
          <w:sz w:val="24"/>
          <w:szCs w:val="24"/>
          <w:lang w:val="en-US"/>
        </w:rPr>
        <w:t xml:space="preserve">crisis. </w:t>
      </w:r>
      <w:r w:rsidRPr="00357AD6">
        <w:rPr>
          <w:rFonts w:ascii="Times New Roman" w:eastAsia="BookAntiqua" w:hAnsi="Times New Roman" w:cs="Times New Roman"/>
          <w:sz w:val="24"/>
          <w:szCs w:val="24"/>
          <w:lang w:val="en-US"/>
        </w:rPr>
        <w:t>With low domestic savings, Turkey’s economi</w:t>
      </w:r>
      <w:r>
        <w:rPr>
          <w:rFonts w:ascii="Times New Roman" w:eastAsia="BookAntiqua" w:hAnsi="Times New Roman" w:cs="Times New Roman"/>
          <w:sz w:val="24"/>
          <w:szCs w:val="24"/>
          <w:lang w:val="en-US"/>
        </w:rPr>
        <w:t>c growth relies on capital inflows to fi</w:t>
      </w:r>
      <w:r w:rsidRPr="00357AD6">
        <w:rPr>
          <w:rFonts w:ascii="Times New Roman" w:eastAsia="BookAntiqua" w:hAnsi="Times New Roman" w:cs="Times New Roman"/>
          <w:sz w:val="24"/>
          <w:szCs w:val="24"/>
          <w:lang w:val="en-US"/>
        </w:rPr>
        <w:t>nance investments</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and growth. The country’</w:t>
      </w:r>
      <w:r>
        <w:rPr>
          <w:rFonts w:ascii="Times New Roman" w:eastAsia="BookAntiqua" w:hAnsi="Times New Roman" w:cs="Times New Roman"/>
          <w:sz w:val="24"/>
          <w:szCs w:val="24"/>
          <w:lang w:val="en-US"/>
        </w:rPr>
        <w:t>s large current account defi</w:t>
      </w:r>
      <w:r w:rsidRPr="00357AD6">
        <w:rPr>
          <w:rFonts w:ascii="Times New Roman" w:eastAsia="BookAntiqua" w:hAnsi="Times New Roman" w:cs="Times New Roman"/>
          <w:sz w:val="24"/>
          <w:szCs w:val="24"/>
          <w:lang w:val="en-US"/>
        </w:rPr>
        <w:t>ci</w:t>
      </w:r>
      <w:r>
        <w:rPr>
          <w:rFonts w:ascii="Times New Roman" w:eastAsia="BookAntiqua" w:hAnsi="Times New Roman" w:cs="Times New Roman"/>
          <w:sz w:val="24"/>
          <w:szCs w:val="24"/>
          <w:lang w:val="en-US"/>
        </w:rPr>
        <w:t>t and the composition of its fi</w:t>
      </w:r>
      <w:r w:rsidRPr="00357AD6">
        <w:rPr>
          <w:rFonts w:ascii="Times New Roman" w:eastAsia="BookAntiqua" w:hAnsi="Times New Roman" w:cs="Times New Roman"/>
          <w:sz w:val="24"/>
          <w:szCs w:val="24"/>
          <w:lang w:val="en-US"/>
        </w:rPr>
        <w:t>nancing remain critical</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concerns. A weak outlook for global activity and more severe international funding strains have the potential</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to spill over to Turkey. Turkey’</w:t>
      </w:r>
      <w:r>
        <w:rPr>
          <w:rFonts w:ascii="Times New Roman" w:eastAsia="BookAntiqua" w:hAnsi="Times New Roman" w:cs="Times New Roman"/>
          <w:sz w:val="24"/>
          <w:szCs w:val="24"/>
          <w:lang w:val="en-US"/>
        </w:rPr>
        <w:t>s dependence on external fi</w:t>
      </w:r>
      <w:r w:rsidRPr="00357AD6">
        <w:rPr>
          <w:rFonts w:ascii="Times New Roman" w:eastAsia="BookAntiqua" w:hAnsi="Times New Roman" w:cs="Times New Roman"/>
          <w:sz w:val="24"/>
          <w:szCs w:val="24"/>
          <w:lang w:val="en-US"/>
        </w:rPr>
        <w:t>nancing has left the country prone to boom-bust</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cycles, and the key challenge going forward is to deliver a soft landing, from the high growth rates in 2010</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and 2011.</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357AD6"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357AD6">
        <w:rPr>
          <w:rFonts w:ascii="Times New Roman" w:hAnsi="Times New Roman" w:cs="Times New Roman"/>
          <w:sz w:val="24"/>
          <w:szCs w:val="24"/>
          <w:lang w:val="en-US"/>
        </w:rPr>
        <w:t xml:space="preserve">iii. </w:t>
      </w:r>
      <w:r w:rsidRPr="00357AD6">
        <w:rPr>
          <w:rFonts w:ascii="Times New Roman" w:hAnsi="Times New Roman" w:cs="Times New Roman"/>
          <w:b/>
          <w:bCs/>
          <w:sz w:val="24"/>
          <w:szCs w:val="24"/>
          <w:lang w:val="en-US"/>
        </w:rPr>
        <w:t>Other countries, notably in the Middle East and North Africa, are lo</w:t>
      </w:r>
      <w:r>
        <w:rPr>
          <w:rFonts w:ascii="Times New Roman" w:hAnsi="Times New Roman" w:cs="Times New Roman"/>
          <w:b/>
          <w:bCs/>
          <w:sz w:val="24"/>
          <w:szCs w:val="24"/>
          <w:lang w:val="en-US"/>
        </w:rPr>
        <w:t xml:space="preserve">oking to Turkey, with its gains </w:t>
      </w:r>
      <w:r w:rsidRPr="00357AD6">
        <w:rPr>
          <w:rFonts w:ascii="Times New Roman" w:hAnsi="Times New Roman" w:cs="Times New Roman"/>
          <w:b/>
          <w:bCs/>
          <w:sz w:val="24"/>
          <w:szCs w:val="24"/>
          <w:lang w:val="en-US"/>
        </w:rPr>
        <w:t xml:space="preserve">in income and social outcomes in recent years, as an interesting development model to emulate. </w:t>
      </w:r>
      <w:r w:rsidRPr="00357AD6">
        <w:rPr>
          <w:rFonts w:ascii="Times New Roman" w:eastAsia="BookAntiqua" w:hAnsi="Times New Roman" w:cs="Times New Roman"/>
          <w:sz w:val="24"/>
          <w:szCs w:val="24"/>
          <w:lang w:val="en-US"/>
        </w:rPr>
        <w:t>Per capita</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income almost tripled in less than a decade and now exceeds US$</w:t>
      </w:r>
      <w:r w:rsidR="00C853E5">
        <w:rPr>
          <w:rFonts w:ascii="Times New Roman" w:eastAsia="BookAntiqua" w:hAnsi="Times New Roman" w:cs="Times New Roman"/>
          <w:sz w:val="24"/>
          <w:szCs w:val="24"/>
          <w:lang w:val="en-US"/>
        </w:rPr>
        <w:t xml:space="preserve"> 10,000. The Government’s 2023 “vision”</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aims for per capita income to reach US$</w:t>
      </w:r>
      <w:r w:rsidR="002373E8">
        <w:rPr>
          <w:rFonts w:ascii="Times New Roman" w:eastAsia="BookAntiqua" w:hAnsi="Times New Roman" w:cs="Times New Roman"/>
          <w:sz w:val="24"/>
          <w:szCs w:val="24"/>
          <w:lang w:val="en-US"/>
        </w:rPr>
        <w:t xml:space="preserve"> </w:t>
      </w:r>
      <w:r w:rsidRPr="00357AD6">
        <w:rPr>
          <w:rFonts w:ascii="Times New Roman" w:eastAsia="BookAntiqua" w:hAnsi="Times New Roman" w:cs="Times New Roman"/>
          <w:sz w:val="24"/>
          <w:szCs w:val="24"/>
          <w:lang w:val="en-US"/>
        </w:rPr>
        <w:t>25,000. Poverty decreased from 28.1 percent in 2003 to 17.1 percent</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in 2008, increasing by 1 percentage point to 18.1 percent in 2009 as a result of the global crisis. It is expected</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to have fallen since then as labor markets, the main channel through which the crisis affected households,</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recovered quickly, with seasonally adjusted unemployment at 9.1 percent and the employment rate at 45.4</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percent in October 2011, improving on pre-crisis levels. Economic growth and social policies are behind these</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achievements. The results of the nation-wide Health Transformation Program launched in 2003, for example,</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include remarkable gains in the health status of the Turkish people, particularly among women. At the same</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time, regional, gender, and other disparities persist, and inequality remains a challenge.</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357AD6"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357AD6">
        <w:rPr>
          <w:rFonts w:ascii="Times New Roman" w:hAnsi="Times New Roman" w:cs="Times New Roman"/>
          <w:sz w:val="24"/>
          <w:szCs w:val="24"/>
          <w:lang w:val="en-US"/>
        </w:rPr>
        <w:t xml:space="preserve">iv. </w:t>
      </w:r>
      <w:r w:rsidRPr="00357AD6">
        <w:rPr>
          <w:rFonts w:ascii="Times New Roman" w:hAnsi="Times New Roman" w:cs="Times New Roman"/>
          <w:b/>
          <w:bCs/>
          <w:sz w:val="24"/>
          <w:szCs w:val="24"/>
          <w:lang w:val="en-US"/>
        </w:rPr>
        <w:t xml:space="preserve">This Country Partnership Strategy (CPS) aims to contribute to Turkey’s goal </w:t>
      </w:r>
      <w:r>
        <w:rPr>
          <w:rFonts w:ascii="Times New Roman" w:hAnsi="Times New Roman" w:cs="Times New Roman"/>
          <w:b/>
          <w:bCs/>
          <w:sz w:val="24"/>
          <w:szCs w:val="24"/>
          <w:lang w:val="en-US"/>
        </w:rPr>
        <w:t xml:space="preserve">of fast, sustainable and </w:t>
      </w:r>
      <w:r w:rsidRPr="00357AD6">
        <w:rPr>
          <w:rFonts w:ascii="Times New Roman" w:hAnsi="Times New Roman" w:cs="Times New Roman"/>
          <w:b/>
          <w:bCs/>
          <w:sz w:val="24"/>
          <w:szCs w:val="24"/>
          <w:lang w:val="en-US"/>
        </w:rPr>
        <w:t xml:space="preserve">inclusive growth that respects the environment. </w:t>
      </w:r>
      <w:r>
        <w:rPr>
          <w:rFonts w:ascii="Times New Roman" w:eastAsia="BookAntiqua" w:hAnsi="Times New Roman" w:cs="Times New Roman"/>
          <w:sz w:val="24"/>
          <w:szCs w:val="24"/>
          <w:lang w:val="en-US"/>
        </w:rPr>
        <w:t>Its design refl</w:t>
      </w:r>
      <w:r w:rsidRPr="00357AD6">
        <w:rPr>
          <w:rFonts w:ascii="Times New Roman" w:eastAsia="BookAntiqua" w:hAnsi="Times New Roman" w:cs="Times New Roman"/>
          <w:sz w:val="24"/>
          <w:szCs w:val="24"/>
          <w:lang w:val="en-US"/>
        </w:rPr>
        <w:t>ects priorities established in Turkey’s own</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development frameworks, notably the Ninth Develo</w:t>
      </w:r>
      <w:r w:rsidR="00BD120A">
        <w:rPr>
          <w:rFonts w:ascii="Times New Roman" w:eastAsia="BookAntiqua" w:hAnsi="Times New Roman" w:cs="Times New Roman"/>
          <w:sz w:val="24"/>
          <w:szCs w:val="24"/>
          <w:lang w:val="en-US"/>
        </w:rPr>
        <w:t>pment Plan 2007-2013</w:t>
      </w:r>
      <w:r w:rsidRPr="00357AD6">
        <w:rPr>
          <w:rFonts w:ascii="Times New Roman" w:eastAsia="BookAntiqua" w:hAnsi="Times New Roman" w:cs="Times New Roman"/>
          <w:sz w:val="24"/>
          <w:szCs w:val="24"/>
          <w:lang w:val="en-US"/>
        </w:rPr>
        <w:t xml:space="preserve"> and the 2012-2014 Medium-Term</w:t>
      </w:r>
      <w:r>
        <w:rPr>
          <w:rFonts w:ascii="Times New Roman" w:hAnsi="Times New Roman" w:cs="Times New Roman"/>
          <w:b/>
          <w:bCs/>
          <w:sz w:val="24"/>
          <w:szCs w:val="24"/>
          <w:lang w:val="en-US"/>
        </w:rPr>
        <w:t xml:space="preserve"> </w:t>
      </w:r>
      <w:r w:rsidR="00C853E5" w:rsidRPr="00357AD6">
        <w:rPr>
          <w:rFonts w:ascii="Times New Roman" w:eastAsia="BookAntiqua" w:hAnsi="Times New Roman" w:cs="Times New Roman"/>
          <w:sz w:val="24"/>
          <w:szCs w:val="24"/>
          <w:lang w:val="en-US"/>
        </w:rPr>
        <w:t>Programs</w:t>
      </w:r>
      <w:r w:rsidRPr="00357AD6">
        <w:rPr>
          <w:rFonts w:ascii="Times New Roman" w:eastAsia="BookAntiqua" w:hAnsi="Times New Roman" w:cs="Times New Roman"/>
          <w:sz w:val="24"/>
          <w:szCs w:val="24"/>
          <w:lang w:val="en-US"/>
        </w:rPr>
        <w:t xml:space="preserve"> </w:t>
      </w:r>
      <w:r>
        <w:rPr>
          <w:rFonts w:ascii="Times New Roman" w:eastAsia="BookAntiqua" w:hAnsi="Times New Roman" w:cs="Times New Roman"/>
          <w:sz w:val="24"/>
          <w:szCs w:val="24"/>
          <w:lang w:val="en-US"/>
        </w:rPr>
        <w:t>(MTP), and is intended to be fl</w:t>
      </w:r>
      <w:r w:rsidRPr="00357AD6">
        <w:rPr>
          <w:rFonts w:ascii="Times New Roman" w:eastAsia="BookAntiqua" w:hAnsi="Times New Roman" w:cs="Times New Roman"/>
          <w:sz w:val="24"/>
          <w:szCs w:val="24"/>
          <w:lang w:val="en-US"/>
        </w:rPr>
        <w:t>exible to adapt to changes. The main criterion for WBG support in</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Turkey is its ‘strategic value-added’</w:t>
      </w:r>
      <w:r>
        <w:rPr>
          <w:rFonts w:ascii="Times New Roman" w:eastAsia="BookAntiqua" w:hAnsi="Times New Roman" w:cs="Times New Roman"/>
          <w:sz w:val="24"/>
          <w:szCs w:val="24"/>
          <w:lang w:val="en-US"/>
        </w:rPr>
        <w:t>, through a combination of fi</w:t>
      </w:r>
      <w:r w:rsidRPr="00357AD6">
        <w:rPr>
          <w:rFonts w:ascii="Times New Roman" w:eastAsia="BookAntiqua" w:hAnsi="Times New Roman" w:cs="Times New Roman"/>
          <w:sz w:val="24"/>
          <w:szCs w:val="24"/>
          <w:lang w:val="en-US"/>
        </w:rPr>
        <w:t>nancing, analysis and advice, implementation</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support to help address development challenges, and the sharing of global experience to provide benchmarks</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and help inform the development and implementation of policies and programs.</w:t>
      </w:r>
    </w:p>
    <w:p w:rsidR="00925405" w:rsidRDefault="00925405" w:rsidP="00925405">
      <w:pPr>
        <w:autoSpaceDE w:val="0"/>
        <w:autoSpaceDN w:val="0"/>
        <w:adjustRightInd w:val="0"/>
        <w:spacing w:after="0" w:line="240" w:lineRule="auto"/>
        <w:jc w:val="both"/>
        <w:rPr>
          <w:rFonts w:ascii="Times New Roman" w:hAnsi="Times New Roman" w:cs="Times New Roman"/>
          <w:b/>
          <w:sz w:val="24"/>
          <w:szCs w:val="24"/>
          <w:lang w:val="en-US"/>
        </w:rPr>
      </w:pPr>
      <w:r w:rsidRPr="00357AD6">
        <w:rPr>
          <w:rFonts w:ascii="Times New Roman" w:hAnsi="Times New Roman" w:cs="Times New Roman"/>
          <w:sz w:val="24"/>
          <w:szCs w:val="24"/>
          <w:lang w:val="en-US"/>
        </w:rPr>
        <w:lastRenderedPageBreak/>
        <w:t xml:space="preserve">v. </w:t>
      </w:r>
      <w:r w:rsidRPr="00357AD6">
        <w:rPr>
          <w:rFonts w:ascii="Times New Roman" w:hAnsi="Times New Roman" w:cs="Times New Roman"/>
          <w:b/>
          <w:bCs/>
          <w:sz w:val="24"/>
          <w:szCs w:val="24"/>
          <w:lang w:val="en-US"/>
        </w:rPr>
        <w:t>The CPS has three main strategic objectives and pillars: enhanced com</w:t>
      </w:r>
      <w:r>
        <w:rPr>
          <w:rFonts w:ascii="Times New Roman" w:hAnsi="Times New Roman" w:cs="Times New Roman"/>
          <w:b/>
          <w:bCs/>
          <w:sz w:val="24"/>
          <w:szCs w:val="24"/>
          <w:lang w:val="en-US"/>
        </w:rPr>
        <w:t xml:space="preserve">petitiveness and employment; </w:t>
      </w:r>
      <w:r w:rsidRPr="00357AD6">
        <w:rPr>
          <w:rFonts w:ascii="Times New Roman" w:hAnsi="Times New Roman" w:cs="Times New Roman"/>
          <w:b/>
          <w:bCs/>
          <w:sz w:val="24"/>
          <w:szCs w:val="24"/>
          <w:lang w:val="en-US"/>
        </w:rPr>
        <w:t xml:space="preserve">improved equity and public services; and, deepened sustainable development. </w:t>
      </w:r>
      <w:r w:rsidRPr="00357AD6">
        <w:rPr>
          <w:rFonts w:ascii="Times New Roman" w:eastAsia="BookAntiqua" w:hAnsi="Times New Roman" w:cs="Times New Roman"/>
          <w:sz w:val="24"/>
          <w:szCs w:val="24"/>
          <w:lang w:val="en-US"/>
        </w:rPr>
        <w:t>In pursuit of these objectives,</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the Turkish government, private sector, civil society and the WBG plan to work together toward ten key</w:t>
      </w:r>
      <w:r>
        <w:rPr>
          <w:rFonts w:ascii="Times New Roman" w:hAnsi="Times New Roman" w:cs="Times New Roman"/>
          <w:b/>
          <w:bCs/>
          <w:sz w:val="24"/>
          <w:szCs w:val="24"/>
          <w:lang w:val="en-US"/>
        </w:rPr>
        <w:t xml:space="preserve"> </w:t>
      </w:r>
      <w:r w:rsidRPr="00357AD6">
        <w:rPr>
          <w:rFonts w:ascii="Times New Roman" w:eastAsia="BookAntiqua" w:hAnsi="Times New Roman" w:cs="Times New Roman"/>
          <w:sz w:val="24"/>
          <w:szCs w:val="24"/>
          <w:lang w:val="en-US"/>
        </w:rPr>
        <w:t xml:space="preserve">outcomes during the four-year CPS period, as set out in </w:t>
      </w:r>
      <w:r w:rsidRPr="00357AD6">
        <w:rPr>
          <w:rFonts w:ascii="Times New Roman" w:eastAsia="BookAntiqua" w:hAnsi="Times New Roman" w:cs="Times New Roman"/>
          <w:color w:val="FF0000"/>
          <w:sz w:val="24"/>
          <w:szCs w:val="24"/>
          <w:lang w:val="en-US"/>
        </w:rPr>
        <w:t>Figure A</w:t>
      </w:r>
      <w:r w:rsidRPr="00357AD6">
        <w:rPr>
          <w:rFonts w:ascii="Times New Roman" w:eastAsia="BookAntiqua" w:hAnsi="Times New Roman" w:cs="Times New Roman"/>
          <w:sz w:val="24"/>
          <w:szCs w:val="24"/>
          <w:lang w:val="en-US"/>
        </w:rPr>
        <w:t>.</w:t>
      </w:r>
      <w:r w:rsidRPr="00357AD6">
        <w:rPr>
          <w:rFonts w:ascii="Times New Roman" w:hAnsi="Times New Roman" w:cs="Times New Roman"/>
          <w:b/>
          <w:sz w:val="24"/>
          <w:szCs w:val="24"/>
          <w:lang w:val="en-US"/>
        </w:rPr>
        <w:t xml:space="preserve"> </w:t>
      </w:r>
    </w:p>
    <w:p w:rsidR="00925405" w:rsidRDefault="00925405" w:rsidP="00925405">
      <w:pPr>
        <w:autoSpaceDE w:val="0"/>
        <w:autoSpaceDN w:val="0"/>
        <w:adjustRightInd w:val="0"/>
        <w:spacing w:after="0" w:line="240" w:lineRule="auto"/>
        <w:jc w:val="both"/>
        <w:rPr>
          <w:rFonts w:ascii="Times New Roman" w:hAnsi="Times New Roman" w:cs="Times New Roman"/>
          <w:b/>
          <w:sz w:val="24"/>
          <w:szCs w:val="24"/>
          <w:lang w:val="en-US"/>
        </w:rPr>
      </w:pPr>
    </w:p>
    <w:p w:rsidR="00925405" w:rsidRDefault="00925405" w:rsidP="00925405">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5CF302D" wp14:editId="58782735">
            <wp:extent cx="5397500" cy="35687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7500" cy="3568700"/>
                    </a:xfrm>
                    <a:prstGeom prst="rect">
                      <a:avLst/>
                    </a:prstGeom>
                    <a:noFill/>
                    <a:ln>
                      <a:noFill/>
                    </a:ln>
                  </pic:spPr>
                </pic:pic>
              </a:graphicData>
            </a:graphic>
          </wp:inline>
        </w:drawing>
      </w:r>
    </w:p>
    <w:p w:rsidR="00C853E5" w:rsidRDefault="00C853E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vi. </w:t>
      </w:r>
      <w:r w:rsidRPr="00435153">
        <w:rPr>
          <w:rFonts w:ascii="Times New Roman" w:hAnsi="Times New Roman" w:cs="Times New Roman"/>
          <w:b/>
          <w:bCs/>
          <w:i/>
          <w:iCs/>
          <w:sz w:val="24"/>
          <w:szCs w:val="24"/>
          <w:lang w:val="en-US"/>
        </w:rPr>
        <w:t>Strategic Objective 1: ‘Enhanced Competitiveness and Employment’</w:t>
      </w:r>
      <w:r w:rsidRPr="00435153">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Planned CPS activities include:</w:t>
      </w:r>
      <w:r>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(i) support for the adoption and implementation of the National Empl</w:t>
      </w:r>
      <w:r>
        <w:rPr>
          <w:rFonts w:ascii="Times New Roman" w:eastAsia="BookAntiqua" w:hAnsi="Times New Roman" w:cs="Times New Roman"/>
          <w:sz w:val="24"/>
          <w:szCs w:val="24"/>
          <w:lang w:val="en-US"/>
        </w:rPr>
        <w:t xml:space="preserve">oyment Strategy currently under </w:t>
      </w:r>
      <w:r w:rsidRPr="00435153">
        <w:rPr>
          <w:rFonts w:ascii="Times New Roman" w:eastAsia="BookAntiqua" w:hAnsi="Times New Roman" w:cs="Times New Roman"/>
          <w:sz w:val="24"/>
          <w:szCs w:val="24"/>
          <w:lang w:val="en-US"/>
        </w:rPr>
        <w:t>preparation with D</w:t>
      </w:r>
      <w:r>
        <w:rPr>
          <w:rFonts w:ascii="Times New Roman" w:eastAsia="BookAntiqua" w:hAnsi="Times New Roman" w:cs="Times New Roman"/>
          <w:sz w:val="24"/>
          <w:szCs w:val="24"/>
          <w:lang w:val="en-US"/>
        </w:rPr>
        <w:t>evelopment Policy Loan (DPL) fi</w:t>
      </w:r>
      <w:r w:rsidRPr="00435153">
        <w:rPr>
          <w:rFonts w:ascii="Times New Roman" w:eastAsia="BookAntiqua" w:hAnsi="Times New Roman" w:cs="Times New Roman"/>
          <w:sz w:val="24"/>
          <w:szCs w:val="24"/>
          <w:lang w:val="en-US"/>
        </w:rPr>
        <w:t>nancing and analytical</w:t>
      </w:r>
      <w:r>
        <w:rPr>
          <w:rFonts w:ascii="Times New Roman" w:eastAsia="BookAntiqua" w:hAnsi="Times New Roman" w:cs="Times New Roman"/>
          <w:sz w:val="24"/>
          <w:szCs w:val="24"/>
          <w:lang w:val="en-US"/>
        </w:rPr>
        <w:t xml:space="preserve"> and advisory activities (AAA). </w:t>
      </w:r>
      <w:r w:rsidRPr="00435153">
        <w:rPr>
          <w:rFonts w:ascii="Times New Roman" w:eastAsia="BookAntiqua" w:hAnsi="Times New Roman" w:cs="Times New Roman"/>
          <w:sz w:val="24"/>
          <w:szCs w:val="24"/>
          <w:lang w:val="en-US"/>
        </w:rPr>
        <w:t>The aim is to enhance productive employment, particularly the activation</w:t>
      </w:r>
      <w:r>
        <w:rPr>
          <w:rFonts w:ascii="Times New Roman" w:eastAsia="BookAntiqua" w:hAnsi="Times New Roman" w:cs="Times New Roman"/>
          <w:sz w:val="24"/>
          <w:szCs w:val="24"/>
          <w:lang w:val="en-US"/>
        </w:rPr>
        <w:t xml:space="preserve"> of low-skilled youth and women </w:t>
      </w:r>
      <w:r w:rsidRPr="00435153">
        <w:rPr>
          <w:rFonts w:ascii="Times New Roman" w:eastAsia="BookAntiqua" w:hAnsi="Times New Roman" w:cs="Times New Roman"/>
          <w:sz w:val="24"/>
          <w:szCs w:val="24"/>
          <w:lang w:val="en-US"/>
        </w:rPr>
        <w:t>into formal employment and the expansion of employment activation program</w:t>
      </w:r>
      <w:r>
        <w:rPr>
          <w:rFonts w:ascii="Times New Roman" w:eastAsia="BookAntiqua" w:hAnsi="Times New Roman" w:cs="Times New Roman"/>
          <w:sz w:val="24"/>
          <w:szCs w:val="24"/>
          <w:lang w:val="en-US"/>
        </w:rPr>
        <w:t xml:space="preserve">s, focused on skills upgrading; </w:t>
      </w:r>
      <w:r w:rsidRPr="00435153">
        <w:rPr>
          <w:rFonts w:ascii="Times New Roman" w:eastAsia="BookAntiqua" w:hAnsi="Times New Roman" w:cs="Times New Roman"/>
          <w:sz w:val="24"/>
          <w:szCs w:val="24"/>
          <w:lang w:val="en-US"/>
        </w:rPr>
        <w:t>(ii) support for investment and business environment reforms and the completion of the review of th</w:t>
      </w:r>
      <w:r>
        <w:rPr>
          <w:rFonts w:ascii="Times New Roman" w:eastAsia="BookAntiqua" w:hAnsi="Times New Roman" w:cs="Times New Roman"/>
          <w:sz w:val="24"/>
          <w:szCs w:val="24"/>
          <w:lang w:val="en-US"/>
        </w:rPr>
        <w:t xml:space="preserve">e national </w:t>
      </w:r>
      <w:r w:rsidRPr="00435153">
        <w:rPr>
          <w:rFonts w:ascii="Times New Roman" w:eastAsia="BookAntiqua" w:hAnsi="Times New Roman" w:cs="Times New Roman"/>
          <w:sz w:val="24"/>
          <w:szCs w:val="24"/>
          <w:lang w:val="en-US"/>
        </w:rPr>
        <w:t>competition policy framework; and, (iii) provision of medium and long-t</w:t>
      </w:r>
      <w:r>
        <w:rPr>
          <w:rFonts w:ascii="Times New Roman" w:eastAsia="BookAntiqua" w:hAnsi="Times New Roman" w:cs="Times New Roman"/>
          <w:sz w:val="24"/>
          <w:szCs w:val="24"/>
          <w:lang w:val="en-US"/>
        </w:rPr>
        <w:t xml:space="preserve">erm funding to Small and Medium </w:t>
      </w:r>
      <w:r w:rsidRPr="00435153">
        <w:rPr>
          <w:rFonts w:ascii="Times New Roman" w:eastAsia="BookAntiqua" w:hAnsi="Times New Roman" w:cs="Times New Roman"/>
          <w:sz w:val="24"/>
          <w:szCs w:val="24"/>
          <w:lang w:val="en-US"/>
        </w:rPr>
        <w:t>Enterprises (SMEs) and exporters.</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vii. </w:t>
      </w:r>
      <w:r w:rsidRPr="00435153">
        <w:rPr>
          <w:rFonts w:ascii="Times New Roman" w:hAnsi="Times New Roman" w:cs="Times New Roman"/>
          <w:b/>
          <w:bCs/>
          <w:i/>
          <w:iCs/>
          <w:sz w:val="24"/>
          <w:szCs w:val="24"/>
          <w:lang w:val="en-US"/>
        </w:rPr>
        <w:t xml:space="preserve">Strategic Objective 2: ‘Improved Equity and Public Services’. </w:t>
      </w:r>
      <w:r w:rsidRPr="00435153">
        <w:rPr>
          <w:rFonts w:ascii="Times New Roman" w:eastAsia="BookAntiqua" w:hAnsi="Times New Roman" w:cs="Times New Roman"/>
          <w:sz w:val="24"/>
          <w:szCs w:val="24"/>
          <w:lang w:val="en-US"/>
        </w:rPr>
        <w:t>Plan</w:t>
      </w:r>
      <w:r>
        <w:rPr>
          <w:rFonts w:ascii="Times New Roman" w:eastAsia="BookAntiqua" w:hAnsi="Times New Roman" w:cs="Times New Roman"/>
          <w:sz w:val="24"/>
          <w:szCs w:val="24"/>
          <w:lang w:val="en-US"/>
        </w:rPr>
        <w:t xml:space="preserve">ned CPS activities include: (i) </w:t>
      </w:r>
      <w:r w:rsidRPr="00435153">
        <w:rPr>
          <w:rFonts w:ascii="Times New Roman" w:eastAsia="BookAntiqua" w:hAnsi="Times New Roman" w:cs="Times New Roman"/>
          <w:sz w:val="24"/>
          <w:szCs w:val="24"/>
          <w:lang w:val="en-US"/>
        </w:rPr>
        <w:t>increa</w:t>
      </w:r>
      <w:r>
        <w:rPr>
          <w:rFonts w:ascii="Times New Roman" w:eastAsia="BookAntiqua" w:hAnsi="Times New Roman" w:cs="Times New Roman"/>
          <w:sz w:val="24"/>
          <w:szCs w:val="24"/>
          <w:lang w:val="en-US"/>
        </w:rPr>
        <w:t>sing fi</w:t>
      </w:r>
      <w:r w:rsidRPr="00435153">
        <w:rPr>
          <w:rFonts w:ascii="Times New Roman" w:eastAsia="BookAntiqua" w:hAnsi="Times New Roman" w:cs="Times New Roman"/>
          <w:sz w:val="24"/>
          <w:szCs w:val="24"/>
          <w:lang w:val="en-US"/>
        </w:rPr>
        <w:t>nancing for early childhood education (ECE); (ii) strengthening the Ministry of Health’</w:t>
      </w:r>
      <w:r>
        <w:rPr>
          <w:rFonts w:ascii="Times New Roman" w:eastAsia="BookAntiqua" w:hAnsi="Times New Roman" w:cs="Times New Roman"/>
          <w:sz w:val="24"/>
          <w:szCs w:val="24"/>
          <w:lang w:val="en-US"/>
        </w:rPr>
        <w:t xml:space="preserve">s </w:t>
      </w:r>
      <w:r w:rsidRPr="00435153">
        <w:rPr>
          <w:rFonts w:ascii="Times New Roman" w:eastAsia="BookAntiqua" w:hAnsi="Times New Roman" w:cs="Times New Roman"/>
          <w:sz w:val="24"/>
          <w:szCs w:val="24"/>
          <w:lang w:val="en-US"/>
        </w:rPr>
        <w:t>stewardship functions (not its role as service provider); (iii) the develo</w:t>
      </w:r>
      <w:r>
        <w:rPr>
          <w:rFonts w:ascii="Times New Roman" w:eastAsia="BookAntiqua" w:hAnsi="Times New Roman" w:cs="Times New Roman"/>
          <w:sz w:val="24"/>
          <w:szCs w:val="24"/>
          <w:lang w:val="en-US"/>
        </w:rPr>
        <w:t xml:space="preserve">pment and implementation of the </w:t>
      </w:r>
      <w:r w:rsidRPr="00435153">
        <w:rPr>
          <w:rFonts w:ascii="Times New Roman" w:eastAsia="BookAntiqua" w:hAnsi="Times New Roman" w:cs="Times New Roman"/>
          <w:sz w:val="24"/>
          <w:szCs w:val="24"/>
          <w:lang w:val="en-US"/>
        </w:rPr>
        <w:t>priva</w:t>
      </w:r>
      <w:r>
        <w:rPr>
          <w:rFonts w:ascii="Times New Roman" w:eastAsia="BookAntiqua" w:hAnsi="Times New Roman" w:cs="Times New Roman"/>
          <w:sz w:val="24"/>
          <w:szCs w:val="24"/>
          <w:lang w:val="en-US"/>
        </w:rPr>
        <w:t>te sector gender equity certifi</w:t>
      </w:r>
      <w:r w:rsidRPr="00435153">
        <w:rPr>
          <w:rFonts w:ascii="Times New Roman" w:eastAsia="BookAntiqua" w:hAnsi="Times New Roman" w:cs="Times New Roman"/>
          <w:sz w:val="24"/>
          <w:szCs w:val="24"/>
          <w:lang w:val="en-US"/>
        </w:rPr>
        <w:t xml:space="preserve">cation program; </w:t>
      </w:r>
      <w:r>
        <w:rPr>
          <w:rFonts w:ascii="Times New Roman" w:eastAsia="BookAntiqua" w:hAnsi="Times New Roman" w:cs="Times New Roman"/>
          <w:sz w:val="24"/>
          <w:szCs w:val="24"/>
          <w:lang w:val="en-US"/>
        </w:rPr>
        <w:t xml:space="preserve">and, (iv) </w:t>
      </w:r>
      <w:r w:rsidRPr="00435153">
        <w:rPr>
          <w:rFonts w:ascii="Times New Roman" w:eastAsia="BookAntiqua" w:hAnsi="Times New Roman" w:cs="Times New Roman"/>
          <w:sz w:val="24"/>
          <w:szCs w:val="24"/>
          <w:lang w:val="en-US"/>
        </w:rPr>
        <w:t>analytic and advisory</w:t>
      </w:r>
      <w:r>
        <w:rPr>
          <w:rFonts w:ascii="Times New Roman" w:eastAsia="BookAntiqua" w:hAnsi="Times New Roman" w:cs="Times New Roman"/>
          <w:sz w:val="24"/>
          <w:szCs w:val="24"/>
          <w:lang w:val="en-US"/>
        </w:rPr>
        <w:t xml:space="preserve"> work on state-owned enterprises </w:t>
      </w:r>
      <w:r w:rsidRPr="00435153">
        <w:rPr>
          <w:rFonts w:ascii="Times New Roman" w:eastAsia="BookAntiqua" w:hAnsi="Times New Roman" w:cs="Times New Roman"/>
          <w:sz w:val="24"/>
          <w:szCs w:val="24"/>
          <w:lang w:val="en-US"/>
        </w:rPr>
        <w:t>(SOE) governance.</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viii. </w:t>
      </w:r>
      <w:r w:rsidRPr="00435153">
        <w:rPr>
          <w:rFonts w:ascii="Times New Roman" w:hAnsi="Times New Roman" w:cs="Times New Roman"/>
          <w:b/>
          <w:bCs/>
          <w:i/>
          <w:iCs/>
          <w:sz w:val="24"/>
          <w:szCs w:val="24"/>
          <w:lang w:val="en-US"/>
        </w:rPr>
        <w:t xml:space="preserve">Strategic Objective 3: ‘Deepened Sustainable Development’. </w:t>
      </w:r>
      <w:r w:rsidRPr="00435153">
        <w:rPr>
          <w:rFonts w:ascii="Times New Roman" w:eastAsia="BookAntiqua" w:hAnsi="Times New Roman" w:cs="Times New Roman"/>
          <w:sz w:val="24"/>
          <w:szCs w:val="24"/>
          <w:lang w:val="en-US"/>
        </w:rPr>
        <w:t xml:space="preserve">Planned CPS activities include: (i) policy </w:t>
      </w:r>
      <w:r>
        <w:rPr>
          <w:rFonts w:ascii="Times New Roman" w:eastAsia="BookAntiqua" w:hAnsi="Times New Roman" w:cs="Times New Roman"/>
          <w:sz w:val="24"/>
          <w:szCs w:val="24"/>
          <w:lang w:val="en-US"/>
        </w:rPr>
        <w:t>advice and fi</w:t>
      </w:r>
      <w:r w:rsidRPr="00435153">
        <w:rPr>
          <w:rFonts w:ascii="Times New Roman" w:eastAsia="BookAntiqua" w:hAnsi="Times New Roman" w:cs="Times New Roman"/>
          <w:sz w:val="24"/>
          <w:szCs w:val="24"/>
          <w:lang w:val="en-US"/>
        </w:rPr>
        <w:t xml:space="preserve">nancing to address energy, environmental and climate change </w:t>
      </w:r>
      <w:r>
        <w:rPr>
          <w:rFonts w:ascii="Times New Roman" w:eastAsia="BookAntiqua" w:hAnsi="Times New Roman" w:cs="Times New Roman"/>
          <w:sz w:val="24"/>
          <w:szCs w:val="24"/>
          <w:lang w:val="en-US"/>
        </w:rPr>
        <w:t xml:space="preserve">challenges in a more integrated </w:t>
      </w:r>
      <w:r w:rsidRPr="00435153">
        <w:rPr>
          <w:rFonts w:ascii="Times New Roman" w:eastAsia="BookAntiqua" w:hAnsi="Times New Roman" w:cs="Times New Roman"/>
          <w:sz w:val="24"/>
          <w:szCs w:val="24"/>
          <w:lang w:val="en-US"/>
        </w:rPr>
        <w:t xml:space="preserve">manner; (ii) support for the completion of a water basin management strategy; </w:t>
      </w:r>
      <w:r>
        <w:rPr>
          <w:rFonts w:ascii="Times New Roman" w:eastAsia="BookAntiqua" w:hAnsi="Times New Roman" w:cs="Times New Roman"/>
          <w:sz w:val="24"/>
          <w:szCs w:val="24"/>
          <w:lang w:val="en-US"/>
        </w:rPr>
        <w:t xml:space="preserve">and (iii) analysis, advice, and investment </w:t>
      </w:r>
      <w:r>
        <w:rPr>
          <w:rFonts w:ascii="Times New Roman" w:eastAsia="BookAntiqua" w:hAnsi="Times New Roman" w:cs="Times New Roman"/>
          <w:sz w:val="24"/>
          <w:szCs w:val="24"/>
          <w:lang w:val="en-US"/>
        </w:rPr>
        <w:lastRenderedPageBreak/>
        <w:t>fi</w:t>
      </w:r>
      <w:r w:rsidRPr="00435153">
        <w:rPr>
          <w:rFonts w:ascii="Times New Roman" w:eastAsia="BookAntiqua" w:hAnsi="Times New Roman" w:cs="Times New Roman"/>
          <w:sz w:val="24"/>
          <w:szCs w:val="24"/>
          <w:lang w:val="en-US"/>
        </w:rPr>
        <w:t>nancing, by IBRD and IFC, for the Sustainable Cities Program, which is grounded in Turkey’s</w:t>
      </w:r>
      <w:r>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Integrated Urban Development Strategy and Action Plan 2010-2023.</w:t>
      </w:r>
    </w:p>
    <w:p w:rsidR="00C853E5" w:rsidRDefault="00C853E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ix. </w:t>
      </w:r>
      <w:r w:rsidRPr="00435153">
        <w:rPr>
          <w:rFonts w:ascii="Times New Roman" w:hAnsi="Times New Roman" w:cs="Times New Roman"/>
          <w:b/>
          <w:bCs/>
          <w:i/>
          <w:iCs/>
          <w:sz w:val="24"/>
          <w:szCs w:val="24"/>
          <w:lang w:val="en-US"/>
        </w:rPr>
        <w:t>‘Sharing Turkey’s Ex</w:t>
      </w:r>
      <w:r w:rsidR="00C853E5">
        <w:rPr>
          <w:rFonts w:ascii="Times New Roman" w:hAnsi="Times New Roman" w:cs="Times New Roman"/>
          <w:b/>
          <w:bCs/>
          <w:i/>
          <w:iCs/>
          <w:sz w:val="24"/>
          <w:szCs w:val="24"/>
          <w:lang w:val="en-US"/>
        </w:rPr>
        <w:t>perience -</w:t>
      </w:r>
      <w:r w:rsidRPr="00435153">
        <w:rPr>
          <w:rFonts w:ascii="Times New Roman" w:hAnsi="Times New Roman" w:cs="Times New Roman"/>
          <w:b/>
          <w:bCs/>
          <w:i/>
          <w:iCs/>
          <w:sz w:val="24"/>
          <w:szCs w:val="24"/>
          <w:lang w:val="en-US"/>
        </w:rPr>
        <w:t xml:space="preserve"> Results, Knowledge and Capacity’</w:t>
      </w:r>
      <w:r>
        <w:rPr>
          <w:rFonts w:ascii="Times New Roman" w:hAnsi="Times New Roman" w:cs="Times New Roman"/>
          <w:b/>
          <w:bCs/>
          <w:i/>
          <w:iCs/>
          <w:sz w:val="24"/>
          <w:szCs w:val="24"/>
          <w:lang w:val="en-US"/>
        </w:rPr>
        <w:t xml:space="preserve"> is a dimension of the CPS that </w:t>
      </w:r>
      <w:r w:rsidRPr="00435153">
        <w:rPr>
          <w:rFonts w:ascii="Times New Roman" w:hAnsi="Times New Roman" w:cs="Times New Roman"/>
          <w:b/>
          <w:bCs/>
          <w:i/>
          <w:iCs/>
          <w:sz w:val="24"/>
          <w:szCs w:val="24"/>
          <w:lang w:val="en-US"/>
        </w:rPr>
        <w:t xml:space="preserve">cuts across all three objectives. </w:t>
      </w:r>
      <w:r w:rsidRPr="00435153">
        <w:rPr>
          <w:rFonts w:ascii="Times New Roman" w:eastAsia="BookAntiqua" w:hAnsi="Times New Roman" w:cs="Times New Roman"/>
          <w:sz w:val="24"/>
          <w:szCs w:val="24"/>
          <w:lang w:val="en-US"/>
        </w:rPr>
        <w:t>Turkey and the World Bank are exploring avenues to collaborate in sharing</w:t>
      </w:r>
      <w:r>
        <w:rPr>
          <w:rFonts w:ascii="Times New Roman" w:hAnsi="Times New Roman" w:cs="Times New Roman"/>
          <w:b/>
          <w:bCs/>
          <w:i/>
          <w:iCs/>
          <w:sz w:val="24"/>
          <w:szCs w:val="24"/>
          <w:lang w:val="en-US"/>
        </w:rPr>
        <w:t xml:space="preserve"> </w:t>
      </w:r>
      <w:r w:rsidRPr="00435153">
        <w:rPr>
          <w:rFonts w:ascii="Times New Roman" w:eastAsia="BookAntiqua" w:hAnsi="Times New Roman" w:cs="Times New Roman"/>
          <w:sz w:val="24"/>
          <w:szCs w:val="24"/>
          <w:lang w:val="en-US"/>
        </w:rPr>
        <w:t>Turkey’s successful economic and social reforms. Two areas of particular focus include: health sector policy,</w:t>
      </w:r>
      <w:r>
        <w:rPr>
          <w:rFonts w:ascii="Times New Roman" w:hAnsi="Times New Roman" w:cs="Times New Roman"/>
          <w:b/>
          <w:bCs/>
          <w:i/>
          <w:iCs/>
          <w:sz w:val="24"/>
          <w:szCs w:val="24"/>
          <w:lang w:val="en-US"/>
        </w:rPr>
        <w:t xml:space="preserve"> </w:t>
      </w:r>
      <w:r w:rsidRPr="00435153">
        <w:rPr>
          <w:rFonts w:ascii="Times New Roman" w:eastAsia="BookAntiqua" w:hAnsi="Times New Roman" w:cs="Times New Roman"/>
          <w:sz w:val="24"/>
          <w:szCs w:val="24"/>
          <w:lang w:val="en-US"/>
        </w:rPr>
        <w:t>reform, and performance; and disaster prevention and mitigation. The WBG intends to use its global network</w:t>
      </w:r>
      <w:r>
        <w:rPr>
          <w:rFonts w:ascii="Times New Roman" w:hAnsi="Times New Roman" w:cs="Times New Roman"/>
          <w:b/>
          <w:bCs/>
          <w:i/>
          <w:iCs/>
          <w:sz w:val="24"/>
          <w:szCs w:val="24"/>
          <w:lang w:val="en-US"/>
        </w:rPr>
        <w:t xml:space="preserve"> </w:t>
      </w:r>
      <w:r w:rsidRPr="00435153">
        <w:rPr>
          <w:rFonts w:ascii="Times New Roman" w:eastAsia="BookAntiqua" w:hAnsi="Times New Roman" w:cs="Times New Roman"/>
          <w:sz w:val="24"/>
          <w:szCs w:val="24"/>
          <w:lang w:val="en-US"/>
        </w:rPr>
        <w:t>to work with Turkey in sharing these experiences and successes with a wider international audience.</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p>
    <w:p w:rsidR="00925405" w:rsidRPr="00435153"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435153">
        <w:rPr>
          <w:rFonts w:ascii="Times New Roman" w:hAnsi="Times New Roman" w:cs="Times New Roman"/>
          <w:sz w:val="24"/>
          <w:szCs w:val="24"/>
          <w:lang w:val="en-US"/>
        </w:rPr>
        <w:t xml:space="preserve">x. </w:t>
      </w:r>
      <w:r w:rsidRPr="00435153">
        <w:rPr>
          <w:rFonts w:ascii="Times New Roman" w:hAnsi="Times New Roman" w:cs="Times New Roman"/>
          <w:b/>
          <w:bCs/>
          <w:sz w:val="24"/>
          <w:szCs w:val="24"/>
          <w:lang w:val="en-US"/>
        </w:rPr>
        <w:t>While Turkey will remain a large-scale borrower during this CPS</w:t>
      </w:r>
      <w:r>
        <w:rPr>
          <w:rFonts w:ascii="Times New Roman" w:hAnsi="Times New Roman" w:cs="Times New Roman"/>
          <w:b/>
          <w:bCs/>
          <w:sz w:val="24"/>
          <w:szCs w:val="24"/>
          <w:lang w:val="en-US"/>
        </w:rPr>
        <w:t xml:space="preserve"> period, the role of analytical </w:t>
      </w:r>
      <w:r w:rsidRPr="00435153">
        <w:rPr>
          <w:rFonts w:ascii="Times New Roman" w:hAnsi="Times New Roman" w:cs="Times New Roman"/>
          <w:b/>
          <w:bCs/>
          <w:sz w:val="24"/>
          <w:szCs w:val="24"/>
          <w:lang w:val="en-US"/>
        </w:rPr>
        <w:t xml:space="preserve">and advisory activities will grow in relative terms. </w:t>
      </w:r>
      <w:r w:rsidRPr="00435153">
        <w:rPr>
          <w:rFonts w:ascii="Times New Roman" w:eastAsia="BookAntiqua" w:hAnsi="Times New Roman" w:cs="Times New Roman"/>
          <w:sz w:val="24"/>
          <w:szCs w:val="24"/>
          <w:lang w:val="en-US"/>
        </w:rPr>
        <w:t>Knowledge services and technical assistance add value</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through the provision of analysis, global experience, and hands-</w:t>
      </w:r>
      <w:r>
        <w:rPr>
          <w:rFonts w:ascii="Times New Roman" w:eastAsia="BookAntiqua" w:hAnsi="Times New Roman" w:cs="Times New Roman"/>
          <w:sz w:val="24"/>
          <w:szCs w:val="24"/>
          <w:lang w:val="en-US"/>
        </w:rPr>
        <w:t>on implementation support. Refl</w:t>
      </w:r>
      <w:r w:rsidRPr="00435153">
        <w:rPr>
          <w:rFonts w:ascii="Times New Roman" w:eastAsia="BookAntiqua" w:hAnsi="Times New Roman" w:cs="Times New Roman"/>
          <w:sz w:val="24"/>
          <w:szCs w:val="24"/>
          <w:lang w:val="en-US"/>
        </w:rPr>
        <w:t>ecting the</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Government’s ongoing demand for analytical and advisory services, the share of AAA spending in IBRD’s total</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work program budget for Turkey steadily increased over the last four years. Responding to the Government’s</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request for c</w:t>
      </w:r>
      <w:r>
        <w:rPr>
          <w:rFonts w:ascii="Times New Roman" w:eastAsia="BookAntiqua" w:hAnsi="Times New Roman" w:cs="Times New Roman"/>
          <w:sz w:val="24"/>
          <w:szCs w:val="24"/>
          <w:lang w:val="en-US"/>
        </w:rPr>
        <w:t>ontinued high levels of IBRD fi</w:t>
      </w:r>
      <w:r w:rsidRPr="00435153">
        <w:rPr>
          <w:rFonts w:ascii="Times New Roman" w:eastAsia="BookAntiqua" w:hAnsi="Times New Roman" w:cs="Times New Roman"/>
          <w:sz w:val="24"/>
          <w:szCs w:val="24"/>
          <w:lang w:val="en-US"/>
        </w:rPr>
        <w:t>nancing, the C</w:t>
      </w:r>
      <w:r>
        <w:rPr>
          <w:rFonts w:ascii="Times New Roman" w:eastAsia="BookAntiqua" w:hAnsi="Times New Roman" w:cs="Times New Roman"/>
          <w:sz w:val="24"/>
          <w:szCs w:val="24"/>
          <w:lang w:val="en-US"/>
        </w:rPr>
        <w:t>PS FY12-15 envisages an IBRD fi</w:t>
      </w:r>
      <w:r w:rsidRPr="00435153">
        <w:rPr>
          <w:rFonts w:ascii="Times New Roman" w:eastAsia="BookAntiqua" w:hAnsi="Times New Roman" w:cs="Times New Roman"/>
          <w:sz w:val="24"/>
          <w:szCs w:val="24"/>
          <w:lang w:val="en-US"/>
        </w:rPr>
        <w:t>nancing program</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in the order of up to US$</w:t>
      </w:r>
      <w:r w:rsidR="00BD120A">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4.45 billion. IFC’s own-account investment program in Turkey is expected to remain</w:t>
      </w:r>
      <w:r>
        <w:rPr>
          <w:rFonts w:ascii="Times New Roman" w:hAnsi="Times New Roman" w:cs="Times New Roman"/>
          <w:b/>
          <w:bCs/>
          <w:sz w:val="24"/>
          <w:szCs w:val="24"/>
          <w:lang w:val="en-US"/>
        </w:rPr>
        <w:t xml:space="preserve"> </w:t>
      </w:r>
      <w:r w:rsidRPr="00435153">
        <w:rPr>
          <w:rFonts w:ascii="Times New Roman" w:eastAsia="BookAntiqua" w:hAnsi="Times New Roman" w:cs="Times New Roman"/>
          <w:sz w:val="24"/>
          <w:szCs w:val="24"/>
          <w:lang w:val="en-US"/>
        </w:rPr>
        <w:t>in the range of US$</w:t>
      </w:r>
      <w:r w:rsidR="00C853E5">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425-500 million a year or, US$</w:t>
      </w:r>
      <w:r w:rsidR="00C853E5">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1.7-2.0 billion for the CPS period.</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xi. </w:t>
      </w:r>
      <w:r w:rsidRPr="00435153">
        <w:rPr>
          <w:rFonts w:ascii="Times New Roman" w:hAnsi="Times New Roman" w:cs="Times New Roman"/>
          <w:b/>
          <w:bCs/>
          <w:sz w:val="24"/>
          <w:szCs w:val="24"/>
          <w:lang w:val="en-US"/>
        </w:rPr>
        <w:t xml:space="preserve">What we can learn from the past partnership with Turkey. </w:t>
      </w:r>
      <w:r w:rsidRPr="00435153">
        <w:rPr>
          <w:rFonts w:ascii="Times New Roman" w:eastAsia="BookAntiqua" w:hAnsi="Times New Roman" w:cs="Times New Roman"/>
          <w:sz w:val="24"/>
          <w:szCs w:val="24"/>
          <w:lang w:val="en-US"/>
        </w:rPr>
        <w:t>Th</w:t>
      </w:r>
      <w:r>
        <w:rPr>
          <w:rFonts w:ascii="Times New Roman" w:eastAsia="BookAntiqua" w:hAnsi="Times New Roman" w:cs="Times New Roman"/>
          <w:sz w:val="24"/>
          <w:szCs w:val="24"/>
          <w:lang w:val="en-US"/>
        </w:rPr>
        <w:t xml:space="preserve">e WBG is most effective when it </w:t>
      </w:r>
      <w:r w:rsidRPr="00435153">
        <w:rPr>
          <w:rFonts w:ascii="Times New Roman" w:eastAsia="BookAntiqua" w:hAnsi="Times New Roman" w:cs="Times New Roman"/>
          <w:sz w:val="24"/>
          <w:szCs w:val="24"/>
          <w:lang w:val="en-US"/>
        </w:rPr>
        <w:t xml:space="preserve">combines the skills of its three arms: IBRD, IFC and MIGA. Opportunities </w:t>
      </w:r>
      <w:r>
        <w:rPr>
          <w:rFonts w:ascii="Times New Roman" w:eastAsia="BookAntiqua" w:hAnsi="Times New Roman" w:cs="Times New Roman"/>
          <w:sz w:val="24"/>
          <w:szCs w:val="24"/>
          <w:lang w:val="en-US"/>
        </w:rPr>
        <w:t xml:space="preserve">for mutually complementary work </w:t>
      </w:r>
      <w:r w:rsidRPr="00435153">
        <w:rPr>
          <w:rFonts w:ascii="Times New Roman" w:eastAsia="BookAntiqua" w:hAnsi="Times New Roman" w:cs="Times New Roman"/>
          <w:sz w:val="24"/>
          <w:szCs w:val="24"/>
          <w:lang w:val="en-US"/>
        </w:rPr>
        <w:t>are high in areas such as supporting S</w:t>
      </w:r>
      <w:r>
        <w:rPr>
          <w:rFonts w:ascii="Times New Roman" w:eastAsia="BookAntiqua" w:hAnsi="Times New Roman" w:cs="Times New Roman"/>
          <w:sz w:val="24"/>
          <w:szCs w:val="24"/>
          <w:lang w:val="en-US"/>
        </w:rPr>
        <w:t>MEs, exporters, and energy effi</w:t>
      </w:r>
      <w:r w:rsidRPr="00435153">
        <w:rPr>
          <w:rFonts w:ascii="Times New Roman" w:eastAsia="BookAntiqua" w:hAnsi="Times New Roman" w:cs="Times New Roman"/>
          <w:sz w:val="24"/>
          <w:szCs w:val="24"/>
          <w:lang w:val="en-US"/>
        </w:rPr>
        <w:t>ciency i</w:t>
      </w:r>
      <w:r>
        <w:rPr>
          <w:rFonts w:ascii="Times New Roman" w:eastAsia="BookAntiqua" w:hAnsi="Times New Roman" w:cs="Times New Roman"/>
          <w:sz w:val="24"/>
          <w:szCs w:val="24"/>
          <w:lang w:val="en-US"/>
        </w:rPr>
        <w:t xml:space="preserve">nvestments, which will continue </w:t>
      </w:r>
      <w:r w:rsidRPr="00435153">
        <w:rPr>
          <w:rFonts w:ascii="Times New Roman" w:eastAsia="BookAntiqua" w:hAnsi="Times New Roman" w:cs="Times New Roman"/>
          <w:sz w:val="24"/>
          <w:szCs w:val="24"/>
          <w:lang w:val="en-US"/>
        </w:rPr>
        <w:t>to feature prominently in the new CPS. Lessons from the FY08-11 CPS include:</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eastAsia="SymbolMT" w:hAnsi="Times New Roman" w:cs="Times New Roman"/>
          <w:sz w:val="24"/>
          <w:szCs w:val="24"/>
          <w:lang w:val="en-US"/>
        </w:rPr>
        <w:t xml:space="preserve">• </w:t>
      </w:r>
      <w:r w:rsidRPr="00435153">
        <w:rPr>
          <w:rFonts w:ascii="Times New Roman" w:eastAsia="BookAntiqua" w:hAnsi="Times New Roman" w:cs="Times New Roman"/>
          <w:sz w:val="24"/>
          <w:szCs w:val="24"/>
          <w:lang w:val="en-US"/>
        </w:rPr>
        <w:t>The systematic development and maintenance of a policy dialogue in</w:t>
      </w:r>
      <w:r>
        <w:rPr>
          <w:rFonts w:ascii="Times New Roman" w:eastAsia="BookAntiqua" w:hAnsi="Times New Roman" w:cs="Times New Roman"/>
          <w:sz w:val="24"/>
          <w:szCs w:val="24"/>
          <w:lang w:val="en-US"/>
        </w:rPr>
        <w:t xml:space="preserve"> support of long-term strategic </w:t>
      </w:r>
      <w:r w:rsidRPr="00435153">
        <w:rPr>
          <w:rFonts w:ascii="Times New Roman" w:eastAsia="BookAntiqua" w:hAnsi="Times New Roman" w:cs="Times New Roman"/>
          <w:sz w:val="24"/>
          <w:szCs w:val="24"/>
          <w:lang w:val="en-US"/>
        </w:rPr>
        <w:t>goals, combining knowledge and lending operations, are vital to support reforms.</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eastAsia="SymbolMT" w:hAnsi="Times New Roman" w:cs="Times New Roman"/>
          <w:sz w:val="24"/>
          <w:szCs w:val="24"/>
          <w:lang w:val="en-US"/>
        </w:rPr>
        <w:t xml:space="preserve">• </w:t>
      </w:r>
      <w:r w:rsidRPr="00435153">
        <w:rPr>
          <w:rFonts w:ascii="Times New Roman" w:eastAsia="BookAntiqua" w:hAnsi="Times New Roman" w:cs="Times New Roman"/>
          <w:sz w:val="24"/>
          <w:szCs w:val="24"/>
          <w:lang w:val="en-US"/>
        </w:rPr>
        <w:t>The new engagement on environment and climate change, which s</w:t>
      </w:r>
      <w:r>
        <w:rPr>
          <w:rFonts w:ascii="Times New Roman" w:eastAsia="BookAntiqua" w:hAnsi="Times New Roman" w:cs="Times New Roman"/>
          <w:sz w:val="24"/>
          <w:szCs w:val="24"/>
          <w:lang w:val="en-US"/>
        </w:rPr>
        <w:t xml:space="preserve">tarted during the previous CPS, </w:t>
      </w:r>
      <w:r w:rsidRPr="00435153">
        <w:rPr>
          <w:rFonts w:ascii="Times New Roman" w:eastAsia="BookAntiqua" w:hAnsi="Times New Roman" w:cs="Times New Roman"/>
          <w:sz w:val="24"/>
          <w:szCs w:val="24"/>
          <w:lang w:val="en-US"/>
        </w:rPr>
        <w:t xml:space="preserve">illustrates the importance of identifying strategic entry points </w:t>
      </w:r>
      <w:r>
        <w:rPr>
          <w:rFonts w:ascii="Times New Roman" w:eastAsia="BookAntiqua" w:hAnsi="Times New Roman" w:cs="Times New Roman"/>
          <w:sz w:val="24"/>
          <w:szCs w:val="24"/>
          <w:lang w:val="en-US"/>
        </w:rPr>
        <w:t xml:space="preserve">for policy dialogue and seizing </w:t>
      </w:r>
      <w:r w:rsidRPr="00435153">
        <w:rPr>
          <w:rFonts w:ascii="Times New Roman" w:eastAsia="BookAntiqua" w:hAnsi="Times New Roman" w:cs="Times New Roman"/>
          <w:sz w:val="24"/>
          <w:szCs w:val="24"/>
          <w:lang w:val="en-US"/>
        </w:rPr>
        <w:t>opportunities to strengthen engagement as country priorities evolve.</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eastAsia="SymbolMT" w:hAnsi="Times New Roman" w:cs="Times New Roman"/>
          <w:sz w:val="24"/>
          <w:szCs w:val="24"/>
          <w:lang w:val="en-US"/>
        </w:rPr>
        <w:t xml:space="preserve">• </w:t>
      </w:r>
      <w:r w:rsidRPr="00435153">
        <w:rPr>
          <w:rFonts w:ascii="Times New Roman" w:eastAsia="BookAntiqua" w:hAnsi="Times New Roman" w:cs="Times New Roman"/>
          <w:sz w:val="24"/>
          <w:szCs w:val="24"/>
          <w:lang w:val="en-US"/>
        </w:rPr>
        <w:t>An increased focus on monitoring and evaluation (M&amp;E) during the l</w:t>
      </w:r>
      <w:r>
        <w:rPr>
          <w:rFonts w:ascii="Times New Roman" w:eastAsia="BookAntiqua" w:hAnsi="Times New Roman" w:cs="Times New Roman"/>
          <w:sz w:val="24"/>
          <w:szCs w:val="24"/>
          <w:lang w:val="en-US"/>
        </w:rPr>
        <w:t xml:space="preserve">ast CPS period, welcomed by the </w:t>
      </w:r>
      <w:r w:rsidRPr="00435153">
        <w:rPr>
          <w:rFonts w:ascii="Times New Roman" w:eastAsia="BookAntiqua" w:hAnsi="Times New Roman" w:cs="Times New Roman"/>
          <w:sz w:val="24"/>
          <w:szCs w:val="24"/>
          <w:lang w:val="en-US"/>
        </w:rPr>
        <w:t>Turkish authorities, resulted in a deepening of the Turkey-WBG partnership.</w:t>
      </w: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eastAsia="SymbolMT" w:hAnsi="Times New Roman" w:cs="Times New Roman"/>
          <w:sz w:val="24"/>
          <w:szCs w:val="24"/>
          <w:lang w:val="en-US"/>
        </w:rPr>
        <w:t xml:space="preserve">• </w:t>
      </w:r>
      <w:r>
        <w:rPr>
          <w:rFonts w:ascii="Times New Roman" w:eastAsia="BookAntiqua" w:hAnsi="Times New Roman" w:cs="Times New Roman"/>
          <w:sz w:val="24"/>
          <w:szCs w:val="24"/>
          <w:lang w:val="en-US"/>
        </w:rPr>
        <w:t>In a number of fi</w:t>
      </w:r>
      <w:r w:rsidRPr="00435153">
        <w:rPr>
          <w:rFonts w:ascii="Times New Roman" w:eastAsia="BookAntiqua" w:hAnsi="Times New Roman" w:cs="Times New Roman"/>
          <w:sz w:val="24"/>
          <w:szCs w:val="24"/>
          <w:lang w:val="en-US"/>
        </w:rPr>
        <w:t>elds Turkey’s policies and reforms, some of which wer</w:t>
      </w:r>
      <w:r>
        <w:rPr>
          <w:rFonts w:ascii="Times New Roman" w:eastAsia="BookAntiqua" w:hAnsi="Times New Roman" w:cs="Times New Roman"/>
          <w:sz w:val="24"/>
          <w:szCs w:val="24"/>
          <w:lang w:val="en-US"/>
        </w:rPr>
        <w:t xml:space="preserve">e conducted in partnership with </w:t>
      </w:r>
      <w:r w:rsidRPr="00435153">
        <w:rPr>
          <w:rFonts w:ascii="Times New Roman" w:eastAsia="BookAntiqua" w:hAnsi="Times New Roman" w:cs="Times New Roman"/>
          <w:sz w:val="24"/>
          <w:szCs w:val="24"/>
          <w:lang w:val="en-US"/>
        </w:rPr>
        <w:t>the WBG, have gained international recognition. This provides an opp</w:t>
      </w:r>
      <w:r>
        <w:rPr>
          <w:rFonts w:ascii="Times New Roman" w:eastAsia="BookAntiqua" w:hAnsi="Times New Roman" w:cs="Times New Roman"/>
          <w:sz w:val="24"/>
          <w:szCs w:val="24"/>
          <w:lang w:val="en-US"/>
        </w:rPr>
        <w:t xml:space="preserve">ortunity for Turkey and the WBG </w:t>
      </w:r>
      <w:r w:rsidRPr="00435153">
        <w:rPr>
          <w:rFonts w:ascii="Times New Roman" w:eastAsia="BookAntiqua" w:hAnsi="Times New Roman" w:cs="Times New Roman"/>
          <w:sz w:val="24"/>
          <w:szCs w:val="24"/>
          <w:lang w:val="en-US"/>
        </w:rPr>
        <w:t>to work together in sharing knowledge and experience with countrie</w:t>
      </w:r>
      <w:r>
        <w:rPr>
          <w:rFonts w:ascii="Times New Roman" w:eastAsia="BookAntiqua" w:hAnsi="Times New Roman" w:cs="Times New Roman"/>
          <w:sz w:val="24"/>
          <w:szCs w:val="24"/>
          <w:lang w:val="en-US"/>
        </w:rPr>
        <w:t>s in the region and further afi</w:t>
      </w:r>
      <w:r w:rsidRPr="00435153">
        <w:rPr>
          <w:rFonts w:ascii="Times New Roman" w:eastAsia="BookAntiqua" w:hAnsi="Times New Roman" w:cs="Times New Roman"/>
          <w:sz w:val="24"/>
          <w:szCs w:val="24"/>
          <w:lang w:val="en-US"/>
        </w:rPr>
        <w:t>eld.</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435153"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435153">
        <w:rPr>
          <w:rFonts w:ascii="Times New Roman" w:hAnsi="Times New Roman" w:cs="Times New Roman"/>
          <w:sz w:val="24"/>
          <w:szCs w:val="24"/>
          <w:lang w:val="en-US"/>
        </w:rPr>
        <w:t xml:space="preserve">xii. </w:t>
      </w:r>
      <w:r w:rsidRPr="00435153">
        <w:rPr>
          <w:rFonts w:ascii="Times New Roman" w:hAnsi="Times New Roman" w:cs="Times New Roman"/>
          <w:b/>
          <w:bCs/>
          <w:sz w:val="24"/>
          <w:szCs w:val="24"/>
          <w:lang w:val="en-US"/>
        </w:rPr>
        <w:t xml:space="preserve">The outcomes of </w:t>
      </w:r>
      <w:r>
        <w:rPr>
          <w:rFonts w:ascii="Times New Roman" w:hAnsi="Times New Roman" w:cs="Times New Roman"/>
          <w:b/>
          <w:bCs/>
          <w:sz w:val="24"/>
          <w:szCs w:val="24"/>
          <w:lang w:val="en-US"/>
        </w:rPr>
        <w:t>this CPS are subject to signifi</w:t>
      </w:r>
      <w:r w:rsidRPr="00435153">
        <w:rPr>
          <w:rFonts w:ascii="Times New Roman" w:hAnsi="Times New Roman" w:cs="Times New Roman"/>
          <w:b/>
          <w:bCs/>
          <w:sz w:val="24"/>
          <w:szCs w:val="24"/>
          <w:lang w:val="en-US"/>
        </w:rPr>
        <w:t xml:space="preserve">cant external economic risks. </w:t>
      </w:r>
      <w:r>
        <w:rPr>
          <w:rFonts w:ascii="Times New Roman" w:eastAsia="BookAntiqua" w:hAnsi="Times New Roman" w:cs="Times New Roman"/>
          <w:sz w:val="24"/>
          <w:szCs w:val="24"/>
          <w:lang w:val="en-US"/>
        </w:rPr>
        <w:t xml:space="preserve">Increasing global </w:t>
      </w:r>
      <w:r w:rsidRPr="00435153">
        <w:rPr>
          <w:rFonts w:ascii="Times New Roman" w:eastAsia="BookAntiqua" w:hAnsi="Times New Roman" w:cs="Times New Roman"/>
          <w:sz w:val="24"/>
          <w:szCs w:val="24"/>
          <w:lang w:val="en-US"/>
        </w:rPr>
        <w:t>uncertainty and deteriorating prospects for economic growth and stabilit</w:t>
      </w:r>
      <w:r>
        <w:rPr>
          <w:rFonts w:ascii="Times New Roman" w:eastAsia="BookAntiqua" w:hAnsi="Times New Roman" w:cs="Times New Roman"/>
          <w:sz w:val="24"/>
          <w:szCs w:val="24"/>
          <w:lang w:val="en-US"/>
        </w:rPr>
        <w:t xml:space="preserve">y in Europe and other developed </w:t>
      </w:r>
      <w:r w:rsidRPr="00435153">
        <w:rPr>
          <w:rFonts w:ascii="Times New Roman" w:eastAsia="BookAntiqua" w:hAnsi="Times New Roman" w:cs="Times New Roman"/>
          <w:sz w:val="24"/>
          <w:szCs w:val="24"/>
          <w:lang w:val="en-US"/>
        </w:rPr>
        <w:t>economies create downside risks to global demand for Turkish exports, to ou</w:t>
      </w:r>
      <w:r>
        <w:rPr>
          <w:rFonts w:ascii="Times New Roman" w:eastAsia="BookAntiqua" w:hAnsi="Times New Roman" w:cs="Times New Roman"/>
          <w:sz w:val="24"/>
          <w:szCs w:val="24"/>
          <w:lang w:val="en-US"/>
        </w:rPr>
        <w:t>tput growth and correspondingly fi</w:t>
      </w:r>
      <w:r w:rsidRPr="00435153">
        <w:rPr>
          <w:rFonts w:ascii="Times New Roman" w:eastAsia="BookAntiqua" w:hAnsi="Times New Roman" w:cs="Times New Roman"/>
          <w:sz w:val="24"/>
          <w:szCs w:val="24"/>
          <w:lang w:val="en-US"/>
        </w:rPr>
        <w:t>scal performance, and to the availability of i</w:t>
      </w:r>
      <w:r>
        <w:rPr>
          <w:rFonts w:ascii="Times New Roman" w:eastAsia="BookAntiqua" w:hAnsi="Times New Roman" w:cs="Times New Roman"/>
          <w:sz w:val="24"/>
          <w:szCs w:val="24"/>
          <w:lang w:val="en-US"/>
        </w:rPr>
        <w:t xml:space="preserve">nternational private capital flows to finance Turkish investments. </w:t>
      </w:r>
      <w:r w:rsidRPr="00435153">
        <w:rPr>
          <w:rFonts w:ascii="Times New Roman" w:eastAsia="BookAntiqua" w:hAnsi="Times New Roman" w:cs="Times New Roman"/>
          <w:sz w:val="24"/>
          <w:szCs w:val="24"/>
          <w:lang w:val="en-US"/>
        </w:rPr>
        <w:t>The key to mitigating the most severe risks of further global economic di</w:t>
      </w:r>
      <w:r>
        <w:rPr>
          <w:rFonts w:ascii="Times New Roman" w:eastAsia="BookAntiqua" w:hAnsi="Times New Roman" w:cs="Times New Roman"/>
          <w:sz w:val="24"/>
          <w:szCs w:val="24"/>
          <w:lang w:val="en-US"/>
        </w:rPr>
        <w:t xml:space="preserve">sruption lies in sound economic </w:t>
      </w:r>
      <w:r w:rsidR="00BD120A">
        <w:rPr>
          <w:rFonts w:ascii="Times New Roman" w:eastAsia="BookAntiqua" w:hAnsi="Times New Roman" w:cs="Times New Roman"/>
          <w:sz w:val="24"/>
          <w:szCs w:val="24"/>
          <w:lang w:val="en-US"/>
        </w:rPr>
        <w:t>management -</w:t>
      </w:r>
      <w:r w:rsidRPr="00435153">
        <w:rPr>
          <w:rFonts w:ascii="Times New Roman" w:eastAsia="BookAntiqua" w:hAnsi="Times New Roman" w:cs="Times New Roman"/>
          <w:sz w:val="24"/>
          <w:szCs w:val="24"/>
          <w:lang w:val="en-US"/>
        </w:rPr>
        <w:t xml:space="preserve"> and in particular measures to contain </w:t>
      </w:r>
      <w:r w:rsidRPr="00435153">
        <w:rPr>
          <w:rFonts w:ascii="Times New Roman" w:eastAsia="BookAntiqua" w:hAnsi="Times New Roman" w:cs="Times New Roman"/>
          <w:sz w:val="24"/>
          <w:szCs w:val="24"/>
          <w:lang w:val="en-US"/>
        </w:rPr>
        <w:lastRenderedPageBreak/>
        <w:t xml:space="preserve">and </w:t>
      </w:r>
      <w:r>
        <w:rPr>
          <w:rFonts w:ascii="Times New Roman" w:eastAsia="BookAntiqua" w:hAnsi="Times New Roman" w:cs="Times New Roman"/>
          <w:sz w:val="24"/>
          <w:szCs w:val="24"/>
          <w:lang w:val="en-US"/>
        </w:rPr>
        <w:t xml:space="preserve">reduce the current account deficit. Over the medium </w:t>
      </w:r>
      <w:r w:rsidRPr="00435153">
        <w:rPr>
          <w:rFonts w:ascii="Times New Roman" w:eastAsia="BookAntiqua" w:hAnsi="Times New Roman" w:cs="Times New Roman"/>
          <w:sz w:val="24"/>
          <w:szCs w:val="24"/>
          <w:lang w:val="en-US"/>
        </w:rPr>
        <w:t>term, increased productivi</w:t>
      </w:r>
      <w:r>
        <w:rPr>
          <w:rFonts w:ascii="Times New Roman" w:eastAsia="BookAntiqua" w:hAnsi="Times New Roman" w:cs="Times New Roman"/>
          <w:sz w:val="24"/>
          <w:szCs w:val="24"/>
          <w:lang w:val="en-US"/>
        </w:rPr>
        <w:t>ty, the expansion and diversifi</w:t>
      </w:r>
      <w:r w:rsidRPr="00435153">
        <w:rPr>
          <w:rFonts w:ascii="Times New Roman" w:eastAsia="BookAntiqua" w:hAnsi="Times New Roman" w:cs="Times New Roman"/>
          <w:sz w:val="24"/>
          <w:szCs w:val="24"/>
          <w:lang w:val="en-US"/>
        </w:rPr>
        <w:t>cation of exports, higher domestic savings, and</w:t>
      </w:r>
      <w:r>
        <w:rPr>
          <w:rFonts w:ascii="Times New Roman" w:eastAsia="BookAntiqua" w:hAnsi="Times New Roman" w:cs="Times New Roman"/>
          <w:sz w:val="24"/>
          <w:szCs w:val="24"/>
          <w:lang w:val="en-US"/>
        </w:rPr>
        <w:t xml:space="preserve"> </w:t>
      </w:r>
      <w:r w:rsidRPr="00435153">
        <w:rPr>
          <w:rFonts w:ascii="Times New Roman" w:eastAsia="BookAntiqua" w:hAnsi="Times New Roman" w:cs="Times New Roman"/>
          <w:sz w:val="24"/>
          <w:szCs w:val="24"/>
          <w:lang w:val="en-US"/>
        </w:rPr>
        <w:t xml:space="preserve">greater </w:t>
      </w:r>
      <w:r>
        <w:rPr>
          <w:rFonts w:ascii="Times New Roman" w:eastAsia="BookAntiqua" w:hAnsi="Times New Roman" w:cs="Times New Roman"/>
          <w:sz w:val="24"/>
          <w:szCs w:val="24"/>
          <w:lang w:val="en-US"/>
        </w:rPr>
        <w:t>energy efficiency and diversifi</w:t>
      </w:r>
      <w:r w:rsidRPr="00435153">
        <w:rPr>
          <w:rFonts w:ascii="Times New Roman" w:eastAsia="BookAntiqua" w:hAnsi="Times New Roman" w:cs="Times New Roman"/>
          <w:sz w:val="24"/>
          <w:szCs w:val="24"/>
          <w:lang w:val="en-US"/>
        </w:rPr>
        <w:t>cation of energy sources are the keys to reducing Turkey’</w:t>
      </w:r>
      <w:r>
        <w:rPr>
          <w:rFonts w:ascii="Times New Roman" w:eastAsia="BookAntiqua" w:hAnsi="Times New Roman" w:cs="Times New Roman"/>
          <w:sz w:val="24"/>
          <w:szCs w:val="24"/>
          <w:lang w:val="en-US"/>
        </w:rPr>
        <w:t>s reliance on external fi</w:t>
      </w:r>
      <w:r w:rsidRPr="00435153">
        <w:rPr>
          <w:rFonts w:ascii="Times New Roman" w:eastAsia="BookAntiqua" w:hAnsi="Times New Roman" w:cs="Times New Roman"/>
          <w:sz w:val="24"/>
          <w:szCs w:val="24"/>
          <w:lang w:val="en-US"/>
        </w:rPr>
        <w:t>nance. Turkey faces political and economic risks to the effectiv</w:t>
      </w:r>
      <w:r>
        <w:rPr>
          <w:rFonts w:ascii="Times New Roman" w:eastAsia="BookAntiqua" w:hAnsi="Times New Roman" w:cs="Times New Roman"/>
          <w:sz w:val="24"/>
          <w:szCs w:val="24"/>
          <w:lang w:val="en-US"/>
        </w:rPr>
        <w:t xml:space="preserve">e implementation of complex and </w:t>
      </w:r>
      <w:r w:rsidR="00C853E5">
        <w:rPr>
          <w:rFonts w:ascii="Times New Roman" w:eastAsia="BookAntiqua" w:hAnsi="Times New Roman" w:cs="Times New Roman"/>
          <w:sz w:val="24"/>
          <w:szCs w:val="24"/>
          <w:lang w:val="en-US"/>
        </w:rPr>
        <w:t>challenging reforms -</w:t>
      </w:r>
      <w:r w:rsidRPr="00435153">
        <w:rPr>
          <w:rFonts w:ascii="Times New Roman" w:eastAsia="BookAntiqua" w:hAnsi="Times New Roman" w:cs="Times New Roman"/>
          <w:sz w:val="24"/>
          <w:szCs w:val="24"/>
          <w:lang w:val="en-US"/>
        </w:rPr>
        <w:t xml:space="preserve"> which can however be mitigated through systematic</w:t>
      </w:r>
      <w:r>
        <w:rPr>
          <w:rFonts w:ascii="Times New Roman" w:eastAsia="BookAntiqua" w:hAnsi="Times New Roman" w:cs="Times New Roman"/>
          <w:sz w:val="24"/>
          <w:szCs w:val="24"/>
          <w:lang w:val="en-US"/>
        </w:rPr>
        <w:t xml:space="preserve"> policy dialogue, participatory </w:t>
      </w:r>
      <w:r w:rsidRPr="00435153">
        <w:rPr>
          <w:rFonts w:ascii="Times New Roman" w:eastAsia="BookAntiqua" w:hAnsi="Times New Roman" w:cs="Times New Roman"/>
          <w:sz w:val="24"/>
          <w:szCs w:val="24"/>
          <w:lang w:val="en-US"/>
        </w:rPr>
        <w:t xml:space="preserve">project preparation and implementation and evidence-based analytic </w:t>
      </w:r>
      <w:r>
        <w:rPr>
          <w:rFonts w:ascii="Times New Roman" w:eastAsia="BookAntiqua" w:hAnsi="Times New Roman" w:cs="Times New Roman"/>
          <w:sz w:val="24"/>
          <w:szCs w:val="24"/>
          <w:lang w:val="en-US"/>
        </w:rPr>
        <w:t xml:space="preserve">work. Turkey also faces significant risk </w:t>
      </w:r>
      <w:r w:rsidRPr="00435153">
        <w:rPr>
          <w:rFonts w:ascii="Times New Roman" w:eastAsia="BookAntiqua" w:hAnsi="Times New Roman" w:cs="Times New Roman"/>
          <w:sz w:val="24"/>
          <w:szCs w:val="24"/>
          <w:lang w:val="en-US"/>
        </w:rPr>
        <w:t>of natural disaster as the recent, tragic earthquakes in the Van region have shown.</w:t>
      </w:r>
    </w:p>
    <w:p w:rsidR="00925405" w:rsidRDefault="00925405" w:rsidP="00925405">
      <w:pPr>
        <w:autoSpaceDE w:val="0"/>
        <w:autoSpaceDN w:val="0"/>
        <w:adjustRightInd w:val="0"/>
        <w:spacing w:after="0" w:line="240" w:lineRule="auto"/>
        <w:jc w:val="both"/>
        <w:rPr>
          <w:rFonts w:ascii="Times New Roman" w:hAnsi="Times New Roman" w:cs="Times New Roman"/>
          <w:b/>
          <w:sz w:val="24"/>
          <w:szCs w:val="24"/>
          <w:lang w:val="en-US"/>
        </w:rPr>
      </w:pPr>
    </w:p>
    <w:p w:rsidR="00925405"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435153">
        <w:rPr>
          <w:rFonts w:ascii="Times New Roman" w:hAnsi="Times New Roman" w:cs="Times New Roman"/>
          <w:b/>
          <w:bCs/>
          <w:sz w:val="24"/>
          <w:szCs w:val="24"/>
          <w:lang w:val="en-US"/>
        </w:rPr>
        <w:t>I. C</w:t>
      </w:r>
      <w:r>
        <w:rPr>
          <w:rFonts w:ascii="Times New Roman" w:hAnsi="Times New Roman" w:cs="Times New Roman"/>
          <w:b/>
          <w:bCs/>
          <w:sz w:val="24"/>
          <w:szCs w:val="24"/>
          <w:lang w:val="en-US"/>
        </w:rPr>
        <w:t>ountry context</w:t>
      </w:r>
    </w:p>
    <w:p w:rsidR="00925405" w:rsidRPr="00210639"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p>
    <w:p w:rsidR="00925405" w:rsidRDefault="00925405" w:rsidP="00925405">
      <w:pPr>
        <w:autoSpaceDE w:val="0"/>
        <w:autoSpaceDN w:val="0"/>
        <w:adjustRightInd w:val="0"/>
        <w:spacing w:after="0" w:line="240" w:lineRule="auto"/>
        <w:rPr>
          <w:rFonts w:ascii="Times New Roman" w:hAnsi="Times New Roman" w:cs="Times New Roman"/>
          <w:b/>
          <w:bCs/>
          <w:sz w:val="24"/>
          <w:szCs w:val="24"/>
          <w:lang w:val="en-US"/>
        </w:rPr>
      </w:pPr>
      <w:r w:rsidRPr="00210639">
        <w:rPr>
          <w:rFonts w:ascii="Times New Roman" w:hAnsi="Times New Roman" w:cs="Times New Roman"/>
          <w:b/>
          <w:bCs/>
          <w:sz w:val="24"/>
          <w:szCs w:val="24"/>
          <w:lang w:val="en-US"/>
        </w:rPr>
        <w:t>Country Background and Political &amp; Social Context</w:t>
      </w:r>
    </w:p>
    <w:p w:rsidR="00925405" w:rsidRPr="00210639" w:rsidRDefault="00925405" w:rsidP="00925405">
      <w:pPr>
        <w:autoSpaceDE w:val="0"/>
        <w:autoSpaceDN w:val="0"/>
        <w:adjustRightInd w:val="0"/>
        <w:spacing w:after="0" w:line="240" w:lineRule="auto"/>
        <w:rPr>
          <w:rFonts w:ascii="Times New Roman" w:hAnsi="Times New Roman" w:cs="Times New Roman"/>
          <w:b/>
          <w:bCs/>
          <w:sz w:val="24"/>
          <w:szCs w:val="24"/>
          <w:lang w:val="en-US"/>
        </w:rPr>
      </w:pPr>
    </w:p>
    <w:p w:rsidR="00925405" w:rsidRPr="00210639" w:rsidRDefault="00925405" w:rsidP="00925405">
      <w:pPr>
        <w:autoSpaceDE w:val="0"/>
        <w:autoSpaceDN w:val="0"/>
        <w:adjustRightInd w:val="0"/>
        <w:spacing w:after="0" w:line="240" w:lineRule="auto"/>
        <w:jc w:val="both"/>
        <w:rPr>
          <w:rFonts w:ascii="Times New Roman" w:hAnsi="Times New Roman" w:cs="Times New Roman"/>
          <w:b/>
          <w:bCs/>
          <w:sz w:val="24"/>
          <w:szCs w:val="24"/>
          <w:lang w:val="en-US"/>
        </w:rPr>
      </w:pPr>
      <w:r w:rsidRPr="00210639">
        <w:rPr>
          <w:rFonts w:ascii="Times New Roman" w:hAnsi="Times New Roman" w:cs="Times New Roman"/>
          <w:sz w:val="24"/>
          <w:szCs w:val="24"/>
          <w:lang w:val="en-US"/>
        </w:rPr>
        <w:t xml:space="preserve">1. </w:t>
      </w:r>
      <w:r w:rsidRPr="00210639">
        <w:rPr>
          <w:rFonts w:ascii="Times New Roman" w:hAnsi="Times New Roman" w:cs="Times New Roman"/>
          <w:b/>
          <w:bCs/>
          <w:sz w:val="24"/>
          <w:szCs w:val="24"/>
          <w:lang w:val="en-US"/>
        </w:rPr>
        <w:t>Turkey’s rapid growth and development over the last decade is on</w:t>
      </w:r>
      <w:r>
        <w:rPr>
          <w:rFonts w:ascii="Times New Roman" w:hAnsi="Times New Roman" w:cs="Times New Roman"/>
          <w:b/>
          <w:bCs/>
          <w:sz w:val="24"/>
          <w:szCs w:val="24"/>
          <w:lang w:val="en-US"/>
        </w:rPr>
        <w:t xml:space="preserve">e of the success stories of the </w:t>
      </w:r>
      <w:r w:rsidRPr="00210639">
        <w:rPr>
          <w:rFonts w:ascii="Times New Roman" w:hAnsi="Times New Roman" w:cs="Times New Roman"/>
          <w:b/>
          <w:bCs/>
          <w:sz w:val="24"/>
          <w:szCs w:val="24"/>
          <w:lang w:val="en-US"/>
        </w:rPr>
        <w:t xml:space="preserve">global economy. </w:t>
      </w:r>
      <w:r w:rsidRPr="00210639">
        <w:rPr>
          <w:rFonts w:ascii="Times New Roman" w:eastAsia="BookAntiqua" w:hAnsi="Times New Roman" w:cs="Times New Roman"/>
          <w:sz w:val="24"/>
          <w:szCs w:val="24"/>
          <w:lang w:val="en-US"/>
        </w:rPr>
        <w:t>Today, Turkey is an upper middle income country with a population of 75 million and a</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gross domestic product of US$</w:t>
      </w:r>
      <w:r w:rsidR="00C853E5">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735 billion, making it the 16th largest economy in the world. Per capita income</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almost tripled in less than a decade and now exceeds US$</w:t>
      </w:r>
      <w:r w:rsidR="00C853E5">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10,000. Standard &amp; Poor’s upgraded Turkey’s</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local currency credit rating to investment grade in September 2011. Turkey has already met the Millennium</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Development Goals (MDGs) for maternal and infant mortality as well as universal primary education, and</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is well on the way towards meeting its other MDGs by 2015. Turkey is an EU accession candidate country,</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a member of the Organization for Economic Cooperation and Development (OECD) and the G20, and an</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increasingly im</w:t>
      </w:r>
      <w:r w:rsidR="00C853E5">
        <w:rPr>
          <w:rFonts w:ascii="Times New Roman" w:eastAsia="BookAntiqua" w:hAnsi="Times New Roman" w:cs="Times New Roman"/>
          <w:sz w:val="24"/>
          <w:szCs w:val="24"/>
          <w:lang w:val="en-US"/>
        </w:rPr>
        <w:t>portant donor of bilateral Offi</w:t>
      </w:r>
      <w:r w:rsidRPr="00210639">
        <w:rPr>
          <w:rFonts w:ascii="Times New Roman" w:eastAsia="BookAntiqua" w:hAnsi="Times New Roman" w:cs="Times New Roman"/>
          <w:sz w:val="24"/>
          <w:szCs w:val="24"/>
          <w:lang w:val="en-US"/>
        </w:rPr>
        <w:t>cial Development Assistance (ODA).</w:t>
      </w:r>
      <w:r>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Turkey is one of the largest</w:t>
      </w:r>
      <w:r>
        <w:rPr>
          <w:rFonts w:ascii="Times New Roman" w:hAnsi="Times New Roman" w:cs="Times New Roman"/>
          <w:b/>
          <w:bCs/>
          <w:sz w:val="24"/>
          <w:szCs w:val="24"/>
          <w:lang w:val="en-US"/>
        </w:rPr>
        <w:t xml:space="preserve"> </w:t>
      </w:r>
      <w:r w:rsidRPr="00210639">
        <w:rPr>
          <w:rFonts w:ascii="Times New Roman" w:eastAsia="BookAntiqua" w:hAnsi="Times New Roman" w:cs="Times New Roman"/>
          <w:sz w:val="24"/>
          <w:szCs w:val="24"/>
          <w:lang w:val="en-US"/>
        </w:rPr>
        <w:t>middle income partners of the WBG.</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210639"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210639">
        <w:rPr>
          <w:rFonts w:ascii="Times New Roman" w:hAnsi="Times New Roman" w:cs="Times New Roman"/>
          <w:sz w:val="24"/>
          <w:szCs w:val="24"/>
          <w:lang w:val="en-US"/>
        </w:rPr>
        <w:t xml:space="preserve">2. </w:t>
      </w:r>
      <w:r w:rsidRPr="00210639">
        <w:rPr>
          <w:rFonts w:ascii="Times New Roman" w:hAnsi="Times New Roman" w:cs="Times New Roman"/>
          <w:b/>
          <w:bCs/>
          <w:sz w:val="24"/>
          <w:szCs w:val="24"/>
          <w:lang w:val="en-US"/>
        </w:rPr>
        <w:t xml:space="preserve">Economic growth has been aided by a long period of political stability. </w:t>
      </w:r>
      <w:r>
        <w:rPr>
          <w:rFonts w:ascii="Times New Roman" w:eastAsia="BookAntiqua" w:hAnsi="Times New Roman" w:cs="Times New Roman"/>
          <w:sz w:val="24"/>
          <w:szCs w:val="24"/>
          <w:lang w:val="en-US"/>
        </w:rPr>
        <w:t xml:space="preserve">In June 2011, the Justice </w:t>
      </w:r>
      <w:r w:rsidRPr="00210639">
        <w:rPr>
          <w:rFonts w:ascii="Times New Roman" w:eastAsia="BookAntiqua" w:hAnsi="Times New Roman" w:cs="Times New Roman"/>
          <w:sz w:val="24"/>
          <w:szCs w:val="24"/>
          <w:lang w:val="en-US"/>
        </w:rPr>
        <w:t>and Development Party (AKP) won a mandate for a third-term of single-part</w:t>
      </w:r>
      <w:r>
        <w:rPr>
          <w:rFonts w:ascii="Times New Roman" w:eastAsia="BookAntiqua" w:hAnsi="Times New Roman" w:cs="Times New Roman"/>
          <w:sz w:val="24"/>
          <w:szCs w:val="24"/>
          <w:lang w:val="en-US"/>
        </w:rPr>
        <w:t xml:space="preserve">y government, with 327 seats in </w:t>
      </w:r>
      <w:r w:rsidRPr="00210639">
        <w:rPr>
          <w:rFonts w:ascii="Times New Roman" w:eastAsia="BookAntiqua" w:hAnsi="Times New Roman" w:cs="Times New Roman"/>
          <w:sz w:val="24"/>
          <w:szCs w:val="24"/>
          <w:lang w:val="en-US"/>
        </w:rPr>
        <w:t>Turkey’s 550 seat unicameral Parliament. Constitutional reform is high on</w:t>
      </w:r>
      <w:r>
        <w:rPr>
          <w:rFonts w:ascii="Times New Roman" w:eastAsia="BookAntiqua" w:hAnsi="Times New Roman" w:cs="Times New Roman"/>
          <w:sz w:val="24"/>
          <w:szCs w:val="24"/>
          <w:lang w:val="en-US"/>
        </w:rPr>
        <w:t xml:space="preserve"> the agenda. The Turkish people </w:t>
      </w:r>
      <w:r w:rsidRPr="00210639">
        <w:rPr>
          <w:rFonts w:ascii="Times New Roman" w:eastAsia="BookAntiqua" w:hAnsi="Times New Roman" w:cs="Times New Roman"/>
          <w:sz w:val="24"/>
          <w:szCs w:val="24"/>
          <w:lang w:val="en-US"/>
        </w:rPr>
        <w:t>approved an earlier package of constitutional reforms by referendum in Sep</w:t>
      </w:r>
      <w:r>
        <w:rPr>
          <w:rFonts w:ascii="Times New Roman" w:eastAsia="BookAntiqua" w:hAnsi="Times New Roman" w:cs="Times New Roman"/>
          <w:sz w:val="24"/>
          <w:szCs w:val="24"/>
          <w:lang w:val="en-US"/>
        </w:rPr>
        <w:t xml:space="preserve">tember 2010. Parliament started </w:t>
      </w:r>
      <w:r w:rsidRPr="00210639">
        <w:rPr>
          <w:rFonts w:ascii="Times New Roman" w:eastAsia="BookAntiqua" w:hAnsi="Times New Roman" w:cs="Times New Roman"/>
          <w:sz w:val="24"/>
          <w:szCs w:val="24"/>
          <w:lang w:val="en-US"/>
        </w:rPr>
        <w:t>work on a new constitution in October 2011 and expects to complete a draft by the end of 20124</w:t>
      </w:r>
      <w:r>
        <w:rPr>
          <w:rFonts w:ascii="Times New Roman" w:eastAsia="BookAntiqua" w:hAnsi="Times New Roman" w:cs="Times New Roman"/>
          <w:sz w:val="24"/>
          <w:szCs w:val="24"/>
          <w:lang w:val="en-US"/>
        </w:rPr>
        <w:t xml:space="preserve">. Approval </w:t>
      </w:r>
      <w:r w:rsidRPr="00210639">
        <w:rPr>
          <w:rFonts w:ascii="Times New Roman" w:eastAsia="BookAntiqua" w:hAnsi="Times New Roman" w:cs="Times New Roman"/>
          <w:sz w:val="24"/>
          <w:szCs w:val="24"/>
          <w:lang w:val="en-US"/>
        </w:rPr>
        <w:t>of constitutional changes or a new constitution will require a two-third parli</w:t>
      </w:r>
      <w:r>
        <w:rPr>
          <w:rFonts w:ascii="Times New Roman" w:eastAsia="BookAntiqua" w:hAnsi="Times New Roman" w:cs="Times New Roman"/>
          <w:sz w:val="24"/>
          <w:szCs w:val="24"/>
          <w:lang w:val="en-US"/>
        </w:rPr>
        <w:t xml:space="preserve">amentary majority (367 votes or </w:t>
      </w:r>
      <w:r w:rsidRPr="00210639">
        <w:rPr>
          <w:rFonts w:ascii="Times New Roman" w:eastAsia="BookAntiqua" w:hAnsi="Times New Roman" w:cs="Times New Roman"/>
          <w:sz w:val="24"/>
          <w:szCs w:val="24"/>
          <w:lang w:val="en-US"/>
        </w:rPr>
        <w:t>more), or a 60 percent majority (330 votes or more) and adoption in a public referendum.</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210639"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210639">
        <w:rPr>
          <w:rFonts w:ascii="Times New Roman" w:hAnsi="Times New Roman" w:cs="Times New Roman"/>
          <w:sz w:val="24"/>
          <w:szCs w:val="24"/>
          <w:lang w:val="en-US"/>
        </w:rPr>
        <w:t xml:space="preserve">3. </w:t>
      </w:r>
      <w:r w:rsidRPr="00210639">
        <w:rPr>
          <w:rFonts w:ascii="Times New Roman" w:hAnsi="Times New Roman" w:cs="Times New Roman"/>
          <w:b/>
          <w:bCs/>
          <w:sz w:val="24"/>
          <w:szCs w:val="24"/>
          <w:lang w:val="en-US"/>
        </w:rPr>
        <w:t xml:space="preserve">Turkey’s regional and global role is growing. </w:t>
      </w:r>
      <w:r w:rsidRPr="00210639">
        <w:rPr>
          <w:rFonts w:ascii="Times New Roman" w:eastAsia="BookAntiqua" w:hAnsi="Times New Roman" w:cs="Times New Roman"/>
          <w:sz w:val="24"/>
          <w:szCs w:val="24"/>
          <w:lang w:val="en-US"/>
        </w:rPr>
        <w:t>Turkey has set out to stre</w:t>
      </w:r>
      <w:r>
        <w:rPr>
          <w:rFonts w:ascii="Times New Roman" w:eastAsia="BookAntiqua" w:hAnsi="Times New Roman" w:cs="Times New Roman"/>
          <w:sz w:val="24"/>
          <w:szCs w:val="24"/>
          <w:lang w:val="en-US"/>
        </w:rPr>
        <w:t xml:space="preserve">ngthen relations with countries </w:t>
      </w:r>
      <w:r w:rsidRPr="00210639">
        <w:rPr>
          <w:rFonts w:ascii="Times New Roman" w:eastAsia="BookAntiqua" w:hAnsi="Times New Roman" w:cs="Times New Roman"/>
          <w:sz w:val="24"/>
          <w:szCs w:val="24"/>
          <w:lang w:val="en-US"/>
        </w:rPr>
        <w:t>in the region, broadening its engagement with the Middle East and increas</w:t>
      </w:r>
      <w:r>
        <w:rPr>
          <w:rFonts w:ascii="Times New Roman" w:eastAsia="BookAntiqua" w:hAnsi="Times New Roman" w:cs="Times New Roman"/>
          <w:sz w:val="24"/>
          <w:szCs w:val="24"/>
          <w:lang w:val="en-US"/>
        </w:rPr>
        <w:t xml:space="preserve">ing its presence in Africa, the </w:t>
      </w:r>
      <w:r w:rsidRPr="00210639">
        <w:rPr>
          <w:rFonts w:ascii="Times New Roman" w:eastAsia="BookAntiqua" w:hAnsi="Times New Roman" w:cs="Times New Roman"/>
          <w:sz w:val="24"/>
          <w:szCs w:val="24"/>
          <w:lang w:val="en-US"/>
        </w:rPr>
        <w:t>Balkans, the Caucasus, and Central Asia. Recent political developments in t</w:t>
      </w:r>
      <w:r>
        <w:rPr>
          <w:rFonts w:ascii="Times New Roman" w:eastAsia="BookAntiqua" w:hAnsi="Times New Roman" w:cs="Times New Roman"/>
          <w:sz w:val="24"/>
          <w:szCs w:val="24"/>
          <w:lang w:val="en-US"/>
        </w:rPr>
        <w:t xml:space="preserve">he Middle East and North Africa </w:t>
      </w:r>
      <w:r w:rsidRPr="00210639">
        <w:rPr>
          <w:rFonts w:ascii="Times New Roman" w:eastAsia="BookAntiqua" w:hAnsi="Times New Roman" w:cs="Times New Roman"/>
          <w:sz w:val="24"/>
          <w:szCs w:val="24"/>
          <w:lang w:val="en-US"/>
        </w:rPr>
        <w:t>have focused regional and worldwide attention on Turkey’s political and e</w:t>
      </w:r>
      <w:r>
        <w:rPr>
          <w:rFonts w:ascii="Times New Roman" w:eastAsia="BookAntiqua" w:hAnsi="Times New Roman" w:cs="Times New Roman"/>
          <w:sz w:val="24"/>
          <w:szCs w:val="24"/>
          <w:lang w:val="en-US"/>
        </w:rPr>
        <w:t xml:space="preserve">conomic system, inspiring other </w:t>
      </w:r>
      <w:r w:rsidRPr="00210639">
        <w:rPr>
          <w:rFonts w:ascii="Times New Roman" w:eastAsia="BookAntiqua" w:hAnsi="Times New Roman" w:cs="Times New Roman"/>
          <w:sz w:val="24"/>
          <w:szCs w:val="24"/>
          <w:lang w:val="en-US"/>
        </w:rPr>
        <w:t>countries. Prime Minister Erdoğan acknowledged this interest in his June 2011</w:t>
      </w:r>
      <w:r>
        <w:rPr>
          <w:rFonts w:ascii="Times New Roman" w:eastAsia="BookAntiqua" w:hAnsi="Times New Roman" w:cs="Times New Roman"/>
          <w:sz w:val="24"/>
          <w:szCs w:val="24"/>
          <w:lang w:val="en-US"/>
        </w:rPr>
        <w:t xml:space="preserve"> election victory speech, which </w:t>
      </w:r>
      <w:r w:rsidRPr="00210639">
        <w:rPr>
          <w:rFonts w:ascii="Times New Roman" w:eastAsia="BookAntiqua" w:hAnsi="Times New Roman" w:cs="Times New Roman"/>
          <w:sz w:val="24"/>
          <w:szCs w:val="24"/>
          <w:lang w:val="en-US"/>
        </w:rPr>
        <w:t>outlined Turkey’s willingness to extend and deepen ties across the region.</w:t>
      </w:r>
    </w:p>
    <w:p w:rsidR="00925405" w:rsidRDefault="00925405" w:rsidP="00925405">
      <w:pPr>
        <w:autoSpaceDE w:val="0"/>
        <w:autoSpaceDN w:val="0"/>
        <w:adjustRightInd w:val="0"/>
        <w:spacing w:after="0" w:line="240" w:lineRule="auto"/>
        <w:jc w:val="both"/>
        <w:rPr>
          <w:rFonts w:ascii="Times New Roman" w:hAnsi="Times New Roman" w:cs="Times New Roman"/>
          <w:sz w:val="24"/>
          <w:szCs w:val="24"/>
          <w:lang w:val="en-US"/>
        </w:rPr>
      </w:pPr>
    </w:p>
    <w:p w:rsidR="00925405" w:rsidRPr="00210639"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210639">
        <w:rPr>
          <w:rFonts w:ascii="Times New Roman" w:hAnsi="Times New Roman" w:cs="Times New Roman"/>
          <w:sz w:val="24"/>
          <w:szCs w:val="24"/>
          <w:lang w:val="en-US"/>
        </w:rPr>
        <w:t xml:space="preserve">4. </w:t>
      </w:r>
      <w:r w:rsidRPr="00210639">
        <w:rPr>
          <w:rFonts w:ascii="Times New Roman" w:hAnsi="Times New Roman" w:cs="Times New Roman"/>
          <w:b/>
          <w:bCs/>
          <w:sz w:val="24"/>
          <w:szCs w:val="24"/>
          <w:lang w:val="en-US"/>
        </w:rPr>
        <w:t xml:space="preserve">Turkey made gains in social outcomes - supported by a decade of economic growth. </w:t>
      </w:r>
      <w:r>
        <w:rPr>
          <w:rFonts w:ascii="Times New Roman" w:eastAsia="BookAntiqua" w:hAnsi="Times New Roman" w:cs="Times New Roman"/>
          <w:sz w:val="24"/>
          <w:szCs w:val="24"/>
          <w:lang w:val="en-US"/>
        </w:rPr>
        <w:t xml:space="preserve">Poverty </w:t>
      </w:r>
      <w:r w:rsidRPr="00210639">
        <w:rPr>
          <w:rFonts w:ascii="Times New Roman" w:eastAsia="BookAntiqua" w:hAnsi="Times New Roman" w:cs="Times New Roman"/>
          <w:sz w:val="24"/>
          <w:szCs w:val="24"/>
          <w:lang w:val="en-US"/>
        </w:rPr>
        <w:t>decreased from 28.1 percent in 2003 to 17.1 percent in 2008 (using the natio</w:t>
      </w:r>
      <w:r>
        <w:rPr>
          <w:rFonts w:ascii="Times New Roman" w:eastAsia="BookAntiqua" w:hAnsi="Times New Roman" w:cs="Times New Roman"/>
          <w:sz w:val="24"/>
          <w:szCs w:val="24"/>
          <w:lang w:val="en-US"/>
        </w:rPr>
        <w:t xml:space="preserve">nal poverty line), but remained </w:t>
      </w:r>
      <w:r w:rsidRPr="00210639">
        <w:rPr>
          <w:rFonts w:ascii="Times New Roman" w:eastAsia="BookAntiqua" w:hAnsi="Times New Roman" w:cs="Times New Roman"/>
          <w:sz w:val="24"/>
          <w:szCs w:val="24"/>
          <w:lang w:val="en-US"/>
        </w:rPr>
        <w:t>unchanged in rural areas. Extreme poverty has virtually disappeared. Inequality</w:t>
      </w:r>
      <w:r>
        <w:rPr>
          <w:rFonts w:ascii="Times New Roman" w:eastAsia="BookAntiqua" w:hAnsi="Times New Roman" w:cs="Times New Roman"/>
          <w:sz w:val="24"/>
          <w:szCs w:val="24"/>
          <w:lang w:val="en-US"/>
        </w:rPr>
        <w:t xml:space="preserve"> has declined but still remains </w:t>
      </w:r>
      <w:r w:rsidRPr="00210639">
        <w:rPr>
          <w:rFonts w:ascii="Times New Roman" w:eastAsia="BookAntiqua" w:hAnsi="Times New Roman" w:cs="Times New Roman"/>
          <w:sz w:val="24"/>
          <w:szCs w:val="24"/>
          <w:lang w:val="en-US"/>
        </w:rPr>
        <w:t>a challenge. The crisis affected households mainly through the labor market. I</w:t>
      </w:r>
      <w:r>
        <w:rPr>
          <w:rFonts w:ascii="Times New Roman" w:eastAsia="BookAntiqua" w:hAnsi="Times New Roman" w:cs="Times New Roman"/>
          <w:sz w:val="24"/>
          <w:szCs w:val="24"/>
          <w:lang w:val="en-US"/>
        </w:rPr>
        <w:t xml:space="preserve">t led to a one percentage point </w:t>
      </w:r>
      <w:r w:rsidRPr="00210639">
        <w:rPr>
          <w:rFonts w:ascii="Times New Roman" w:eastAsia="BookAntiqua" w:hAnsi="Times New Roman" w:cs="Times New Roman"/>
          <w:sz w:val="24"/>
          <w:szCs w:val="24"/>
          <w:lang w:val="en-US"/>
        </w:rPr>
        <w:lastRenderedPageBreak/>
        <w:t>increase in the poverty rate in 200</w:t>
      </w:r>
      <w:r>
        <w:rPr>
          <w:rFonts w:ascii="Times New Roman" w:eastAsia="BookAntiqua" w:hAnsi="Times New Roman" w:cs="Times New Roman"/>
          <w:sz w:val="24"/>
          <w:szCs w:val="24"/>
          <w:lang w:val="en-US"/>
        </w:rPr>
        <w:t>9 according to offi</w:t>
      </w:r>
      <w:r w:rsidRPr="00210639">
        <w:rPr>
          <w:rFonts w:ascii="Times New Roman" w:eastAsia="BookAntiqua" w:hAnsi="Times New Roman" w:cs="Times New Roman"/>
          <w:sz w:val="24"/>
          <w:szCs w:val="24"/>
          <w:lang w:val="en-US"/>
        </w:rPr>
        <w:t>cial est</w:t>
      </w:r>
      <w:r>
        <w:rPr>
          <w:rFonts w:ascii="Times New Roman" w:eastAsia="BookAntiqua" w:hAnsi="Times New Roman" w:cs="Times New Roman"/>
          <w:sz w:val="24"/>
          <w:szCs w:val="24"/>
          <w:lang w:val="en-US"/>
        </w:rPr>
        <w:t>imates. Although more recent fi</w:t>
      </w:r>
      <w:r w:rsidRPr="00210639">
        <w:rPr>
          <w:rFonts w:ascii="Times New Roman" w:eastAsia="BookAntiqua" w:hAnsi="Times New Roman" w:cs="Times New Roman"/>
          <w:sz w:val="24"/>
          <w:szCs w:val="24"/>
          <w:lang w:val="en-US"/>
        </w:rPr>
        <w:t>gures are not yet</w:t>
      </w:r>
      <w:r>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available, poverty is likely to have come down after the crisis, as labor markets recovered quickly, with the</w:t>
      </w:r>
      <w:r>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seasonally adjusted unemployment rate falling to 9.1 percent and the employm</w:t>
      </w:r>
      <w:r>
        <w:rPr>
          <w:rFonts w:ascii="Times New Roman" w:eastAsia="BookAntiqua" w:hAnsi="Times New Roman" w:cs="Times New Roman"/>
          <w:sz w:val="24"/>
          <w:szCs w:val="24"/>
          <w:lang w:val="en-US"/>
        </w:rPr>
        <w:t xml:space="preserve">ent rate rising to 45.4 percent </w:t>
      </w:r>
      <w:r w:rsidRPr="00210639">
        <w:rPr>
          <w:rFonts w:ascii="Times New Roman" w:eastAsia="BookAntiqua" w:hAnsi="Times New Roman" w:cs="Times New Roman"/>
          <w:sz w:val="24"/>
          <w:szCs w:val="24"/>
          <w:lang w:val="en-US"/>
        </w:rPr>
        <w:t>by October 2011, improving on pre-crisis levels. Economic growth, social policies, and the nation-wide</w:t>
      </w:r>
      <w:r>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Health Transformation Program launched in 2003, are behind these achievements. The health status of the</w:t>
      </w:r>
      <w:r>
        <w:rPr>
          <w:rFonts w:ascii="Times New Roman" w:eastAsia="BookAntiqua" w:hAnsi="Times New Roman" w:cs="Times New Roman"/>
          <w:sz w:val="24"/>
          <w:szCs w:val="24"/>
          <w:lang w:val="en-US"/>
        </w:rPr>
        <w:t xml:space="preserve"> </w:t>
      </w:r>
      <w:r w:rsidRPr="00210639">
        <w:rPr>
          <w:rFonts w:ascii="Times New Roman" w:eastAsia="BookAntiqua" w:hAnsi="Times New Roman" w:cs="Times New Roman"/>
          <w:sz w:val="24"/>
          <w:szCs w:val="24"/>
          <w:lang w:val="en-US"/>
        </w:rPr>
        <w:t xml:space="preserve">Turkish people has improved, particularly that of women. Maternal mortality </w:t>
      </w:r>
      <w:r>
        <w:rPr>
          <w:rFonts w:ascii="Times New Roman" w:eastAsia="BookAntiqua" w:hAnsi="Times New Roman" w:cs="Times New Roman"/>
          <w:sz w:val="24"/>
          <w:szCs w:val="24"/>
          <w:lang w:val="en-US"/>
        </w:rPr>
        <w:t xml:space="preserve">fell from 29 deaths per 100,000 </w:t>
      </w:r>
      <w:r w:rsidRPr="00210639">
        <w:rPr>
          <w:rFonts w:ascii="Times New Roman" w:eastAsia="BookAntiqua" w:hAnsi="Times New Roman" w:cs="Times New Roman"/>
          <w:sz w:val="24"/>
          <w:szCs w:val="24"/>
          <w:lang w:val="en-US"/>
        </w:rPr>
        <w:t>live births in 2005 to 16.4 deaths in 2010, while infant mortality fell from 25 d</w:t>
      </w:r>
      <w:r>
        <w:rPr>
          <w:rFonts w:ascii="Times New Roman" w:eastAsia="BookAntiqua" w:hAnsi="Times New Roman" w:cs="Times New Roman"/>
          <w:sz w:val="24"/>
          <w:szCs w:val="24"/>
          <w:lang w:val="en-US"/>
        </w:rPr>
        <w:t xml:space="preserve">eaths in 2005 to 10.1 deaths in </w:t>
      </w:r>
      <w:r w:rsidRPr="00210639">
        <w:rPr>
          <w:rFonts w:ascii="Times New Roman" w:eastAsia="BookAntiqua" w:hAnsi="Times New Roman" w:cs="Times New Roman"/>
          <w:sz w:val="24"/>
          <w:szCs w:val="24"/>
          <w:lang w:val="en-US"/>
        </w:rPr>
        <w:t>2010, meeting the MDG targets for maternal and infant mortality. There has als</w:t>
      </w:r>
      <w:r>
        <w:rPr>
          <w:rFonts w:ascii="Times New Roman" w:eastAsia="BookAntiqua" w:hAnsi="Times New Roman" w:cs="Times New Roman"/>
          <w:sz w:val="24"/>
          <w:szCs w:val="24"/>
          <w:lang w:val="en-US"/>
        </w:rPr>
        <w:t xml:space="preserve">o been an increase in access to </w:t>
      </w:r>
      <w:r w:rsidRPr="00210639">
        <w:rPr>
          <w:rFonts w:ascii="Times New Roman" w:eastAsia="BookAntiqua" w:hAnsi="Times New Roman" w:cs="Times New Roman"/>
          <w:sz w:val="24"/>
          <w:szCs w:val="24"/>
          <w:lang w:val="en-US"/>
        </w:rPr>
        <w:t xml:space="preserve">education, particularly among girls: Turkey has virtually achieved universal </w:t>
      </w:r>
      <w:r>
        <w:rPr>
          <w:rFonts w:ascii="Times New Roman" w:eastAsia="BookAntiqua" w:hAnsi="Times New Roman" w:cs="Times New Roman"/>
          <w:sz w:val="24"/>
          <w:szCs w:val="24"/>
          <w:lang w:val="en-US"/>
        </w:rPr>
        <w:t xml:space="preserve">primary education and increased </w:t>
      </w:r>
      <w:r w:rsidRPr="00210639">
        <w:rPr>
          <w:rFonts w:ascii="Times New Roman" w:eastAsia="BookAntiqua" w:hAnsi="Times New Roman" w:cs="Times New Roman"/>
          <w:sz w:val="24"/>
          <w:szCs w:val="24"/>
          <w:lang w:val="en-US"/>
        </w:rPr>
        <w:t>secondary school enrollment to 69 percent.</w:t>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p>
    <w:p w:rsidR="00925405" w:rsidRPr="00210639"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sidRPr="00210639">
        <w:rPr>
          <w:rFonts w:ascii="Times New Roman" w:eastAsia="BookAntiqua" w:hAnsi="Times New Roman" w:cs="Times New Roman"/>
          <w:sz w:val="24"/>
          <w:szCs w:val="24"/>
          <w:lang w:val="en-US"/>
        </w:rPr>
        <w:t xml:space="preserve">5. </w:t>
      </w:r>
      <w:r w:rsidRPr="00210639">
        <w:rPr>
          <w:rFonts w:ascii="Times New Roman" w:eastAsia="BookAntiqua" w:hAnsi="Times New Roman" w:cs="Times New Roman"/>
          <w:b/>
          <w:bCs/>
          <w:sz w:val="24"/>
          <w:szCs w:val="24"/>
          <w:lang w:val="en-US"/>
        </w:rPr>
        <w:t xml:space="preserve">European Union (EU) accession continues to be a priority. </w:t>
      </w:r>
      <w:r w:rsidRPr="00210639">
        <w:rPr>
          <w:rFonts w:ascii="Times New Roman" w:eastAsia="BookAntiqua" w:hAnsi="Times New Roman" w:cs="Times New Roman"/>
          <w:sz w:val="24"/>
          <w:szCs w:val="24"/>
          <w:lang w:val="en-US"/>
        </w:rPr>
        <w:t>Turkey</w:t>
      </w:r>
      <w:r>
        <w:rPr>
          <w:rFonts w:ascii="Times New Roman" w:eastAsia="BookAntiqua" w:hAnsi="Times New Roman" w:cs="Times New Roman"/>
          <w:sz w:val="24"/>
          <w:szCs w:val="24"/>
          <w:lang w:val="en-US"/>
        </w:rPr>
        <w:t xml:space="preserve"> has a deep-rooted relationship </w:t>
      </w:r>
      <w:r w:rsidRPr="00210639">
        <w:rPr>
          <w:rFonts w:ascii="Times New Roman" w:eastAsia="BookAntiqua" w:hAnsi="Times New Roman" w:cs="Times New Roman"/>
          <w:sz w:val="24"/>
          <w:szCs w:val="24"/>
          <w:lang w:val="en-US"/>
        </w:rPr>
        <w:t>with the EU. The EU is Turkey’s largest economic partner, accounting for</w:t>
      </w:r>
      <w:r>
        <w:rPr>
          <w:rFonts w:ascii="Times New Roman" w:eastAsia="BookAntiqua" w:hAnsi="Times New Roman" w:cs="Times New Roman"/>
          <w:sz w:val="24"/>
          <w:szCs w:val="24"/>
          <w:lang w:val="en-US"/>
        </w:rPr>
        <w:t xml:space="preserve"> 46 percent of Turkish trade in </w:t>
      </w:r>
      <w:r w:rsidRPr="00210639">
        <w:rPr>
          <w:rFonts w:ascii="Times New Roman" w:eastAsia="BookAntiqua" w:hAnsi="Times New Roman" w:cs="Times New Roman"/>
          <w:sz w:val="24"/>
          <w:szCs w:val="24"/>
          <w:lang w:val="en-US"/>
        </w:rPr>
        <w:t>2010. Turkey became a candidate for full membership in the EU at the Helsinki summit in 1999</w:t>
      </w:r>
      <w:r>
        <w:rPr>
          <w:rFonts w:ascii="Times New Roman" w:eastAsia="BookAntiqua" w:hAnsi="Times New Roman" w:cs="Times New Roman"/>
          <w:sz w:val="24"/>
          <w:szCs w:val="24"/>
          <w:lang w:val="en-US"/>
        </w:rPr>
        <w:t xml:space="preserve">. Accession </w:t>
      </w:r>
      <w:r w:rsidRPr="00210639">
        <w:rPr>
          <w:rFonts w:ascii="Times New Roman" w:eastAsia="BookAntiqua" w:hAnsi="Times New Roman" w:cs="Times New Roman"/>
          <w:sz w:val="24"/>
          <w:szCs w:val="24"/>
          <w:lang w:val="en-US"/>
        </w:rPr>
        <w:t>negotiations began in October 2005 and continue to progress, albeit slower th</w:t>
      </w:r>
      <w:r>
        <w:rPr>
          <w:rFonts w:ascii="Times New Roman" w:eastAsia="BookAntiqua" w:hAnsi="Times New Roman" w:cs="Times New Roman"/>
          <w:sz w:val="24"/>
          <w:szCs w:val="24"/>
          <w:lang w:val="en-US"/>
        </w:rPr>
        <w:t xml:space="preserve">an Turkey would like. Following </w:t>
      </w:r>
      <w:r w:rsidRPr="00210639">
        <w:rPr>
          <w:rFonts w:ascii="Times New Roman" w:eastAsia="BookAntiqua" w:hAnsi="Times New Roman" w:cs="Times New Roman"/>
          <w:sz w:val="24"/>
          <w:szCs w:val="24"/>
          <w:lang w:val="en-US"/>
        </w:rPr>
        <w:t>the June 2011 elections, the Government upgraded the institution which ove</w:t>
      </w:r>
      <w:r>
        <w:rPr>
          <w:rFonts w:ascii="Times New Roman" w:eastAsia="BookAntiqua" w:hAnsi="Times New Roman" w:cs="Times New Roman"/>
          <w:sz w:val="24"/>
          <w:szCs w:val="24"/>
          <w:lang w:val="en-US"/>
        </w:rPr>
        <w:t xml:space="preserve">rsees EU accession into the new </w:t>
      </w:r>
      <w:r w:rsidRPr="00210639">
        <w:rPr>
          <w:rFonts w:ascii="Times New Roman" w:eastAsia="BookAntiqua" w:hAnsi="Times New Roman" w:cs="Times New Roman"/>
          <w:sz w:val="24"/>
          <w:szCs w:val="24"/>
          <w:lang w:val="en-US"/>
        </w:rPr>
        <w:t>Ministry for EU Affairs. Negotiations on 13 chapters of the Acquis Commun</w:t>
      </w:r>
      <w:r>
        <w:rPr>
          <w:rFonts w:ascii="Times New Roman" w:eastAsia="BookAntiqua" w:hAnsi="Times New Roman" w:cs="Times New Roman"/>
          <w:sz w:val="24"/>
          <w:szCs w:val="24"/>
          <w:lang w:val="en-US"/>
        </w:rPr>
        <w:t xml:space="preserve">autaire are currently open. One </w:t>
      </w:r>
      <w:r w:rsidRPr="00210639">
        <w:rPr>
          <w:rFonts w:ascii="Times New Roman" w:eastAsia="BookAntiqua" w:hAnsi="Times New Roman" w:cs="Times New Roman"/>
          <w:sz w:val="24"/>
          <w:szCs w:val="24"/>
          <w:lang w:val="en-US"/>
        </w:rPr>
        <w:t xml:space="preserve">of the 35 Chapters (Chapter 25: Science &amp; Research) has been opened and </w:t>
      </w:r>
      <w:r>
        <w:rPr>
          <w:rFonts w:ascii="Times New Roman" w:eastAsia="BookAntiqua" w:hAnsi="Times New Roman" w:cs="Times New Roman"/>
          <w:sz w:val="24"/>
          <w:szCs w:val="24"/>
          <w:lang w:val="en-US"/>
        </w:rPr>
        <w:t xml:space="preserve">provisionally closed. Turkey is </w:t>
      </w:r>
      <w:r w:rsidRPr="00210639">
        <w:rPr>
          <w:rFonts w:ascii="Times New Roman" w:eastAsia="BookAntiqua" w:hAnsi="Times New Roman" w:cs="Times New Roman"/>
          <w:sz w:val="24"/>
          <w:szCs w:val="24"/>
          <w:lang w:val="en-US"/>
        </w:rPr>
        <w:t>determined to continue its reforms on the way to EU accession, its strategic</w:t>
      </w:r>
      <w:r>
        <w:rPr>
          <w:rFonts w:ascii="Times New Roman" w:eastAsia="BookAntiqua" w:hAnsi="Times New Roman" w:cs="Times New Roman"/>
          <w:sz w:val="24"/>
          <w:szCs w:val="24"/>
          <w:lang w:val="en-US"/>
        </w:rPr>
        <w:t xml:space="preserve"> objective. Turkey has benefited signifi</w:t>
      </w:r>
      <w:r w:rsidRPr="00210639">
        <w:rPr>
          <w:rFonts w:ascii="Times New Roman" w:eastAsia="BookAntiqua" w:hAnsi="Times New Roman" w:cs="Times New Roman"/>
          <w:sz w:val="24"/>
          <w:szCs w:val="24"/>
          <w:lang w:val="en-US"/>
        </w:rPr>
        <w:t>cantly from deepening integrat</w:t>
      </w:r>
      <w:r>
        <w:rPr>
          <w:rFonts w:ascii="Times New Roman" w:eastAsia="BookAntiqua" w:hAnsi="Times New Roman" w:cs="Times New Roman"/>
          <w:sz w:val="24"/>
          <w:szCs w:val="24"/>
          <w:lang w:val="en-US"/>
        </w:rPr>
        <w:t xml:space="preserve">ion with the EU through growing </w:t>
      </w:r>
      <w:r w:rsidRPr="00210639">
        <w:rPr>
          <w:rFonts w:ascii="Times New Roman" w:eastAsia="BookAntiqua" w:hAnsi="Times New Roman" w:cs="Times New Roman"/>
          <w:sz w:val="24"/>
          <w:szCs w:val="24"/>
          <w:lang w:val="en-US"/>
        </w:rPr>
        <w:t>sop</w:t>
      </w:r>
      <w:r>
        <w:rPr>
          <w:rFonts w:ascii="Times New Roman" w:eastAsia="BookAntiqua" w:hAnsi="Times New Roman" w:cs="Times New Roman"/>
          <w:sz w:val="24"/>
          <w:szCs w:val="24"/>
          <w:lang w:val="en-US"/>
        </w:rPr>
        <w:t>histication of both exports and imports and access to fi</w:t>
      </w:r>
      <w:r w:rsidRPr="00210639">
        <w:rPr>
          <w:rFonts w:ascii="Times New Roman" w:eastAsia="BookAntiqua" w:hAnsi="Times New Roman" w:cs="Times New Roman"/>
          <w:sz w:val="24"/>
          <w:szCs w:val="24"/>
          <w:lang w:val="en-US"/>
        </w:rPr>
        <w:t>nancing.</w:t>
      </w:r>
    </w:p>
    <w:p w:rsidR="00925405" w:rsidRPr="00896870"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sidRPr="00210639">
        <w:rPr>
          <w:rFonts w:ascii="Times New Roman" w:eastAsia="BookAntiqua" w:hAnsi="Times New Roman" w:cs="Times New Roman"/>
          <w:b/>
          <w:sz w:val="24"/>
          <w:szCs w:val="24"/>
          <w:lang w:val="en-US"/>
        </w:rPr>
        <w:t>II. Economic context</w:t>
      </w: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Pr>
          <w:rFonts w:ascii="Times New Roman" w:eastAsia="BookAntiqua" w:hAnsi="Times New Roman" w:cs="Times New Roman"/>
          <w:b/>
          <w:noProof/>
          <w:sz w:val="24"/>
          <w:szCs w:val="24"/>
          <w:lang w:eastAsia="es-ES"/>
        </w:rPr>
        <w:drawing>
          <wp:inline distT="0" distB="0" distL="0" distR="0" wp14:anchorId="2D862878" wp14:editId="0ECB515F">
            <wp:extent cx="5391150" cy="198755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391150" cy="19875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Pr>
          <w:rFonts w:ascii="Times New Roman" w:eastAsia="BookAntiqua" w:hAnsi="Times New Roman" w:cs="Times New Roman"/>
          <w:b/>
          <w:noProof/>
          <w:sz w:val="24"/>
          <w:szCs w:val="24"/>
          <w:lang w:eastAsia="es-ES"/>
        </w:rPr>
        <w:drawing>
          <wp:inline distT="0" distB="0" distL="0" distR="0" wp14:anchorId="1E0443A2" wp14:editId="24A35620">
            <wp:extent cx="5397500" cy="21526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397500" cy="21526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sidRPr="002A4AB8">
        <w:rPr>
          <w:rFonts w:ascii="Times New Roman" w:eastAsia="BookAntiqua" w:hAnsi="Times New Roman" w:cs="Times New Roman"/>
          <w:b/>
          <w:sz w:val="24"/>
          <w:szCs w:val="24"/>
          <w:lang w:val="en-US"/>
        </w:rPr>
        <w:lastRenderedPageBreak/>
        <w:t>III. V</w:t>
      </w:r>
      <w:r>
        <w:rPr>
          <w:rFonts w:ascii="Times New Roman" w:eastAsia="BookAntiqua" w:hAnsi="Times New Roman" w:cs="Times New Roman"/>
          <w:b/>
          <w:sz w:val="24"/>
          <w:szCs w:val="24"/>
          <w:lang w:val="en-US"/>
        </w:rPr>
        <w:t>ision and development challenges</w:t>
      </w: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Pr>
          <w:rFonts w:ascii="Times New Roman" w:eastAsia="BookAntiqua" w:hAnsi="Times New Roman" w:cs="Times New Roman"/>
          <w:b/>
          <w:noProof/>
          <w:sz w:val="24"/>
          <w:szCs w:val="24"/>
          <w:lang w:eastAsia="es-ES"/>
        </w:rPr>
        <w:drawing>
          <wp:inline distT="0" distB="0" distL="0" distR="0" wp14:anchorId="1C1857E5" wp14:editId="6CF0A9DB">
            <wp:extent cx="5391150" cy="26352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391150" cy="26352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p>
    <w:p w:rsidR="00925405" w:rsidRPr="008F3B46" w:rsidRDefault="00925405" w:rsidP="00925405">
      <w:pPr>
        <w:autoSpaceDE w:val="0"/>
        <w:autoSpaceDN w:val="0"/>
        <w:adjustRightInd w:val="0"/>
        <w:spacing w:after="0" w:line="240" w:lineRule="auto"/>
        <w:jc w:val="both"/>
        <w:rPr>
          <w:rFonts w:ascii="Times New Roman" w:eastAsia="BookAntiqua" w:hAnsi="Times New Roman" w:cs="Times New Roman"/>
          <w:b/>
          <w:sz w:val="24"/>
          <w:szCs w:val="24"/>
          <w:lang w:val="en-US"/>
        </w:rPr>
      </w:pPr>
      <w:r>
        <w:rPr>
          <w:rFonts w:ascii="Times New Roman" w:eastAsia="BookAntiqua" w:hAnsi="Times New Roman" w:cs="Times New Roman"/>
          <w:b/>
          <w:noProof/>
          <w:sz w:val="24"/>
          <w:szCs w:val="24"/>
          <w:lang w:eastAsia="es-ES"/>
        </w:rPr>
        <w:drawing>
          <wp:inline distT="0" distB="0" distL="0" distR="0" wp14:anchorId="521F4D42" wp14:editId="15E3B445">
            <wp:extent cx="5397500" cy="325755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7500" cy="3257550"/>
                    </a:xfrm>
                    <a:prstGeom prst="rect">
                      <a:avLst/>
                    </a:prstGeom>
                    <a:noFill/>
                    <a:ln>
                      <a:noFill/>
                    </a:ln>
                  </pic:spPr>
                </pic:pic>
              </a:graphicData>
            </a:graphic>
          </wp:inline>
        </w:drawing>
      </w:r>
      <w:r>
        <w:rPr>
          <w:rFonts w:ascii="Times New Roman" w:eastAsia="BookAntiqua" w:hAnsi="Times New Roman" w:cs="Times New Roman"/>
          <w:b/>
          <w:sz w:val="24"/>
          <w:szCs w:val="24"/>
          <w:lang w:val="en-US"/>
        </w:rPr>
        <w:t xml:space="preserve"> </w:t>
      </w:r>
      <w:r>
        <w:rPr>
          <w:rFonts w:ascii="Times New Roman" w:eastAsia="BookAntiqua" w:hAnsi="Times New Roman" w:cs="Times New Roman"/>
          <w:b/>
          <w:noProof/>
          <w:sz w:val="24"/>
          <w:szCs w:val="24"/>
          <w:lang w:eastAsia="es-ES"/>
        </w:rPr>
        <w:drawing>
          <wp:inline distT="0" distB="0" distL="0" distR="0" wp14:anchorId="5B8785FE" wp14:editId="792C53B0">
            <wp:extent cx="2743200" cy="19431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43200" cy="1943100"/>
                    </a:xfrm>
                    <a:prstGeom prst="rect">
                      <a:avLst/>
                    </a:prstGeom>
                    <a:noFill/>
                    <a:ln>
                      <a:noFill/>
                    </a:ln>
                  </pic:spPr>
                </pic:pic>
              </a:graphicData>
            </a:graphic>
          </wp:inline>
        </w:drawing>
      </w:r>
      <w:r>
        <w:rPr>
          <w:rFonts w:ascii="Times New Roman" w:eastAsia="BookAntiqua" w:hAnsi="Times New Roman" w:cs="Times New Roman"/>
          <w:b/>
          <w:noProof/>
          <w:sz w:val="24"/>
          <w:szCs w:val="24"/>
          <w:lang w:eastAsia="es-ES"/>
        </w:rPr>
        <w:drawing>
          <wp:inline distT="0" distB="0" distL="0" distR="0" wp14:anchorId="34936ECA" wp14:editId="170E0BEF">
            <wp:extent cx="2647950" cy="200025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47950" cy="2000250"/>
                    </a:xfrm>
                    <a:prstGeom prst="rect">
                      <a:avLst/>
                    </a:prstGeom>
                    <a:noFill/>
                    <a:ln>
                      <a:noFill/>
                    </a:ln>
                  </pic:spPr>
                </pic:pic>
              </a:graphicData>
            </a:graphic>
          </wp:inline>
        </w:drawing>
      </w:r>
      <w:r w:rsidRPr="008F3B46">
        <w:rPr>
          <w:rFonts w:ascii="Times New Roman" w:eastAsia="BookAntiqua" w:hAnsi="Times New Roman" w:cs="Times New Roman"/>
          <w:sz w:val="20"/>
          <w:szCs w:val="20"/>
          <w:lang w:val="en-US"/>
        </w:rPr>
        <w:t>(</w:t>
      </w:r>
      <w:r>
        <w:rPr>
          <w:rFonts w:ascii="Times New Roman" w:eastAsia="BookAntiqua" w:hAnsi="Times New Roman" w:cs="Times New Roman"/>
          <w:sz w:val="20"/>
          <w:szCs w:val="20"/>
          <w:lang w:val="en-US"/>
        </w:rPr>
        <w:t>T</w:t>
      </w:r>
      <w:r w:rsidRPr="008F3B46">
        <w:rPr>
          <w:rFonts w:ascii="Times New Roman" w:eastAsia="BookAntiqua" w:hAnsi="Times New Roman" w:cs="Times New Roman"/>
          <w:sz w:val="20"/>
          <w:szCs w:val="20"/>
          <w:lang w:val="en-US"/>
        </w:rPr>
        <w:t>he extreme downside scenario described above the interest rate would go up, the exchange rate would depreciate and GDP contract and fiscal performance would deteriorate)</w:t>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C853E5" w:rsidRDefault="00C853E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Pr="008F3B46" w:rsidRDefault="00925405" w:rsidP="00925405">
      <w:pPr>
        <w:autoSpaceDE w:val="0"/>
        <w:autoSpaceDN w:val="0"/>
        <w:adjustRightInd w:val="0"/>
        <w:spacing w:after="0" w:line="240" w:lineRule="auto"/>
        <w:jc w:val="both"/>
        <w:rPr>
          <w:rFonts w:ascii="Times New Roman" w:eastAsia="BookAntiqua" w:hAnsi="Times New Roman" w:cs="Times New Roman"/>
          <w:sz w:val="24"/>
          <w:szCs w:val="24"/>
          <w:lang w:val="en-US"/>
        </w:rPr>
      </w:pPr>
      <w:r>
        <w:rPr>
          <w:rFonts w:ascii="Times New Roman" w:eastAsia="BookAntiqua" w:hAnsi="Times New Roman" w:cs="Times New Roman"/>
          <w:noProof/>
          <w:sz w:val="24"/>
          <w:szCs w:val="24"/>
          <w:lang w:eastAsia="es-ES"/>
        </w:rPr>
        <w:drawing>
          <wp:inline distT="0" distB="0" distL="0" distR="0" wp14:anchorId="4E125EA3" wp14:editId="31C57B24">
            <wp:extent cx="5397500" cy="6521450"/>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7500" cy="65214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24D5E7C9" wp14:editId="3D29BE05">
            <wp:extent cx="5397500" cy="69342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7500" cy="693420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3A18ACED" wp14:editId="5FAEE639">
            <wp:extent cx="5715000" cy="820420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15000" cy="820420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67F46A03" wp14:editId="2693E57C">
            <wp:extent cx="5784850" cy="8318500"/>
            <wp:effectExtent l="0" t="0" r="635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784850" cy="831850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542CDA0D" wp14:editId="57B5F5DE">
            <wp:extent cx="5829300" cy="74104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829300" cy="74104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76CD7F3D" wp14:editId="449736CE">
            <wp:extent cx="5702300" cy="72263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02300" cy="722630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09D30E9B" wp14:editId="00E40A02">
            <wp:extent cx="5683250" cy="777875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83250" cy="7778750"/>
                    </a:xfrm>
                    <a:prstGeom prst="rect">
                      <a:avLst/>
                    </a:prstGeom>
                    <a:noFill/>
                    <a:ln>
                      <a:noFill/>
                    </a:ln>
                  </pic:spPr>
                </pic:pic>
              </a:graphicData>
            </a:graphic>
          </wp:inline>
        </w:drawing>
      </w: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p>
    <w:p w:rsid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lastRenderedPageBreak/>
        <w:drawing>
          <wp:inline distT="0" distB="0" distL="0" distR="0" wp14:anchorId="08EDF2DF" wp14:editId="2B8B0BB6">
            <wp:extent cx="5562600" cy="3689350"/>
            <wp:effectExtent l="0" t="0" r="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62600" cy="3689350"/>
                    </a:xfrm>
                    <a:prstGeom prst="rect">
                      <a:avLst/>
                    </a:prstGeom>
                    <a:noFill/>
                    <a:ln>
                      <a:noFill/>
                    </a:ln>
                  </pic:spPr>
                </pic:pic>
              </a:graphicData>
            </a:graphic>
          </wp:inline>
        </w:drawing>
      </w:r>
    </w:p>
    <w:p w:rsidR="00925405" w:rsidRPr="00925405" w:rsidRDefault="00925405" w:rsidP="00925405">
      <w:pPr>
        <w:autoSpaceDE w:val="0"/>
        <w:autoSpaceDN w:val="0"/>
        <w:adjustRightInd w:val="0"/>
        <w:spacing w:after="0" w:line="240" w:lineRule="auto"/>
        <w:jc w:val="both"/>
        <w:rPr>
          <w:rFonts w:ascii="Times New Roman" w:eastAsia="BookAntiqua" w:hAnsi="Times New Roman" w:cs="Times New Roman"/>
          <w:sz w:val="20"/>
          <w:szCs w:val="20"/>
          <w:lang w:val="en-US"/>
        </w:rPr>
      </w:pPr>
      <w:r>
        <w:rPr>
          <w:rFonts w:ascii="Times New Roman" w:eastAsia="BookAntiqua" w:hAnsi="Times New Roman" w:cs="Times New Roman"/>
          <w:noProof/>
          <w:sz w:val="20"/>
          <w:szCs w:val="20"/>
          <w:lang w:eastAsia="es-ES"/>
        </w:rPr>
        <w:drawing>
          <wp:inline distT="0" distB="0" distL="0" distR="0" wp14:anchorId="250C46A5" wp14:editId="62FEE502">
            <wp:extent cx="5524500" cy="49784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24500" cy="4978400"/>
                    </a:xfrm>
                    <a:prstGeom prst="rect">
                      <a:avLst/>
                    </a:prstGeom>
                    <a:noFill/>
                    <a:ln>
                      <a:noFill/>
                    </a:ln>
                  </pic:spPr>
                </pic:pic>
              </a:graphicData>
            </a:graphic>
          </wp:inline>
        </w:drawing>
      </w:r>
    </w:p>
    <w:p w:rsidR="00925405" w:rsidRPr="00925405" w:rsidRDefault="00925405" w:rsidP="003969F7">
      <w:pPr>
        <w:jc w:val="both"/>
        <w:rPr>
          <w:rFonts w:ascii="Times New Roman" w:hAnsi="Times New Roman" w:cs="Times New Roman"/>
          <w:b/>
          <w:sz w:val="24"/>
          <w:szCs w:val="24"/>
        </w:rPr>
      </w:pPr>
    </w:p>
    <w:sectPr w:rsidR="00925405" w:rsidRPr="00925405" w:rsidSect="00925405">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ookAntiqua">
    <w:altName w:val="MS Mincho"/>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8"/>
    <w:family w:val="auto"/>
    <w:notTrueType/>
    <w:pitch w:val="default"/>
    <w:sig w:usb0="00000003" w:usb1="08080000" w:usb2="0000001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91D96"/>
    <w:multiLevelType w:val="multilevel"/>
    <w:tmpl w:val="8F32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5B030A"/>
    <w:multiLevelType w:val="multilevel"/>
    <w:tmpl w:val="9A728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2548D8"/>
    <w:multiLevelType w:val="multilevel"/>
    <w:tmpl w:val="A754F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EE24BCA"/>
    <w:multiLevelType w:val="multilevel"/>
    <w:tmpl w:val="B0CCF3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FA50E91"/>
    <w:multiLevelType w:val="multilevel"/>
    <w:tmpl w:val="1730E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2A185E"/>
    <w:multiLevelType w:val="multilevel"/>
    <w:tmpl w:val="2354B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DA81AF2"/>
    <w:multiLevelType w:val="multilevel"/>
    <w:tmpl w:val="B93A6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2700A78"/>
    <w:multiLevelType w:val="multilevel"/>
    <w:tmpl w:val="8A7A0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53C6090"/>
    <w:multiLevelType w:val="multilevel"/>
    <w:tmpl w:val="7C44B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76061B4"/>
    <w:multiLevelType w:val="multilevel"/>
    <w:tmpl w:val="1A688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CBD4272"/>
    <w:multiLevelType w:val="multilevel"/>
    <w:tmpl w:val="A432C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EF67906"/>
    <w:multiLevelType w:val="multilevel"/>
    <w:tmpl w:val="61960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1BC5261"/>
    <w:multiLevelType w:val="multilevel"/>
    <w:tmpl w:val="4B102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3C838D2"/>
    <w:multiLevelType w:val="multilevel"/>
    <w:tmpl w:val="32A67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CCD266C"/>
    <w:multiLevelType w:val="multilevel"/>
    <w:tmpl w:val="93ACB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CFB7B66"/>
    <w:multiLevelType w:val="multilevel"/>
    <w:tmpl w:val="79F63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3"/>
  </w:num>
  <w:num w:numId="4">
    <w:abstractNumId w:val="13"/>
  </w:num>
  <w:num w:numId="5">
    <w:abstractNumId w:val="10"/>
  </w:num>
  <w:num w:numId="6">
    <w:abstractNumId w:val="12"/>
  </w:num>
  <w:num w:numId="7">
    <w:abstractNumId w:val="5"/>
  </w:num>
  <w:num w:numId="8">
    <w:abstractNumId w:val="11"/>
  </w:num>
  <w:num w:numId="9">
    <w:abstractNumId w:val="1"/>
  </w:num>
  <w:num w:numId="10">
    <w:abstractNumId w:val="15"/>
  </w:num>
  <w:num w:numId="11">
    <w:abstractNumId w:val="8"/>
  </w:num>
  <w:num w:numId="12">
    <w:abstractNumId w:val="4"/>
  </w:num>
  <w:num w:numId="13">
    <w:abstractNumId w:val="7"/>
  </w:num>
  <w:num w:numId="14">
    <w:abstractNumId w:val="9"/>
  </w:num>
  <w:num w:numId="15">
    <w:abstractNumId w:val="6"/>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69F7"/>
    <w:rsid w:val="000964A5"/>
    <w:rsid w:val="002373E8"/>
    <w:rsid w:val="003969F7"/>
    <w:rsid w:val="0040444D"/>
    <w:rsid w:val="00412D0F"/>
    <w:rsid w:val="00491864"/>
    <w:rsid w:val="00492266"/>
    <w:rsid w:val="00496EE9"/>
    <w:rsid w:val="00547D92"/>
    <w:rsid w:val="00552883"/>
    <w:rsid w:val="00577FDE"/>
    <w:rsid w:val="005D3D37"/>
    <w:rsid w:val="00617CBB"/>
    <w:rsid w:val="006533A5"/>
    <w:rsid w:val="00686719"/>
    <w:rsid w:val="00887DE5"/>
    <w:rsid w:val="008944C0"/>
    <w:rsid w:val="00925405"/>
    <w:rsid w:val="009964D0"/>
    <w:rsid w:val="009B2F21"/>
    <w:rsid w:val="009B6E26"/>
    <w:rsid w:val="00A71C2E"/>
    <w:rsid w:val="00AD5B97"/>
    <w:rsid w:val="00B40E68"/>
    <w:rsid w:val="00B940B5"/>
    <w:rsid w:val="00BD120A"/>
    <w:rsid w:val="00C23FD6"/>
    <w:rsid w:val="00C51709"/>
    <w:rsid w:val="00C853E5"/>
    <w:rsid w:val="00DB1EDF"/>
    <w:rsid w:val="00E069BB"/>
    <w:rsid w:val="00E257CC"/>
    <w:rsid w:val="00E3231C"/>
    <w:rsid w:val="00E413F6"/>
    <w:rsid w:val="00F35568"/>
    <w:rsid w:val="00F5230B"/>
    <w:rsid w:val="00F82D4A"/>
    <w:rsid w:val="00FE115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69F7"/>
  </w:style>
  <w:style w:type="paragraph" w:styleId="Ttulo1">
    <w:name w:val="heading 1"/>
    <w:basedOn w:val="Normal"/>
    <w:next w:val="Normal"/>
    <w:link w:val="Ttulo1Car"/>
    <w:uiPriority w:val="9"/>
    <w:qFormat/>
    <w:rsid w:val="003969F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3969F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3969F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3969F7"/>
    <w:rPr>
      <w:strike w:val="0"/>
      <w:dstrike w:val="0"/>
      <w:color w:val="BB4B0D"/>
      <w:sz w:val="24"/>
      <w:szCs w:val="24"/>
      <w:u w:val="none"/>
      <w:effect w:val="none"/>
      <w:shd w:val="clear" w:color="auto" w:fill="auto"/>
      <w:vertAlign w:val="baseline"/>
    </w:rPr>
  </w:style>
  <w:style w:type="character" w:styleId="Textoennegrita">
    <w:name w:val="Strong"/>
    <w:basedOn w:val="Fuentedeprrafopredeter"/>
    <w:uiPriority w:val="22"/>
    <w:qFormat/>
    <w:rsid w:val="003969F7"/>
    <w:rPr>
      <w:b/>
      <w:bCs/>
    </w:rPr>
  </w:style>
  <w:style w:type="paragraph" w:styleId="NormalWeb">
    <w:name w:val="Normal (Web)"/>
    <w:basedOn w:val="Normal"/>
    <w:uiPriority w:val="99"/>
    <w:unhideWhenUsed/>
    <w:rsid w:val="003969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3969F7"/>
    <w:rPr>
      <w:b/>
      <w:bCs/>
      <w:i w:val="0"/>
      <w:iCs w:val="0"/>
    </w:rPr>
  </w:style>
  <w:style w:type="paragraph" w:styleId="Textodeglobo">
    <w:name w:val="Balloon Text"/>
    <w:basedOn w:val="Normal"/>
    <w:link w:val="TextodegloboCar"/>
    <w:uiPriority w:val="99"/>
    <w:semiHidden/>
    <w:unhideWhenUsed/>
    <w:rsid w:val="003969F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69F7"/>
    <w:rPr>
      <w:rFonts w:ascii="Tahoma" w:hAnsi="Tahoma" w:cs="Tahoma"/>
      <w:sz w:val="16"/>
      <w:szCs w:val="16"/>
    </w:rPr>
  </w:style>
  <w:style w:type="character" w:customStyle="1" w:styleId="Ttulo1Car">
    <w:name w:val="Título 1 Car"/>
    <w:basedOn w:val="Fuentedeprrafopredeter"/>
    <w:link w:val="Ttulo1"/>
    <w:uiPriority w:val="9"/>
    <w:rsid w:val="003969F7"/>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3969F7"/>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3969F7"/>
    <w:rPr>
      <w:rFonts w:asciiTheme="majorHAnsi" w:eastAsiaTheme="majorEastAsia" w:hAnsiTheme="majorHAnsi" w:cstheme="majorBidi"/>
      <w:b/>
      <w:bCs/>
      <w:color w:val="4F81BD" w:themeColor="accent1"/>
      <w:lang w:eastAsia="es-ES"/>
    </w:rPr>
  </w:style>
  <w:style w:type="paragraph" w:customStyle="1" w:styleId="ingress">
    <w:name w:val="ingress"/>
    <w:basedOn w:val="Normal"/>
    <w:rsid w:val="003969F7"/>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3969F7"/>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3969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s-rtecustom-altbaslikkirmizi1">
    <w:name w:val="ms-rtecustom-altbaslikkirmizi1"/>
    <w:basedOn w:val="Fuentedeprrafopredeter"/>
    <w:rsid w:val="00B940B5"/>
    <w:rPr>
      <w:rFonts w:ascii="Arial" w:hAnsi="Arial" w:cs="Arial" w:hint="default"/>
      <w:b/>
      <w:bCs/>
      <w:sz w:val="21"/>
      <w:szCs w:val="21"/>
    </w:rPr>
  </w:style>
  <w:style w:type="character" w:customStyle="1" w:styleId="ms-rtecustom-anabaslikgri1">
    <w:name w:val="ms-rtecustom-anabaslikgri1"/>
    <w:basedOn w:val="Fuentedeprrafopredeter"/>
    <w:rsid w:val="00B940B5"/>
    <w:rPr>
      <w:rFonts w:ascii="Arial" w:hAnsi="Arial" w:cs="Arial" w:hint="default"/>
      <w:b/>
      <w:bCs/>
      <w:vanish w:val="0"/>
      <w:webHidden w:val="0"/>
      <w:color w:val="666666"/>
      <w:sz w:val="29"/>
      <w:szCs w:val="29"/>
      <w:specVanish w:val="0"/>
    </w:rPr>
  </w:style>
  <w:style w:type="paragraph" w:customStyle="1" w:styleId="cont-title-date">
    <w:name w:val="cont-title-date"/>
    <w:basedOn w:val="Normal"/>
    <w:rsid w:val="00925405"/>
    <w:pPr>
      <w:spacing w:before="100" w:beforeAutospacing="1" w:after="100" w:afterAutospacing="1" w:line="240" w:lineRule="auto"/>
    </w:pPr>
    <w:rPr>
      <w:rFonts w:ascii="Times New Roman" w:eastAsia="Times New Roman" w:hAnsi="Times New Roman" w:cs="Times New Roman"/>
      <w:color w:val="666666"/>
      <w:sz w:val="17"/>
      <w:szCs w:val="17"/>
      <w:lang w:eastAsia="es-ES"/>
    </w:rPr>
  </w:style>
  <w:style w:type="paragraph" w:styleId="z-Principiodelformulario">
    <w:name w:val="HTML Top of Form"/>
    <w:basedOn w:val="Normal"/>
    <w:next w:val="Normal"/>
    <w:link w:val="z-PrincipiodelformularioCar"/>
    <w:hidden/>
    <w:uiPriority w:val="99"/>
    <w:semiHidden/>
    <w:unhideWhenUsed/>
    <w:rsid w:val="00925405"/>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925405"/>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925405"/>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925405"/>
    <w:rPr>
      <w:rFonts w:ascii="Arial" w:eastAsia="Times New Roman" w:hAnsi="Arial" w:cs="Arial"/>
      <w:vanish/>
      <w:sz w:val="16"/>
      <w:szCs w:val="16"/>
      <w:lang w:eastAsia="es-ES"/>
    </w:rPr>
  </w:style>
  <w:style w:type="paragraph" w:styleId="Prrafodelista">
    <w:name w:val="List Paragraph"/>
    <w:basedOn w:val="Normal"/>
    <w:uiPriority w:val="34"/>
    <w:qFormat/>
    <w:rsid w:val="0092540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69F7"/>
  </w:style>
  <w:style w:type="paragraph" w:styleId="Ttulo1">
    <w:name w:val="heading 1"/>
    <w:basedOn w:val="Normal"/>
    <w:next w:val="Normal"/>
    <w:link w:val="Ttulo1Car"/>
    <w:uiPriority w:val="9"/>
    <w:qFormat/>
    <w:rsid w:val="003969F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3969F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3969F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3969F7"/>
    <w:rPr>
      <w:strike w:val="0"/>
      <w:dstrike w:val="0"/>
      <w:color w:val="BB4B0D"/>
      <w:sz w:val="24"/>
      <w:szCs w:val="24"/>
      <w:u w:val="none"/>
      <w:effect w:val="none"/>
      <w:shd w:val="clear" w:color="auto" w:fill="auto"/>
      <w:vertAlign w:val="baseline"/>
    </w:rPr>
  </w:style>
  <w:style w:type="character" w:styleId="Textoennegrita">
    <w:name w:val="Strong"/>
    <w:basedOn w:val="Fuentedeprrafopredeter"/>
    <w:uiPriority w:val="22"/>
    <w:qFormat/>
    <w:rsid w:val="003969F7"/>
    <w:rPr>
      <w:b/>
      <w:bCs/>
    </w:rPr>
  </w:style>
  <w:style w:type="paragraph" w:styleId="NormalWeb">
    <w:name w:val="Normal (Web)"/>
    <w:basedOn w:val="Normal"/>
    <w:uiPriority w:val="99"/>
    <w:unhideWhenUsed/>
    <w:rsid w:val="003969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3969F7"/>
    <w:rPr>
      <w:b/>
      <w:bCs/>
      <w:i w:val="0"/>
      <w:iCs w:val="0"/>
    </w:rPr>
  </w:style>
  <w:style w:type="paragraph" w:styleId="Textodeglobo">
    <w:name w:val="Balloon Text"/>
    <w:basedOn w:val="Normal"/>
    <w:link w:val="TextodegloboCar"/>
    <w:uiPriority w:val="99"/>
    <w:semiHidden/>
    <w:unhideWhenUsed/>
    <w:rsid w:val="003969F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69F7"/>
    <w:rPr>
      <w:rFonts w:ascii="Tahoma" w:hAnsi="Tahoma" w:cs="Tahoma"/>
      <w:sz w:val="16"/>
      <w:szCs w:val="16"/>
    </w:rPr>
  </w:style>
  <w:style w:type="character" w:customStyle="1" w:styleId="Ttulo1Car">
    <w:name w:val="Título 1 Car"/>
    <w:basedOn w:val="Fuentedeprrafopredeter"/>
    <w:link w:val="Ttulo1"/>
    <w:uiPriority w:val="9"/>
    <w:rsid w:val="003969F7"/>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3969F7"/>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3969F7"/>
    <w:rPr>
      <w:rFonts w:asciiTheme="majorHAnsi" w:eastAsiaTheme="majorEastAsia" w:hAnsiTheme="majorHAnsi" w:cstheme="majorBidi"/>
      <w:b/>
      <w:bCs/>
      <w:color w:val="4F81BD" w:themeColor="accent1"/>
      <w:lang w:eastAsia="es-ES"/>
    </w:rPr>
  </w:style>
  <w:style w:type="paragraph" w:customStyle="1" w:styleId="ingress">
    <w:name w:val="ingress"/>
    <w:basedOn w:val="Normal"/>
    <w:rsid w:val="003969F7"/>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3969F7"/>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western">
    <w:name w:val="western"/>
    <w:basedOn w:val="Normal"/>
    <w:rsid w:val="003969F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ms-rtecustom-altbaslikkirmizi1">
    <w:name w:val="ms-rtecustom-altbaslikkirmizi1"/>
    <w:basedOn w:val="Fuentedeprrafopredeter"/>
    <w:rsid w:val="00B940B5"/>
    <w:rPr>
      <w:rFonts w:ascii="Arial" w:hAnsi="Arial" w:cs="Arial" w:hint="default"/>
      <w:b/>
      <w:bCs/>
      <w:sz w:val="21"/>
      <w:szCs w:val="21"/>
    </w:rPr>
  </w:style>
  <w:style w:type="character" w:customStyle="1" w:styleId="ms-rtecustom-anabaslikgri1">
    <w:name w:val="ms-rtecustom-anabaslikgri1"/>
    <w:basedOn w:val="Fuentedeprrafopredeter"/>
    <w:rsid w:val="00B940B5"/>
    <w:rPr>
      <w:rFonts w:ascii="Arial" w:hAnsi="Arial" w:cs="Arial" w:hint="default"/>
      <w:b/>
      <w:bCs/>
      <w:vanish w:val="0"/>
      <w:webHidden w:val="0"/>
      <w:color w:val="666666"/>
      <w:sz w:val="29"/>
      <w:szCs w:val="29"/>
      <w:specVanish w:val="0"/>
    </w:rPr>
  </w:style>
  <w:style w:type="paragraph" w:customStyle="1" w:styleId="cont-title-date">
    <w:name w:val="cont-title-date"/>
    <w:basedOn w:val="Normal"/>
    <w:rsid w:val="00925405"/>
    <w:pPr>
      <w:spacing w:before="100" w:beforeAutospacing="1" w:after="100" w:afterAutospacing="1" w:line="240" w:lineRule="auto"/>
    </w:pPr>
    <w:rPr>
      <w:rFonts w:ascii="Times New Roman" w:eastAsia="Times New Roman" w:hAnsi="Times New Roman" w:cs="Times New Roman"/>
      <w:color w:val="666666"/>
      <w:sz w:val="17"/>
      <w:szCs w:val="17"/>
      <w:lang w:eastAsia="es-ES"/>
    </w:rPr>
  </w:style>
  <w:style w:type="paragraph" w:styleId="z-Principiodelformulario">
    <w:name w:val="HTML Top of Form"/>
    <w:basedOn w:val="Normal"/>
    <w:next w:val="Normal"/>
    <w:link w:val="z-PrincipiodelformularioCar"/>
    <w:hidden/>
    <w:uiPriority w:val="99"/>
    <w:semiHidden/>
    <w:unhideWhenUsed/>
    <w:rsid w:val="00925405"/>
    <w:pPr>
      <w:pBdr>
        <w:bottom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PrincipiodelformularioCar">
    <w:name w:val="z-Principio del formulario Car"/>
    <w:basedOn w:val="Fuentedeprrafopredeter"/>
    <w:link w:val="z-Principiodelformulario"/>
    <w:uiPriority w:val="99"/>
    <w:semiHidden/>
    <w:rsid w:val="00925405"/>
    <w:rPr>
      <w:rFonts w:ascii="Arial" w:eastAsia="Times New Roman" w:hAnsi="Arial" w:cs="Arial"/>
      <w:vanish/>
      <w:sz w:val="16"/>
      <w:szCs w:val="16"/>
      <w:lang w:eastAsia="es-ES"/>
    </w:rPr>
  </w:style>
  <w:style w:type="paragraph" w:styleId="z-Finaldelformulario">
    <w:name w:val="HTML Bottom of Form"/>
    <w:basedOn w:val="Normal"/>
    <w:next w:val="Normal"/>
    <w:link w:val="z-FinaldelformularioCar"/>
    <w:hidden/>
    <w:uiPriority w:val="99"/>
    <w:semiHidden/>
    <w:unhideWhenUsed/>
    <w:rsid w:val="00925405"/>
    <w:pPr>
      <w:pBdr>
        <w:top w:val="single" w:sz="6" w:space="1" w:color="auto"/>
      </w:pBdr>
      <w:spacing w:after="0" w:line="240" w:lineRule="auto"/>
      <w:jc w:val="center"/>
    </w:pPr>
    <w:rPr>
      <w:rFonts w:ascii="Arial" w:eastAsia="Times New Roman" w:hAnsi="Arial" w:cs="Arial"/>
      <w:vanish/>
      <w:sz w:val="16"/>
      <w:szCs w:val="16"/>
      <w:lang w:eastAsia="es-ES"/>
    </w:rPr>
  </w:style>
  <w:style w:type="character" w:customStyle="1" w:styleId="z-FinaldelformularioCar">
    <w:name w:val="z-Final del formulario Car"/>
    <w:basedOn w:val="Fuentedeprrafopredeter"/>
    <w:link w:val="z-Finaldelformulario"/>
    <w:uiPriority w:val="99"/>
    <w:semiHidden/>
    <w:rsid w:val="00925405"/>
    <w:rPr>
      <w:rFonts w:ascii="Arial" w:eastAsia="Times New Roman" w:hAnsi="Arial" w:cs="Arial"/>
      <w:vanish/>
      <w:sz w:val="16"/>
      <w:szCs w:val="16"/>
      <w:lang w:eastAsia="es-ES"/>
    </w:rPr>
  </w:style>
  <w:style w:type="paragraph" w:styleId="Prrafodelista">
    <w:name w:val="List Paragraph"/>
    <w:basedOn w:val="Normal"/>
    <w:uiPriority w:val="34"/>
    <w:qFormat/>
    <w:rsid w:val="0092540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100295">
      <w:bodyDiv w:val="1"/>
      <w:marLeft w:val="0"/>
      <w:marRight w:val="0"/>
      <w:marTop w:val="0"/>
      <w:marBottom w:val="0"/>
      <w:divBdr>
        <w:top w:val="none" w:sz="0" w:space="0" w:color="auto"/>
        <w:left w:val="none" w:sz="0" w:space="0" w:color="auto"/>
        <w:bottom w:val="none" w:sz="0" w:space="0" w:color="auto"/>
        <w:right w:val="none" w:sz="0" w:space="0" w:color="auto"/>
      </w:divBdr>
      <w:divsChild>
        <w:div w:id="1571964720">
          <w:marLeft w:val="0"/>
          <w:marRight w:val="0"/>
          <w:marTop w:val="0"/>
          <w:marBottom w:val="0"/>
          <w:divBdr>
            <w:top w:val="none" w:sz="0" w:space="0" w:color="auto"/>
            <w:left w:val="none" w:sz="0" w:space="0" w:color="auto"/>
            <w:bottom w:val="none" w:sz="0" w:space="0" w:color="auto"/>
            <w:right w:val="none" w:sz="0" w:space="0" w:color="auto"/>
          </w:divBdr>
          <w:divsChild>
            <w:div w:id="641927318">
              <w:marLeft w:val="0"/>
              <w:marRight w:val="0"/>
              <w:marTop w:val="0"/>
              <w:marBottom w:val="0"/>
              <w:divBdr>
                <w:top w:val="none" w:sz="0" w:space="0" w:color="auto"/>
                <w:left w:val="none" w:sz="0" w:space="0" w:color="auto"/>
                <w:bottom w:val="none" w:sz="0" w:space="0" w:color="auto"/>
                <w:right w:val="none" w:sz="0" w:space="0" w:color="auto"/>
              </w:divBdr>
              <w:divsChild>
                <w:div w:id="1382562274">
                  <w:marLeft w:val="0"/>
                  <w:marRight w:val="0"/>
                  <w:marTop w:val="0"/>
                  <w:marBottom w:val="0"/>
                  <w:divBdr>
                    <w:top w:val="none" w:sz="0" w:space="0" w:color="auto"/>
                    <w:left w:val="none" w:sz="0" w:space="0" w:color="auto"/>
                    <w:bottom w:val="none" w:sz="0" w:space="0" w:color="auto"/>
                    <w:right w:val="none" w:sz="0" w:space="0" w:color="auto"/>
                  </w:divBdr>
                  <w:divsChild>
                    <w:div w:id="546529466">
                      <w:marLeft w:val="0"/>
                      <w:marRight w:val="0"/>
                      <w:marTop w:val="0"/>
                      <w:marBottom w:val="0"/>
                      <w:divBdr>
                        <w:top w:val="none" w:sz="0" w:space="0" w:color="auto"/>
                        <w:left w:val="none" w:sz="0" w:space="0" w:color="auto"/>
                        <w:bottom w:val="none" w:sz="0" w:space="0" w:color="auto"/>
                        <w:right w:val="none" w:sz="0" w:space="0" w:color="auto"/>
                      </w:divBdr>
                      <w:divsChild>
                        <w:div w:id="1075007875">
                          <w:marLeft w:val="0"/>
                          <w:marRight w:val="0"/>
                          <w:marTop w:val="0"/>
                          <w:marBottom w:val="0"/>
                          <w:divBdr>
                            <w:top w:val="none" w:sz="0" w:space="0" w:color="auto"/>
                            <w:left w:val="none" w:sz="0" w:space="0" w:color="auto"/>
                            <w:bottom w:val="none" w:sz="0" w:space="0" w:color="auto"/>
                            <w:right w:val="none" w:sz="0" w:space="0" w:color="auto"/>
                          </w:divBdr>
                          <w:divsChild>
                            <w:div w:id="1845436977">
                              <w:marLeft w:val="0"/>
                              <w:marRight w:val="0"/>
                              <w:marTop w:val="0"/>
                              <w:marBottom w:val="0"/>
                              <w:divBdr>
                                <w:top w:val="none" w:sz="0" w:space="0" w:color="auto"/>
                                <w:left w:val="none" w:sz="0" w:space="0" w:color="auto"/>
                                <w:bottom w:val="none" w:sz="0" w:space="0" w:color="auto"/>
                                <w:right w:val="none" w:sz="0" w:space="0" w:color="auto"/>
                              </w:divBdr>
                              <w:divsChild>
                                <w:div w:id="1701977240">
                                  <w:marLeft w:val="0"/>
                                  <w:marRight w:val="0"/>
                                  <w:marTop w:val="0"/>
                                  <w:marBottom w:val="0"/>
                                  <w:divBdr>
                                    <w:top w:val="none" w:sz="0" w:space="0" w:color="auto"/>
                                    <w:left w:val="none" w:sz="0" w:space="0" w:color="auto"/>
                                    <w:bottom w:val="none" w:sz="0" w:space="0" w:color="auto"/>
                                    <w:right w:val="none" w:sz="0" w:space="0" w:color="auto"/>
                                  </w:divBdr>
                                  <w:divsChild>
                                    <w:div w:id="1289320174">
                                      <w:marLeft w:val="0"/>
                                      <w:marRight w:val="0"/>
                                      <w:marTop w:val="0"/>
                                      <w:marBottom w:val="0"/>
                                      <w:divBdr>
                                        <w:top w:val="none" w:sz="0" w:space="0" w:color="auto"/>
                                        <w:left w:val="none" w:sz="0" w:space="0" w:color="auto"/>
                                        <w:bottom w:val="none" w:sz="0" w:space="0" w:color="auto"/>
                                        <w:right w:val="none" w:sz="0" w:space="0" w:color="auto"/>
                                      </w:divBdr>
                                      <w:divsChild>
                                        <w:div w:id="2030568874">
                                          <w:marLeft w:val="0"/>
                                          <w:marRight w:val="0"/>
                                          <w:marTop w:val="0"/>
                                          <w:marBottom w:val="0"/>
                                          <w:divBdr>
                                            <w:top w:val="none" w:sz="0" w:space="0" w:color="auto"/>
                                            <w:left w:val="none" w:sz="0" w:space="0" w:color="auto"/>
                                            <w:bottom w:val="none" w:sz="0" w:space="0" w:color="auto"/>
                                            <w:right w:val="none" w:sz="0" w:space="0" w:color="auto"/>
                                          </w:divBdr>
                                          <w:divsChild>
                                            <w:div w:id="196951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4528792">
      <w:bodyDiv w:val="1"/>
      <w:marLeft w:val="0"/>
      <w:marRight w:val="0"/>
      <w:marTop w:val="0"/>
      <w:marBottom w:val="0"/>
      <w:divBdr>
        <w:top w:val="none" w:sz="0" w:space="0" w:color="auto"/>
        <w:left w:val="none" w:sz="0" w:space="0" w:color="auto"/>
        <w:bottom w:val="none" w:sz="0" w:space="0" w:color="auto"/>
        <w:right w:val="none" w:sz="0" w:space="0" w:color="auto"/>
      </w:divBdr>
      <w:divsChild>
        <w:div w:id="2129153284">
          <w:marLeft w:val="0"/>
          <w:marRight w:val="0"/>
          <w:marTop w:val="0"/>
          <w:marBottom w:val="0"/>
          <w:divBdr>
            <w:top w:val="none" w:sz="0" w:space="0" w:color="auto"/>
            <w:left w:val="none" w:sz="0" w:space="0" w:color="auto"/>
            <w:bottom w:val="none" w:sz="0" w:space="0" w:color="auto"/>
            <w:right w:val="none" w:sz="0" w:space="0" w:color="auto"/>
          </w:divBdr>
          <w:divsChild>
            <w:div w:id="938174428">
              <w:marLeft w:val="0"/>
              <w:marRight w:val="0"/>
              <w:marTop w:val="0"/>
              <w:marBottom w:val="0"/>
              <w:divBdr>
                <w:top w:val="none" w:sz="0" w:space="0" w:color="auto"/>
                <w:left w:val="none" w:sz="0" w:space="0" w:color="auto"/>
                <w:bottom w:val="none" w:sz="0" w:space="0" w:color="auto"/>
                <w:right w:val="none" w:sz="0" w:space="0" w:color="auto"/>
              </w:divBdr>
              <w:divsChild>
                <w:div w:id="306277118">
                  <w:marLeft w:val="0"/>
                  <w:marRight w:val="0"/>
                  <w:marTop w:val="0"/>
                  <w:marBottom w:val="0"/>
                  <w:divBdr>
                    <w:top w:val="none" w:sz="0" w:space="0" w:color="auto"/>
                    <w:left w:val="none" w:sz="0" w:space="0" w:color="auto"/>
                    <w:bottom w:val="none" w:sz="0" w:space="0" w:color="auto"/>
                    <w:right w:val="none" w:sz="0" w:space="0" w:color="auto"/>
                  </w:divBdr>
                  <w:divsChild>
                    <w:div w:id="1556433135">
                      <w:marLeft w:val="0"/>
                      <w:marRight w:val="0"/>
                      <w:marTop w:val="0"/>
                      <w:marBottom w:val="0"/>
                      <w:divBdr>
                        <w:top w:val="none" w:sz="0" w:space="0" w:color="auto"/>
                        <w:left w:val="none" w:sz="0" w:space="0" w:color="auto"/>
                        <w:bottom w:val="none" w:sz="0" w:space="0" w:color="auto"/>
                        <w:right w:val="none" w:sz="0" w:space="0" w:color="auto"/>
                      </w:divBdr>
                      <w:divsChild>
                        <w:div w:id="13002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401484">
      <w:bodyDiv w:val="1"/>
      <w:marLeft w:val="0"/>
      <w:marRight w:val="0"/>
      <w:marTop w:val="0"/>
      <w:marBottom w:val="0"/>
      <w:divBdr>
        <w:top w:val="none" w:sz="0" w:space="0" w:color="auto"/>
        <w:left w:val="none" w:sz="0" w:space="0" w:color="auto"/>
        <w:bottom w:val="none" w:sz="0" w:space="0" w:color="auto"/>
        <w:right w:val="none" w:sz="0" w:space="0" w:color="auto"/>
      </w:divBdr>
      <w:divsChild>
        <w:div w:id="1989741227">
          <w:marLeft w:val="0"/>
          <w:marRight w:val="0"/>
          <w:marTop w:val="0"/>
          <w:marBottom w:val="0"/>
          <w:divBdr>
            <w:top w:val="none" w:sz="0" w:space="0" w:color="auto"/>
            <w:left w:val="none" w:sz="0" w:space="0" w:color="auto"/>
            <w:bottom w:val="none" w:sz="0" w:space="0" w:color="auto"/>
            <w:right w:val="none" w:sz="0" w:space="0" w:color="auto"/>
          </w:divBdr>
          <w:divsChild>
            <w:div w:id="1188449959">
              <w:marLeft w:val="0"/>
              <w:marRight w:val="0"/>
              <w:marTop w:val="0"/>
              <w:marBottom w:val="0"/>
              <w:divBdr>
                <w:top w:val="none" w:sz="0" w:space="0" w:color="auto"/>
                <w:left w:val="none" w:sz="0" w:space="0" w:color="auto"/>
                <w:bottom w:val="none" w:sz="0" w:space="0" w:color="auto"/>
                <w:right w:val="none" w:sz="0" w:space="0" w:color="auto"/>
              </w:divBdr>
              <w:divsChild>
                <w:div w:id="778568326">
                  <w:marLeft w:val="0"/>
                  <w:marRight w:val="0"/>
                  <w:marTop w:val="0"/>
                  <w:marBottom w:val="0"/>
                  <w:divBdr>
                    <w:top w:val="none" w:sz="0" w:space="0" w:color="auto"/>
                    <w:left w:val="none" w:sz="0" w:space="0" w:color="auto"/>
                    <w:bottom w:val="none" w:sz="0" w:space="0" w:color="auto"/>
                    <w:right w:val="none" w:sz="0" w:space="0" w:color="auto"/>
                  </w:divBdr>
                  <w:divsChild>
                    <w:div w:id="1003509751">
                      <w:marLeft w:val="0"/>
                      <w:marRight w:val="0"/>
                      <w:marTop w:val="0"/>
                      <w:marBottom w:val="0"/>
                      <w:divBdr>
                        <w:top w:val="none" w:sz="0" w:space="0" w:color="auto"/>
                        <w:left w:val="none" w:sz="0" w:space="0" w:color="auto"/>
                        <w:bottom w:val="none" w:sz="0" w:space="0" w:color="auto"/>
                        <w:right w:val="none" w:sz="0" w:space="0" w:color="auto"/>
                      </w:divBdr>
                      <w:divsChild>
                        <w:div w:id="548496456">
                          <w:marLeft w:val="0"/>
                          <w:marRight w:val="0"/>
                          <w:marTop w:val="0"/>
                          <w:marBottom w:val="0"/>
                          <w:divBdr>
                            <w:top w:val="none" w:sz="0" w:space="0" w:color="auto"/>
                            <w:left w:val="none" w:sz="0" w:space="0" w:color="auto"/>
                            <w:bottom w:val="none" w:sz="0" w:space="0" w:color="auto"/>
                            <w:right w:val="none" w:sz="0" w:space="0" w:color="auto"/>
                          </w:divBdr>
                          <w:divsChild>
                            <w:div w:id="1303778736">
                              <w:marLeft w:val="0"/>
                              <w:marRight w:val="0"/>
                              <w:marTop w:val="0"/>
                              <w:marBottom w:val="0"/>
                              <w:divBdr>
                                <w:top w:val="none" w:sz="0" w:space="0" w:color="auto"/>
                                <w:left w:val="none" w:sz="0" w:space="0" w:color="auto"/>
                                <w:bottom w:val="none" w:sz="0" w:space="0" w:color="auto"/>
                                <w:right w:val="none" w:sz="0" w:space="0" w:color="auto"/>
                              </w:divBdr>
                              <w:divsChild>
                                <w:div w:id="950819552">
                                  <w:marLeft w:val="0"/>
                                  <w:marRight w:val="0"/>
                                  <w:marTop w:val="0"/>
                                  <w:marBottom w:val="0"/>
                                  <w:divBdr>
                                    <w:top w:val="none" w:sz="0" w:space="0" w:color="auto"/>
                                    <w:left w:val="none" w:sz="0" w:space="0" w:color="auto"/>
                                    <w:bottom w:val="none" w:sz="0" w:space="0" w:color="auto"/>
                                    <w:right w:val="none" w:sz="0" w:space="0" w:color="auto"/>
                                  </w:divBdr>
                                  <w:divsChild>
                                    <w:div w:id="543250480">
                                      <w:marLeft w:val="0"/>
                                      <w:marRight w:val="0"/>
                                      <w:marTop w:val="0"/>
                                      <w:marBottom w:val="0"/>
                                      <w:divBdr>
                                        <w:top w:val="none" w:sz="0" w:space="0" w:color="auto"/>
                                        <w:left w:val="none" w:sz="0" w:space="0" w:color="auto"/>
                                        <w:bottom w:val="none" w:sz="0" w:space="0" w:color="auto"/>
                                        <w:right w:val="none" w:sz="0" w:space="0" w:color="auto"/>
                                      </w:divBdr>
                                      <w:divsChild>
                                        <w:div w:id="761996154">
                                          <w:marLeft w:val="0"/>
                                          <w:marRight w:val="0"/>
                                          <w:marTop w:val="0"/>
                                          <w:marBottom w:val="0"/>
                                          <w:divBdr>
                                            <w:top w:val="none" w:sz="0" w:space="0" w:color="auto"/>
                                            <w:left w:val="none" w:sz="0" w:space="0" w:color="auto"/>
                                            <w:bottom w:val="none" w:sz="0" w:space="0" w:color="auto"/>
                                            <w:right w:val="none" w:sz="0" w:space="0" w:color="auto"/>
                                          </w:divBdr>
                                          <w:divsChild>
                                            <w:div w:id="80073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09492581">
      <w:bodyDiv w:val="1"/>
      <w:marLeft w:val="0"/>
      <w:marRight w:val="0"/>
      <w:marTop w:val="0"/>
      <w:marBottom w:val="0"/>
      <w:divBdr>
        <w:top w:val="none" w:sz="0" w:space="0" w:color="auto"/>
        <w:left w:val="none" w:sz="0" w:space="0" w:color="auto"/>
        <w:bottom w:val="none" w:sz="0" w:space="0" w:color="auto"/>
        <w:right w:val="none" w:sz="0" w:space="0" w:color="auto"/>
      </w:divBdr>
      <w:divsChild>
        <w:div w:id="1764103875">
          <w:marLeft w:val="0"/>
          <w:marRight w:val="0"/>
          <w:marTop w:val="0"/>
          <w:marBottom w:val="0"/>
          <w:divBdr>
            <w:top w:val="none" w:sz="0" w:space="0" w:color="auto"/>
            <w:left w:val="none" w:sz="0" w:space="0" w:color="auto"/>
            <w:bottom w:val="none" w:sz="0" w:space="0" w:color="auto"/>
            <w:right w:val="none" w:sz="0" w:space="0" w:color="auto"/>
          </w:divBdr>
          <w:divsChild>
            <w:div w:id="1180461166">
              <w:marLeft w:val="0"/>
              <w:marRight w:val="0"/>
              <w:marTop w:val="0"/>
              <w:marBottom w:val="0"/>
              <w:divBdr>
                <w:top w:val="none" w:sz="0" w:space="0" w:color="auto"/>
                <w:left w:val="none" w:sz="0" w:space="0" w:color="auto"/>
                <w:bottom w:val="none" w:sz="0" w:space="0" w:color="auto"/>
                <w:right w:val="none" w:sz="0" w:space="0" w:color="auto"/>
              </w:divBdr>
              <w:divsChild>
                <w:div w:id="78451385">
                  <w:marLeft w:val="0"/>
                  <w:marRight w:val="0"/>
                  <w:marTop w:val="0"/>
                  <w:marBottom w:val="0"/>
                  <w:divBdr>
                    <w:top w:val="none" w:sz="0" w:space="0" w:color="auto"/>
                    <w:left w:val="none" w:sz="0" w:space="0" w:color="auto"/>
                    <w:bottom w:val="none" w:sz="0" w:space="0" w:color="auto"/>
                    <w:right w:val="none" w:sz="0" w:space="0" w:color="auto"/>
                  </w:divBdr>
                  <w:divsChild>
                    <w:div w:id="131945788">
                      <w:marLeft w:val="0"/>
                      <w:marRight w:val="0"/>
                      <w:marTop w:val="0"/>
                      <w:marBottom w:val="0"/>
                      <w:divBdr>
                        <w:top w:val="none" w:sz="0" w:space="0" w:color="auto"/>
                        <w:left w:val="none" w:sz="0" w:space="0" w:color="auto"/>
                        <w:bottom w:val="none" w:sz="0" w:space="0" w:color="auto"/>
                        <w:right w:val="none" w:sz="0" w:space="0" w:color="auto"/>
                      </w:divBdr>
                      <w:divsChild>
                        <w:div w:id="1892761935">
                          <w:marLeft w:val="0"/>
                          <w:marRight w:val="0"/>
                          <w:marTop w:val="0"/>
                          <w:marBottom w:val="0"/>
                          <w:divBdr>
                            <w:top w:val="none" w:sz="0" w:space="0" w:color="auto"/>
                            <w:left w:val="none" w:sz="0" w:space="0" w:color="auto"/>
                            <w:bottom w:val="none" w:sz="0" w:space="0" w:color="auto"/>
                            <w:right w:val="none" w:sz="0" w:space="0" w:color="auto"/>
                          </w:divBdr>
                          <w:divsChild>
                            <w:div w:id="1227646522">
                              <w:marLeft w:val="0"/>
                              <w:marRight w:val="0"/>
                              <w:marTop w:val="0"/>
                              <w:marBottom w:val="0"/>
                              <w:divBdr>
                                <w:top w:val="none" w:sz="0" w:space="0" w:color="auto"/>
                                <w:left w:val="none" w:sz="0" w:space="0" w:color="auto"/>
                                <w:bottom w:val="none" w:sz="0" w:space="0" w:color="auto"/>
                                <w:right w:val="none" w:sz="0" w:space="0" w:color="auto"/>
                              </w:divBdr>
                              <w:divsChild>
                                <w:div w:id="746851270">
                                  <w:marLeft w:val="0"/>
                                  <w:marRight w:val="0"/>
                                  <w:marTop w:val="0"/>
                                  <w:marBottom w:val="0"/>
                                  <w:divBdr>
                                    <w:top w:val="none" w:sz="0" w:space="0" w:color="auto"/>
                                    <w:left w:val="none" w:sz="0" w:space="0" w:color="auto"/>
                                    <w:bottom w:val="none" w:sz="0" w:space="0" w:color="auto"/>
                                    <w:right w:val="none" w:sz="0" w:space="0" w:color="auto"/>
                                  </w:divBdr>
                                  <w:divsChild>
                                    <w:div w:id="90173">
                                      <w:marLeft w:val="0"/>
                                      <w:marRight w:val="0"/>
                                      <w:marTop w:val="0"/>
                                      <w:marBottom w:val="0"/>
                                      <w:divBdr>
                                        <w:top w:val="none" w:sz="0" w:space="0" w:color="auto"/>
                                        <w:left w:val="none" w:sz="0" w:space="0" w:color="auto"/>
                                        <w:bottom w:val="none" w:sz="0" w:space="0" w:color="auto"/>
                                        <w:right w:val="none" w:sz="0" w:space="0" w:color="auto"/>
                                      </w:divBdr>
                                      <w:divsChild>
                                        <w:div w:id="725573175">
                                          <w:marLeft w:val="0"/>
                                          <w:marRight w:val="0"/>
                                          <w:marTop w:val="0"/>
                                          <w:marBottom w:val="0"/>
                                          <w:divBdr>
                                            <w:top w:val="none" w:sz="0" w:space="0" w:color="auto"/>
                                            <w:left w:val="none" w:sz="0" w:space="0" w:color="auto"/>
                                            <w:bottom w:val="none" w:sz="0" w:space="0" w:color="auto"/>
                                            <w:right w:val="none" w:sz="0" w:space="0" w:color="auto"/>
                                          </w:divBdr>
                                          <w:divsChild>
                                            <w:div w:id="10978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6814196">
      <w:bodyDiv w:val="1"/>
      <w:marLeft w:val="0"/>
      <w:marRight w:val="0"/>
      <w:marTop w:val="0"/>
      <w:marBottom w:val="0"/>
      <w:divBdr>
        <w:top w:val="none" w:sz="0" w:space="0" w:color="auto"/>
        <w:left w:val="none" w:sz="0" w:space="0" w:color="auto"/>
        <w:bottom w:val="none" w:sz="0" w:space="0" w:color="auto"/>
        <w:right w:val="none" w:sz="0" w:space="0" w:color="auto"/>
      </w:divBdr>
      <w:divsChild>
        <w:div w:id="1788962368">
          <w:marLeft w:val="0"/>
          <w:marRight w:val="0"/>
          <w:marTop w:val="0"/>
          <w:marBottom w:val="0"/>
          <w:divBdr>
            <w:top w:val="none" w:sz="0" w:space="0" w:color="auto"/>
            <w:left w:val="none" w:sz="0" w:space="0" w:color="auto"/>
            <w:bottom w:val="none" w:sz="0" w:space="0" w:color="auto"/>
            <w:right w:val="none" w:sz="0" w:space="0" w:color="auto"/>
          </w:divBdr>
          <w:divsChild>
            <w:div w:id="559513311">
              <w:marLeft w:val="0"/>
              <w:marRight w:val="0"/>
              <w:marTop w:val="0"/>
              <w:marBottom w:val="0"/>
              <w:divBdr>
                <w:top w:val="none" w:sz="0" w:space="0" w:color="auto"/>
                <w:left w:val="none" w:sz="0" w:space="0" w:color="auto"/>
                <w:bottom w:val="none" w:sz="0" w:space="0" w:color="auto"/>
                <w:right w:val="none" w:sz="0" w:space="0" w:color="auto"/>
              </w:divBdr>
              <w:divsChild>
                <w:div w:id="1346056243">
                  <w:marLeft w:val="0"/>
                  <w:marRight w:val="0"/>
                  <w:marTop w:val="0"/>
                  <w:marBottom w:val="0"/>
                  <w:divBdr>
                    <w:top w:val="none" w:sz="0" w:space="0" w:color="auto"/>
                    <w:left w:val="none" w:sz="0" w:space="0" w:color="auto"/>
                    <w:bottom w:val="none" w:sz="0" w:space="0" w:color="auto"/>
                    <w:right w:val="none" w:sz="0" w:space="0" w:color="auto"/>
                  </w:divBdr>
                  <w:divsChild>
                    <w:div w:id="1085112097">
                      <w:marLeft w:val="0"/>
                      <w:marRight w:val="0"/>
                      <w:marTop w:val="0"/>
                      <w:marBottom w:val="0"/>
                      <w:divBdr>
                        <w:top w:val="none" w:sz="0" w:space="0" w:color="auto"/>
                        <w:left w:val="none" w:sz="0" w:space="0" w:color="auto"/>
                        <w:bottom w:val="none" w:sz="0" w:space="0" w:color="auto"/>
                        <w:right w:val="none" w:sz="0" w:space="0" w:color="auto"/>
                      </w:divBdr>
                      <w:divsChild>
                        <w:div w:id="1771898385">
                          <w:marLeft w:val="0"/>
                          <w:marRight w:val="0"/>
                          <w:marTop w:val="0"/>
                          <w:marBottom w:val="0"/>
                          <w:divBdr>
                            <w:top w:val="none" w:sz="0" w:space="0" w:color="auto"/>
                            <w:left w:val="none" w:sz="0" w:space="0" w:color="auto"/>
                            <w:bottom w:val="none" w:sz="0" w:space="0" w:color="auto"/>
                            <w:right w:val="none" w:sz="0" w:space="0" w:color="auto"/>
                          </w:divBdr>
                          <w:divsChild>
                            <w:div w:id="2141265221">
                              <w:marLeft w:val="0"/>
                              <w:marRight w:val="0"/>
                              <w:marTop w:val="0"/>
                              <w:marBottom w:val="0"/>
                              <w:divBdr>
                                <w:top w:val="none" w:sz="0" w:space="0" w:color="auto"/>
                                <w:left w:val="none" w:sz="0" w:space="0" w:color="auto"/>
                                <w:bottom w:val="none" w:sz="0" w:space="0" w:color="auto"/>
                                <w:right w:val="none" w:sz="0" w:space="0" w:color="auto"/>
                              </w:divBdr>
                              <w:divsChild>
                                <w:div w:id="2113282717">
                                  <w:marLeft w:val="0"/>
                                  <w:marRight w:val="0"/>
                                  <w:marTop w:val="0"/>
                                  <w:marBottom w:val="0"/>
                                  <w:divBdr>
                                    <w:top w:val="none" w:sz="0" w:space="0" w:color="auto"/>
                                    <w:left w:val="none" w:sz="0" w:space="0" w:color="auto"/>
                                    <w:bottom w:val="none" w:sz="0" w:space="0" w:color="auto"/>
                                    <w:right w:val="none" w:sz="0" w:space="0" w:color="auto"/>
                                  </w:divBdr>
                                  <w:divsChild>
                                    <w:div w:id="1289779738">
                                      <w:marLeft w:val="0"/>
                                      <w:marRight w:val="0"/>
                                      <w:marTop w:val="0"/>
                                      <w:marBottom w:val="0"/>
                                      <w:divBdr>
                                        <w:top w:val="none" w:sz="0" w:space="0" w:color="auto"/>
                                        <w:left w:val="none" w:sz="0" w:space="0" w:color="auto"/>
                                        <w:bottom w:val="none" w:sz="0" w:space="0" w:color="auto"/>
                                        <w:right w:val="none" w:sz="0" w:space="0" w:color="auto"/>
                                      </w:divBdr>
                                      <w:divsChild>
                                        <w:div w:id="1396465229">
                                          <w:marLeft w:val="0"/>
                                          <w:marRight w:val="0"/>
                                          <w:marTop w:val="0"/>
                                          <w:marBottom w:val="0"/>
                                          <w:divBdr>
                                            <w:top w:val="none" w:sz="0" w:space="0" w:color="auto"/>
                                            <w:left w:val="none" w:sz="0" w:space="0" w:color="auto"/>
                                            <w:bottom w:val="none" w:sz="0" w:space="0" w:color="auto"/>
                                            <w:right w:val="none" w:sz="0" w:space="0" w:color="auto"/>
                                          </w:divBdr>
                                          <w:divsChild>
                                            <w:div w:id="93776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7116863">
      <w:bodyDiv w:val="1"/>
      <w:marLeft w:val="0"/>
      <w:marRight w:val="0"/>
      <w:marTop w:val="0"/>
      <w:marBottom w:val="0"/>
      <w:divBdr>
        <w:top w:val="none" w:sz="0" w:space="0" w:color="auto"/>
        <w:left w:val="none" w:sz="0" w:space="0" w:color="auto"/>
        <w:bottom w:val="none" w:sz="0" w:space="0" w:color="auto"/>
        <w:right w:val="none" w:sz="0" w:space="0" w:color="auto"/>
      </w:divBdr>
      <w:divsChild>
        <w:div w:id="1621523784">
          <w:marLeft w:val="0"/>
          <w:marRight w:val="0"/>
          <w:marTop w:val="0"/>
          <w:marBottom w:val="0"/>
          <w:divBdr>
            <w:top w:val="none" w:sz="0" w:space="0" w:color="auto"/>
            <w:left w:val="none" w:sz="0" w:space="0" w:color="auto"/>
            <w:bottom w:val="none" w:sz="0" w:space="0" w:color="auto"/>
            <w:right w:val="none" w:sz="0" w:space="0" w:color="auto"/>
          </w:divBdr>
          <w:divsChild>
            <w:div w:id="1667516744">
              <w:marLeft w:val="0"/>
              <w:marRight w:val="0"/>
              <w:marTop w:val="0"/>
              <w:marBottom w:val="0"/>
              <w:divBdr>
                <w:top w:val="none" w:sz="0" w:space="0" w:color="auto"/>
                <w:left w:val="none" w:sz="0" w:space="0" w:color="auto"/>
                <w:bottom w:val="none" w:sz="0" w:space="0" w:color="auto"/>
                <w:right w:val="none" w:sz="0" w:space="0" w:color="auto"/>
              </w:divBdr>
              <w:divsChild>
                <w:div w:id="1209948292">
                  <w:marLeft w:val="0"/>
                  <w:marRight w:val="0"/>
                  <w:marTop w:val="0"/>
                  <w:marBottom w:val="0"/>
                  <w:divBdr>
                    <w:top w:val="none" w:sz="0" w:space="0" w:color="auto"/>
                    <w:left w:val="none" w:sz="0" w:space="0" w:color="auto"/>
                    <w:bottom w:val="none" w:sz="0" w:space="0" w:color="auto"/>
                    <w:right w:val="none" w:sz="0" w:space="0" w:color="auto"/>
                  </w:divBdr>
                  <w:divsChild>
                    <w:div w:id="1214849271">
                      <w:marLeft w:val="0"/>
                      <w:marRight w:val="0"/>
                      <w:marTop w:val="0"/>
                      <w:marBottom w:val="0"/>
                      <w:divBdr>
                        <w:top w:val="none" w:sz="0" w:space="0" w:color="auto"/>
                        <w:left w:val="none" w:sz="0" w:space="0" w:color="auto"/>
                        <w:bottom w:val="none" w:sz="0" w:space="0" w:color="auto"/>
                        <w:right w:val="none" w:sz="0" w:space="0" w:color="auto"/>
                      </w:divBdr>
                      <w:divsChild>
                        <w:div w:id="1730884623">
                          <w:marLeft w:val="0"/>
                          <w:marRight w:val="0"/>
                          <w:marTop w:val="0"/>
                          <w:marBottom w:val="0"/>
                          <w:divBdr>
                            <w:top w:val="none" w:sz="0" w:space="0" w:color="auto"/>
                            <w:left w:val="none" w:sz="0" w:space="0" w:color="auto"/>
                            <w:bottom w:val="none" w:sz="0" w:space="0" w:color="auto"/>
                            <w:right w:val="none" w:sz="0" w:space="0" w:color="auto"/>
                          </w:divBdr>
                          <w:divsChild>
                            <w:div w:id="1241209915">
                              <w:marLeft w:val="0"/>
                              <w:marRight w:val="0"/>
                              <w:marTop w:val="0"/>
                              <w:marBottom w:val="0"/>
                              <w:divBdr>
                                <w:top w:val="none" w:sz="0" w:space="0" w:color="auto"/>
                                <w:left w:val="none" w:sz="0" w:space="0" w:color="auto"/>
                                <w:bottom w:val="none" w:sz="0" w:space="0" w:color="auto"/>
                                <w:right w:val="none" w:sz="0" w:space="0" w:color="auto"/>
                              </w:divBdr>
                              <w:divsChild>
                                <w:div w:id="1410425228">
                                  <w:marLeft w:val="0"/>
                                  <w:marRight w:val="0"/>
                                  <w:marTop w:val="0"/>
                                  <w:marBottom w:val="0"/>
                                  <w:divBdr>
                                    <w:top w:val="none" w:sz="0" w:space="0" w:color="auto"/>
                                    <w:left w:val="none" w:sz="0" w:space="0" w:color="auto"/>
                                    <w:bottom w:val="none" w:sz="0" w:space="0" w:color="auto"/>
                                    <w:right w:val="none" w:sz="0" w:space="0" w:color="auto"/>
                                  </w:divBdr>
                                  <w:divsChild>
                                    <w:div w:id="1312828236">
                                      <w:marLeft w:val="0"/>
                                      <w:marRight w:val="0"/>
                                      <w:marTop w:val="0"/>
                                      <w:marBottom w:val="0"/>
                                      <w:divBdr>
                                        <w:top w:val="none" w:sz="0" w:space="0" w:color="auto"/>
                                        <w:left w:val="none" w:sz="0" w:space="0" w:color="auto"/>
                                        <w:bottom w:val="none" w:sz="0" w:space="0" w:color="auto"/>
                                        <w:right w:val="none" w:sz="0" w:space="0" w:color="auto"/>
                                      </w:divBdr>
                                      <w:divsChild>
                                        <w:div w:id="345181427">
                                          <w:marLeft w:val="0"/>
                                          <w:marRight w:val="0"/>
                                          <w:marTop w:val="0"/>
                                          <w:marBottom w:val="0"/>
                                          <w:divBdr>
                                            <w:top w:val="none" w:sz="0" w:space="0" w:color="auto"/>
                                            <w:left w:val="none" w:sz="0" w:space="0" w:color="auto"/>
                                            <w:bottom w:val="none" w:sz="0" w:space="0" w:color="auto"/>
                                            <w:right w:val="none" w:sz="0" w:space="0" w:color="auto"/>
                                          </w:divBdr>
                                          <w:divsChild>
                                            <w:div w:id="18973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www.eleconomista.es/economia/noticias/5493516/01/14/La-India-sube-los-tipos-de-interes-un-cuarto-de-punto-para-defender-su-moneda-y-frenar-la-inflacion.html" TargetMode="External"/><Relationship Id="rId42" Type="http://schemas.openxmlformats.org/officeDocument/2006/relationships/hyperlink" Target="http://www.elconfidencial.com/mundo/2013-12-26/crisis-en-turquia-corrupcion-o-pulso-entre-erdogan-y-un-estudioso-islamista_70325/" TargetMode="External"/><Relationship Id="rId63" Type="http://schemas.openxmlformats.org/officeDocument/2006/relationships/image" Target="media/image28.png"/><Relationship Id="rId84" Type="http://schemas.openxmlformats.org/officeDocument/2006/relationships/image" Target="media/image47.png"/><Relationship Id="rId16" Type="http://schemas.openxmlformats.org/officeDocument/2006/relationships/image" Target="media/image4.jpeg"/><Relationship Id="rId107" Type="http://schemas.openxmlformats.org/officeDocument/2006/relationships/image" Target="media/image70.png"/><Relationship Id="rId11" Type="http://schemas.openxmlformats.org/officeDocument/2006/relationships/hyperlink" Target="http://editorialinnisfree.blogspot.com.es/" TargetMode="External"/><Relationship Id="rId32" Type="http://schemas.openxmlformats.org/officeDocument/2006/relationships/image" Target="media/image13.png"/><Relationship Id="rId37" Type="http://schemas.openxmlformats.org/officeDocument/2006/relationships/image" Target="media/image17.gif"/><Relationship Id="rId53" Type="http://schemas.openxmlformats.org/officeDocument/2006/relationships/hyperlink" Target="http://www.invest.gov.tr" TargetMode="External"/><Relationship Id="rId58" Type="http://schemas.openxmlformats.org/officeDocument/2006/relationships/image" Target="media/image23.png"/><Relationship Id="rId74" Type="http://schemas.openxmlformats.org/officeDocument/2006/relationships/image" Target="media/image38.jpeg"/><Relationship Id="rId79" Type="http://schemas.openxmlformats.org/officeDocument/2006/relationships/image" Target="media/image42.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image" Target="media/image91.png"/><Relationship Id="rId5" Type="http://schemas.openxmlformats.org/officeDocument/2006/relationships/webSettings" Target="webSettings.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http://www.eleconomista.es/economia/noticias/5498195/01/14/Sudafrica-sigue-al-resto-de-emergentes-y-sube-tipos-hasta-el-55.html" TargetMode="External"/><Relationship Id="rId27" Type="http://schemas.openxmlformats.org/officeDocument/2006/relationships/image" Target="media/image8.png"/><Relationship Id="rId43" Type="http://schemas.openxmlformats.org/officeDocument/2006/relationships/hyperlink" Target="http://www.elconfidencial.com/ultima-hora-en-vivo/2014-03-11/protestas-por-la-muerte-de-un-adolescente-turco-herido-por-la-policia_197864/" TargetMode="External"/><Relationship Id="rId48" Type="http://schemas.openxmlformats.org/officeDocument/2006/relationships/image" Target="media/image19.png"/><Relationship Id="rId64" Type="http://schemas.openxmlformats.org/officeDocument/2006/relationships/image" Target="media/image29.png"/><Relationship Id="rId69" Type="http://schemas.openxmlformats.org/officeDocument/2006/relationships/image" Target="media/image33.jpeg"/><Relationship Id="rId113" Type="http://schemas.openxmlformats.org/officeDocument/2006/relationships/image" Target="media/image76.png"/><Relationship Id="rId118" Type="http://schemas.openxmlformats.org/officeDocument/2006/relationships/image" Target="media/image81.png"/><Relationship Id="rId134" Type="http://schemas.openxmlformats.org/officeDocument/2006/relationships/fontTable" Target="fontTable.xml"/><Relationship Id="rId80" Type="http://schemas.openxmlformats.org/officeDocument/2006/relationships/image" Target="media/image43.png"/><Relationship Id="rId85" Type="http://schemas.openxmlformats.org/officeDocument/2006/relationships/image" Target="media/image48.png"/><Relationship Id="rId12" Type="http://schemas.openxmlformats.org/officeDocument/2006/relationships/hyperlink" Target="http://www.frdelpino.es/hoppe/" TargetMode="External"/><Relationship Id="rId17" Type="http://schemas.openxmlformats.org/officeDocument/2006/relationships/image" Target="media/image5.jpeg"/><Relationship Id="rId33" Type="http://schemas.openxmlformats.org/officeDocument/2006/relationships/image" Target="media/image14.png"/><Relationship Id="rId38" Type="http://schemas.openxmlformats.org/officeDocument/2006/relationships/hyperlink" Target="http://www.bloomberg.com/news/2014-01-16/metals-currency-rigging-worse-than-libor-bafin-s-koenig-says.html" TargetMode="External"/><Relationship Id="rId59" Type="http://schemas.openxmlformats.org/officeDocument/2006/relationships/image" Target="media/image24.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image" Target="media/image92.png"/><Relationship Id="rId54" Type="http://schemas.openxmlformats.org/officeDocument/2006/relationships/hyperlink" Target="http://www.wto.org/spanish/res_s/statis_s/its2014_s/its14_toc_s.htm" TargetMode="External"/><Relationship Id="rId70" Type="http://schemas.openxmlformats.org/officeDocument/2006/relationships/image" Target="media/image34.jpeg"/><Relationship Id="rId75" Type="http://schemas.openxmlformats.org/officeDocument/2006/relationships/image" Target="media/image39.jpe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juanramonrallo.com/2013/10/el-grafico-del-terror-en-materia-de-pensiones/" TargetMode="External"/><Relationship Id="rId28" Type="http://schemas.openxmlformats.org/officeDocument/2006/relationships/image" Target="media/image9.png"/><Relationship Id="rId49" Type="http://schemas.openxmlformats.org/officeDocument/2006/relationships/hyperlink" Target="http://www.elconfidencial.com/mundo/2013-12-26/crisis-en-turquia-corrupcion-o-pulso-entre-erdogan-y-un-estudioso-islamista_70325/" TargetMode="External"/><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hyperlink" Target="http://www.elconfidencial.com/mundo/2014-08-09/turquia-decide-manana-entre-republica-o-erdogistan_174019/" TargetMode="External"/><Relationship Id="rId60" Type="http://schemas.openxmlformats.org/officeDocument/2006/relationships/image" Target="media/image25.png"/><Relationship Id="rId65" Type="http://schemas.openxmlformats.org/officeDocument/2006/relationships/image" Target="media/image30.png"/><Relationship Id="rId81" Type="http://schemas.openxmlformats.org/officeDocument/2006/relationships/image" Target="media/image44.png"/><Relationship Id="rId86" Type="http://schemas.openxmlformats.org/officeDocument/2006/relationships/image" Target="media/image49.png"/><Relationship Id="rId130" Type="http://schemas.openxmlformats.org/officeDocument/2006/relationships/image" Target="media/image93.png"/><Relationship Id="rId135" Type="http://schemas.openxmlformats.org/officeDocument/2006/relationships/theme" Target="theme/theme1.xml"/><Relationship Id="rId13" Type="http://schemas.openxmlformats.org/officeDocument/2006/relationships/image" Target="media/image3.jpeg"/><Relationship Id="rId18" Type="http://schemas.openxmlformats.org/officeDocument/2006/relationships/hyperlink" Target="http://www.elconfidencial.com/mercados/2014-01-28/turquia-sale-en-defensa-de-su-divisa-con-una-contundente-subida-de-los-tipos-de-interes_81802/" TargetMode="External"/><Relationship Id="rId39" Type="http://schemas.openxmlformats.org/officeDocument/2006/relationships/hyperlink" Target="http://en.wikipedia.org/wiki/Economy_of_Turkey" TargetMode="External"/><Relationship Id="rId109" Type="http://schemas.openxmlformats.org/officeDocument/2006/relationships/image" Target="media/image72.png"/><Relationship Id="rId34" Type="http://schemas.openxmlformats.org/officeDocument/2006/relationships/image" Target="media/image15.png"/><Relationship Id="rId50" Type="http://schemas.openxmlformats.org/officeDocument/2006/relationships/hyperlink" Target="http://www.elconfidencial.com/mundo/2014-08-09/turquia-decide-manana-entre-republica-o-erdogistan_174019/" TargetMode="External"/><Relationship Id="rId55" Type="http://schemas.openxmlformats.org/officeDocument/2006/relationships/image" Target="media/image20.png"/><Relationship Id="rId76" Type="http://schemas.openxmlformats.org/officeDocument/2006/relationships/image" Target="media/image40.jpe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image" Target="media/image2.jpeg"/><Relationship Id="rId71" Type="http://schemas.openxmlformats.org/officeDocument/2006/relationships/image" Target="media/image35.jpeg"/><Relationship Id="rId92" Type="http://schemas.openxmlformats.org/officeDocument/2006/relationships/image" Target="media/image55.png"/><Relationship Id="rId2" Type="http://schemas.openxmlformats.org/officeDocument/2006/relationships/styles" Target="styles.xml"/><Relationship Id="rId29" Type="http://schemas.openxmlformats.org/officeDocument/2006/relationships/image" Target="media/image10.png"/><Relationship Id="rId24" Type="http://schemas.openxmlformats.org/officeDocument/2006/relationships/hyperlink" Target="http://www.libertaddigital.com/opinion/alejandro-macarron/sin-ninos-no-habra-pensiones-ni-nada-68790/" TargetMode="External"/><Relationship Id="rId40" Type="http://schemas.openxmlformats.org/officeDocument/2006/relationships/hyperlink" Target="http://www.elconfidencial.com/mundo/2013-12-26/crisis-en-turquia-corrupcion-o-pulso-entre-erdogan-y-un-estudioso-islamista_70325/" TargetMode="External"/><Relationship Id="rId45" Type="http://schemas.openxmlformats.org/officeDocument/2006/relationships/hyperlink" Target="http://www.elconfidencial.com/mundo/2014-08-09/turquia-decide-manana-entre-republica-o-erdogistan_174019/" TargetMode="External"/><Relationship Id="rId66" Type="http://schemas.openxmlformats.org/officeDocument/2006/relationships/image" Target="media/image31.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image" Target="media/image94.png"/><Relationship Id="rId61" Type="http://schemas.openxmlformats.org/officeDocument/2006/relationships/image" Target="media/image26.png"/><Relationship Id="rId82" Type="http://schemas.openxmlformats.org/officeDocument/2006/relationships/image" Target="media/image45.png"/><Relationship Id="rId19" Type="http://schemas.openxmlformats.org/officeDocument/2006/relationships/hyperlink" Target="http://blogs.elconfidencial.com/economia/valor-anadido/2014-01-29/la-pasion-turca-del-bbva-pille-u-oportunidad_82102/" TargetMode="External"/><Relationship Id="rId14" Type="http://schemas.openxmlformats.org/officeDocument/2006/relationships/hyperlink" Target="http://www.elconfidencial.com/mundo/2013-12-04/ultraderechistas-comunistas-profesionales-emigrantes-los-oponentes-de-kiev_62115/" TargetMode="External"/><Relationship Id="rId30" Type="http://schemas.openxmlformats.org/officeDocument/2006/relationships/image" Target="media/image11.png"/><Relationship Id="rId35" Type="http://schemas.openxmlformats.org/officeDocument/2006/relationships/image" Target="media/image16.jpeg"/><Relationship Id="rId56" Type="http://schemas.openxmlformats.org/officeDocument/2006/relationships/image" Target="media/image21.png"/><Relationship Id="rId77" Type="http://schemas.openxmlformats.org/officeDocument/2006/relationships/hyperlink" Target="http://www.wto.org/spanish/res_s/statis_s/its2014_s/its14_toc_s.htm" TargetMode="External"/><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image" Target="media/image89.png"/><Relationship Id="rId8" Type="http://schemas.openxmlformats.org/officeDocument/2006/relationships/hyperlink" Target="http://es.wikipedia.org/wiki/Hans-Hermann_Hoppe" TargetMode="External"/><Relationship Id="rId51" Type="http://schemas.openxmlformats.org/officeDocument/2006/relationships/hyperlink" Target="http://www.elconfidencial.com/mundo/2013-12-28/el-hombre-mas-poderoso-de-turquia_70935/" TargetMode="External"/><Relationship Id="rId72" Type="http://schemas.openxmlformats.org/officeDocument/2006/relationships/image" Target="media/image36.jpe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microsoft.com/office/2007/relationships/stylesWithEffects" Target="stylesWithEffects.xml"/><Relationship Id="rId25" Type="http://schemas.openxmlformats.org/officeDocument/2006/relationships/image" Target="media/image6.png"/><Relationship Id="rId46" Type="http://schemas.openxmlformats.org/officeDocument/2006/relationships/image" Target="media/image18.png"/><Relationship Id="rId67" Type="http://schemas.openxmlformats.org/officeDocument/2006/relationships/hyperlink" Target="http://www.invest.gov.tr" TargetMode="External"/><Relationship Id="rId116" Type="http://schemas.openxmlformats.org/officeDocument/2006/relationships/image" Target="media/image79.png"/><Relationship Id="rId20" Type="http://schemas.openxmlformats.org/officeDocument/2006/relationships/hyperlink" Target="http://www.eleconomista.es/economia/noticias/5496483/01/14/El-Banco-Central-turco-sube-los-tipos-de-interes-del-775-al-12-.html" TargetMode="External"/><Relationship Id="rId41" Type="http://schemas.openxmlformats.org/officeDocument/2006/relationships/hyperlink" Target="http://www.elconfidencial.com/mundo/2013/06/10/podra-erdogan-hacer-las-paces-con-turquia--122719" TargetMode="External"/><Relationship Id="rId62" Type="http://schemas.openxmlformats.org/officeDocument/2006/relationships/image" Target="media/image27.png"/><Relationship Id="rId83" Type="http://schemas.openxmlformats.org/officeDocument/2006/relationships/image" Target="media/image46.png"/><Relationship Id="rId88" Type="http://schemas.openxmlformats.org/officeDocument/2006/relationships/image" Target="media/image51.png"/><Relationship Id="rId111" Type="http://schemas.openxmlformats.org/officeDocument/2006/relationships/image" Target="media/image74.png"/><Relationship Id="rId132" Type="http://schemas.openxmlformats.org/officeDocument/2006/relationships/image" Target="media/image95.png"/><Relationship Id="rId15" Type="http://schemas.openxmlformats.org/officeDocument/2006/relationships/hyperlink" Target="http://www.elconfidencial.com/mundo/2013/06/10/podra-erdogan-hacer-las-paces-con-turquia--122719" TargetMode="External"/><Relationship Id="rId36" Type="http://schemas.openxmlformats.org/officeDocument/2006/relationships/hyperlink" Target="http://www.gees.org/" TargetMode="External"/><Relationship Id="rId57" Type="http://schemas.openxmlformats.org/officeDocument/2006/relationships/image" Target="media/image22.png"/><Relationship Id="rId106" Type="http://schemas.openxmlformats.org/officeDocument/2006/relationships/image" Target="media/image69.png"/><Relationship Id="rId127" Type="http://schemas.openxmlformats.org/officeDocument/2006/relationships/image" Target="media/image90.png"/><Relationship Id="rId10" Type="http://schemas.openxmlformats.org/officeDocument/2006/relationships/hyperlink" Target="http://amzn.to/18TP1cW" TargetMode="External"/><Relationship Id="rId31" Type="http://schemas.openxmlformats.org/officeDocument/2006/relationships/image" Target="media/image12.png"/><Relationship Id="rId52" Type="http://schemas.openxmlformats.org/officeDocument/2006/relationships/hyperlink" Target="http://www.elconfidencial.com/mundo/2014-03-29/se-ha-vuelto-loco-erdogan_108874/" TargetMode="External"/><Relationship Id="rId73" Type="http://schemas.openxmlformats.org/officeDocument/2006/relationships/image" Target="media/image37.jpeg"/><Relationship Id="rId78" Type="http://schemas.openxmlformats.org/officeDocument/2006/relationships/image" Target="media/image41.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hyperlink" Target="http://amzn.to/13Fq0Rq" TargetMode="External"/><Relationship Id="rId26" Type="http://schemas.openxmlformats.org/officeDocument/2006/relationships/image" Target="media/image7.png"/><Relationship Id="rId47" Type="http://schemas.openxmlformats.org/officeDocument/2006/relationships/hyperlink" Target="http://www.elconfidencial.com/mundo/2013-09-04/quiere-vender-mas-barato-apuntese-al-made-in-china-1_24465/" TargetMode="External"/><Relationship Id="rId68" Type="http://schemas.openxmlformats.org/officeDocument/2006/relationships/image" Target="media/image32.jpeg"/><Relationship Id="rId89" Type="http://schemas.openxmlformats.org/officeDocument/2006/relationships/image" Target="media/image52.png"/><Relationship Id="rId112" Type="http://schemas.openxmlformats.org/officeDocument/2006/relationships/image" Target="media/image75.png"/><Relationship Id="rId133" Type="http://schemas.openxmlformats.org/officeDocument/2006/relationships/image" Target="media/image9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159</Pages>
  <Words>56880</Words>
  <Characters>312842</Characters>
  <Application>Microsoft Office Word</Application>
  <DocSecurity>0</DocSecurity>
  <Lines>2607</Lines>
  <Paragraphs>737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368985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2014-12-01T11:53:00Z</dcterms:created>
  <dcterms:modified xsi:type="dcterms:W3CDTF">2014-12-01T11:53:00Z</dcterms:modified>
</cp:coreProperties>
</file>